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CA64" w14:textId="77777777" w:rsidR="008F76F3" w:rsidRPr="00C867CF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C867CF">
        <w:rPr>
          <w:rFonts w:ascii="Times New Roman" w:hAnsi="Times New Roman" w:cs="Times New Roman"/>
          <w:b/>
          <w:sz w:val="22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76F1" w:rsidRPr="00A00198" w14:paraId="7F3F48B1" w14:textId="77777777" w:rsidTr="00C3667F">
        <w:tc>
          <w:tcPr>
            <w:tcW w:w="9209" w:type="dxa"/>
          </w:tcPr>
          <w:p w14:paraId="12DE8FCC" w14:textId="212CCDE5" w:rsidR="00E776F1" w:rsidRPr="005C43E8" w:rsidRDefault="00E776F1" w:rsidP="007F4C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8E3C14">
              <w:t xml:space="preserve"> </w:t>
            </w:r>
            <w:r w:rsidR="008E3C14" w:rsidRPr="008E3C14">
              <w:rPr>
                <w:rFonts w:ascii="Times New Roman" w:hAnsi="Times New Roman" w:cs="Times New Roman"/>
                <w:bCs/>
                <w:sz w:val="20"/>
                <w:szCs w:val="20"/>
              </w:rPr>
              <w:t>Aquisição de recargas de gás liquefeito de petróleo</w:t>
            </w:r>
            <w:r w:rsidR="008E3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0D15" w:rsidRPr="00810D15">
              <w:rPr>
                <w:rFonts w:ascii="Times New Roman" w:hAnsi="Times New Roman" w:cs="Times New Roman"/>
                <w:sz w:val="20"/>
                <w:szCs w:val="20"/>
              </w:rPr>
              <w:t xml:space="preserve">para as </w:t>
            </w:r>
            <w:r w:rsidR="00810D15">
              <w:rPr>
                <w:rFonts w:ascii="Times New Roman" w:hAnsi="Times New Roman" w:cs="Times New Roman"/>
                <w:sz w:val="20"/>
                <w:szCs w:val="20"/>
              </w:rPr>
              <w:t xml:space="preserve">demandas das </w:t>
            </w:r>
            <w:r w:rsidR="007F4C03">
              <w:rPr>
                <w:rFonts w:ascii="Times New Roman" w:hAnsi="Times New Roman" w:cs="Times New Roman"/>
                <w:sz w:val="20"/>
                <w:szCs w:val="20"/>
              </w:rPr>
              <w:t>Secretarias Municipais</w:t>
            </w:r>
          </w:p>
        </w:tc>
      </w:tr>
      <w:tr w:rsidR="008F76F3" w:rsidRPr="00A00198" w14:paraId="0D68AE69" w14:textId="77777777" w:rsidTr="00C3667F">
        <w:tc>
          <w:tcPr>
            <w:tcW w:w="9209" w:type="dxa"/>
          </w:tcPr>
          <w:p w14:paraId="1CA8A904" w14:textId="36D3A351" w:rsidR="008F76F3" w:rsidRPr="00A00198" w:rsidRDefault="005C43E8" w:rsidP="00810D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="00810D15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A00198" w14:paraId="5EBF3E6C" w14:textId="77777777" w:rsidTr="00C3667F">
        <w:tc>
          <w:tcPr>
            <w:tcW w:w="9209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682C1448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10D15" w:rsidRPr="00810D15">
              <w:rPr>
                <w:rFonts w:ascii="Times New Roman" w:hAnsi="Times New Roman" w:cs="Times New Roman"/>
                <w:sz w:val="20"/>
                <w:szCs w:val="20"/>
              </w:rPr>
              <w:t>Uéslei José Garcia, Chefe do Setor de Compras</w:t>
            </w:r>
          </w:p>
        </w:tc>
      </w:tr>
      <w:tr w:rsidR="008F76F3" w:rsidRPr="00A00198" w14:paraId="58FCAF88" w14:textId="77777777" w:rsidTr="00C3667F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C3667F">
        <w:tc>
          <w:tcPr>
            <w:tcW w:w="9209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94489A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64C3993" w14:textId="312A8203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necessidade da contratação, considerado o problema a ser resolvido sob a perspectiva do interesse público (inciso I do § 1° do </w:t>
            </w:r>
            <w:r w:rsidR="008E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rt. 18 da Lei 14.133/2021)</w:t>
            </w:r>
            <w:r w:rsidR="00E77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0066B50" w14:textId="77777777" w:rsidTr="00C3667F">
        <w:tc>
          <w:tcPr>
            <w:tcW w:w="9209" w:type="dxa"/>
          </w:tcPr>
          <w:p w14:paraId="6CA8E7C3" w14:textId="21A2AC30" w:rsidR="007F4C03" w:rsidRPr="008E3C14" w:rsidRDefault="007F4C03" w:rsidP="004404B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presente Estudo Técnico Preliminar tem como objetivo justificar a necessidade de </w:t>
            </w:r>
            <w:r w:rsidR="008E3C14" w:rsidRPr="008E3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aquisição de forma parcelada de recargas de gás liquefeito de petróleo para as Secretarias Municipais</w:t>
            </w:r>
            <w:r w:rsidR="008E3C14" w:rsidRPr="008E3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  <w:r w:rsidRPr="008E3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Município de Paverama/RS.</w:t>
            </w:r>
          </w:p>
          <w:p w14:paraId="6E1D4762" w14:textId="77777777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A necessidade de contratação de forma parcelada de recargas de gás liquefeito de petróleo (GLP) para as Secretarias Municipais do Município de Paverama/RS surge a partir da obrigação de garantir a continuidade e eficiência dos serviços públicos prestados à população. O GLP é amplamente utilizado em diversas atividades essenciais, tais como na preparação de alimentos em cozinhas comunitárias e escolares, no aquecimento de água em unidades de saúde, além de outras aplicações que demandam energia térmica.</w:t>
            </w:r>
          </w:p>
          <w:p w14:paraId="36E2AA75" w14:textId="77777777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O problema a ser resolvido com essa contratação é a falta de um fornecimento regular e adequado de GLP, que pode comprometer a execução de serviços essenciais e, consequentemente, prejudicar o bem-estar e a qualidade de vida dos cidadãos de Paverama. A inexistência de um contrato formal de fornecimento pode levar a interrupções no abastecimento, acarretando atrasos e ineficiências nas operações das Secretarias Municipais.</w:t>
            </w:r>
          </w:p>
          <w:p w14:paraId="33BF54E5" w14:textId="77777777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Sob a perspectiva do interesse público, é de suma importância que as Secretarias Municipais tenham acesso contínuo e confiável ao GLP, uma vez que a sua ausência impacta diretamente na prestação de serviços fundamentais. A alimentação escolar, por exemplo, é um direito básico das crianças e adolescentes, e a falta de gás para preparo das refeições pode comprometer a nutrição e o desenvolvimento desses estudantes. Da mesma forma, nas unidades de saúde, a indisponibilidade de GLP para aquecimento de água pode afetar a higiene e o conforto dos pacientes e profissionais de saúde.</w:t>
            </w:r>
          </w:p>
          <w:p w14:paraId="3585058A" w14:textId="77777777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A aquisição de recargas de GLP de forma parcelada se justifica por diversos fatores:</w:t>
            </w:r>
          </w:p>
          <w:p w14:paraId="669A4DF8" w14:textId="1410DEF1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Continuidade do Serviço: O fornecimento parcelado garante que não haverá interrupções no abastecimento, assegurando a regularidade dos serviços públicos essenciais.</w:t>
            </w:r>
          </w:p>
          <w:p w14:paraId="5AEBF386" w14:textId="113F015E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Gestão Financeira: Permite uma melhor gestão orçamentária e financeira, evitando a necessidade de desembolsos elevados de uma só vez e possibilitando o planejamento mais eficiente dos recursos públicos.</w:t>
            </w:r>
          </w:p>
          <w:p w14:paraId="3C19C0BB" w14:textId="7CB94C2A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Adequação às Demandas: A compra parcelada permite ajustes conforme a variação da demanda, evitando tanto o desperdício quanto a falta de gás.</w:t>
            </w:r>
          </w:p>
          <w:p w14:paraId="7BC7CF9A" w14:textId="57056BC5" w:rsidR="008E3C14" w:rsidRPr="008E3C14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Segurança e Armazenamento: Reduz os riscos associados ao armazenamento prolongado de grandes quantidades de GLP, proporcionando maior segurança às instalações das Secretarias.</w:t>
            </w:r>
          </w:p>
          <w:p w14:paraId="25FE18B4" w14:textId="0F90600E" w:rsidR="008F76F3" w:rsidRPr="00A00198" w:rsidRDefault="008E3C14" w:rsidP="008E3C14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14">
              <w:rPr>
                <w:rFonts w:ascii="Times New Roman" w:hAnsi="Times New Roman" w:cs="Times New Roman"/>
                <w:sz w:val="20"/>
                <w:szCs w:val="20"/>
              </w:rPr>
              <w:t>Portanto, a contratação de forma parcelada de recargas de GLP para as Secretarias Municipais é essencial para atender as necessidades do Município de Paverama, assegurando a continuidade e eficiência dos serviços públicos, promovendo a saúde e o bem-estar da população, e garantindo uma gestão financeira responsável dos recursos municipais.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BB79560" w14:textId="77777777" w:rsidTr="00C3667F">
        <w:tc>
          <w:tcPr>
            <w:tcW w:w="9209" w:type="dxa"/>
          </w:tcPr>
          <w:p w14:paraId="569B37C6" w14:textId="27B268A7" w:rsidR="008F76F3" w:rsidRPr="00A00198" w:rsidRDefault="008F76F3" w:rsidP="0094489A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CEA53AC" w14:textId="1E38B9FF" w:rsidR="008F76F3" w:rsidRPr="00A00198" w:rsidRDefault="008F76F3" w:rsidP="00E776F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</w:t>
            </w:r>
            <w:r w:rsidR="008E3C14">
              <w:rPr>
                <w:rFonts w:eastAsia="Times New Roman"/>
                <w:sz w:val="20"/>
                <w:szCs w:val="20"/>
                <w:lang w:eastAsia="pt-BR"/>
              </w:rPr>
              <w:t>A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>rt. 18 da Lei 14.133/21)</w:t>
            </w:r>
            <w:r w:rsidR="00E776F1">
              <w:rPr>
                <w:rFonts w:eastAsia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7DB0D15" w14:textId="77777777" w:rsidTr="00C3667F">
        <w:tc>
          <w:tcPr>
            <w:tcW w:w="9209" w:type="dxa"/>
          </w:tcPr>
          <w:p w14:paraId="26B5CF36" w14:textId="65F138D9" w:rsidR="008F76F3" w:rsidRPr="0094489A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contratação pretendida está alinhada ao Plano de Contratação aprovado para o Exercício de 2024, observando-se todas as peculiaridades de planejamento prévio. </w:t>
            </w:r>
            <w:r w:rsidR="0094489A"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Publicado no site oficial: </w:t>
            </w:r>
            <w:hyperlink r:id="rId8" w:history="1">
              <w:r w:rsidR="0094489A" w:rsidRPr="0094489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https://paverama.rs.gov.br/</w:t>
              </w:r>
            </w:hyperlink>
          </w:p>
        </w:tc>
      </w:tr>
    </w:tbl>
    <w:p w14:paraId="19919687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55D9A9F" w14:textId="77777777" w:rsidTr="00C3667F">
        <w:tc>
          <w:tcPr>
            <w:tcW w:w="9209" w:type="dxa"/>
          </w:tcPr>
          <w:p w14:paraId="01487FDB" w14:textId="28C8C507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0301AA19" w14:textId="3013B864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dos requisitos necessários e suficientes à escolha da solução (inciso III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3A4E659" w14:textId="77777777" w:rsidTr="00C3667F">
        <w:tc>
          <w:tcPr>
            <w:tcW w:w="9209" w:type="dxa"/>
          </w:tcPr>
          <w:p w14:paraId="5A7B56C3" w14:textId="4BF4F872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Para atender às necessidades das Secretarias Municipais do Município de Paverama/RS, a aquisição de recargas de gás liquefeito de petróleo (GLP) de forma parcelada deve observar os seguintes requisitos:</w:t>
            </w:r>
          </w:p>
          <w:p w14:paraId="6F861355" w14:textId="35838651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Periodicidade de Entrega: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 xml:space="preserve">As entregas deverão ser realizadas conforme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solicitação formal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prazo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máximo </w:t>
            </w: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02 (duas) horas,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modo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a garantir o abastecimento contínuo e ininterrupto para todas as Secretarias Municipais.</w:t>
            </w:r>
          </w:p>
          <w:p w14:paraId="60CADE40" w14:textId="451F12E7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Quantidade e Capacidade dos Recipientes: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As recargas deverão ser fornecidas em cilindros ou tanques de capacidade adequada às necessidades das Secretarias, evitando desperdícios e otimizando o armazenamento.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A quantidade total de GLP a ser fornecida deverá ser estimada com base no consumo médio histórico de cada Secretaria, considerando eventuais variações sazonais.</w:t>
            </w:r>
          </w:p>
          <w:p w14:paraId="619DE9D5" w14:textId="1177516D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Qualidade do Produto: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 GLP fornecido deve atender às especificações técnicas e normas vigentes, garantindo a qualidade e a segurança do produto.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 fornecedor deve apresentar certificados de qualidade e conformidade emitidos por órgãos competentes.</w:t>
            </w:r>
          </w:p>
          <w:p w14:paraId="2DD76434" w14:textId="115B2348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Condições de Armazenamento e Manuseio: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 fornecedor deverá garantir que o transporte e o armazenamento do GLP sejam realizados de acordo com as normas de segurança, prevenindo riscos de acidentes.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Os recipientes deverão ser adequadamente identificados e lacrados, e as instruções de segurança deverão ser claramente disponibilizadas.</w:t>
            </w:r>
          </w:p>
          <w:p w14:paraId="26024F01" w14:textId="196B906F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Preço e Condições de Pagamento: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Os preços das recargas de GLP deverão ser compatíveis com o mercado e deverão estar detalhados no contrato, incluindo possíveis reajustes conforme índices de inflação ou variação cambial.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As condições de pagamento ser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ão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 xml:space="preserve"> claramente especificadas, prevendo pagamentos mensais ou parcelados de acordo com as entregas efetuadas.</w:t>
            </w:r>
          </w:p>
          <w:p w14:paraId="4F28A4AE" w14:textId="64A72A14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Assistência Técnica e Suporte: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 fornecedor deverá oferecer suporte técnico em caso de problemas relacionados ao fornecimento ou ao uso do GLP, garantindo a rápida resolução de eventuais ocorrências.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Deverá ser disponibilizado um canal de comunicação direta para atendimento emergencial e suporte técnico.</w:t>
            </w:r>
          </w:p>
          <w:p w14:paraId="5C1182C5" w14:textId="6DFDC54D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Prazo de Vigência do Contrato: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 contrato deverá prever a vigência mínima de 12 meses, podendo ser prorrogado conforme a necessidade da Administração Municipal e a performance do fornecedor.</w:t>
            </w:r>
          </w:p>
          <w:p w14:paraId="110A83CE" w14:textId="2C37A933" w:rsidR="0094489A" w:rsidRP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Obrigações do Fornecedor: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O fornecedor deverá se comprometer a cumprir todos os requisitos legais e regulamentares aplicáveis ao fornecimento de GLP.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Deverá ser assegurado que os motoristas e operadores envolvidos no transporte e manuseio do GLP possuam treinamento e certificação adequados.</w:t>
            </w:r>
          </w:p>
          <w:p w14:paraId="4C673007" w14:textId="3FD7917B" w:rsidR="0094489A" w:rsidRDefault="0094489A" w:rsidP="0094489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4489A">
              <w:rPr>
                <w:rFonts w:ascii="Times New Roman" w:hAnsi="Times New Roman" w:cs="Times New Roman"/>
                <w:sz w:val="20"/>
                <w:szCs w:val="20"/>
              </w:rPr>
              <w:t>A observância desses requisitos para a aquisição de recargas de GLP de forma parcelada é essencial para assegurar a continuidade dos serviços públicos prestados pelas Secretarias Municipais, promovendo a eficiência e a segurança no atendimento das necessidades do Município de Paverama/RS.</w:t>
            </w:r>
          </w:p>
          <w:p w14:paraId="7A22C7EC" w14:textId="3D329D24" w:rsidR="00130D04" w:rsidRPr="006D71F2" w:rsidRDefault="00130D04" w:rsidP="004404B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As quantidades e especificações detalhadas de cada item estão disponíveis no arquivo anexo a este ETP, o qual deve ser consultado para uma compreensão completa dos requisitos técnicos e operacionais dos materiais de expediente a serem adquiridos.</w:t>
            </w:r>
          </w:p>
          <w:p w14:paraId="235CB41A" w14:textId="7B0D8E11" w:rsidR="00130D04" w:rsidRPr="006D71F2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É importante ressaltar que os </w:t>
            </w:r>
            <w:r w:rsidR="002E13EA"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fornecidos devem estar de acordo com as normas técnicas e de qualidade vigentes, garantindo sua adequação ao uso pretendido e sua durabilidade ao longo do tempo.</w:t>
            </w:r>
          </w:p>
          <w:p w14:paraId="4B0F43B2" w14:textId="601FAF57" w:rsidR="002E13EA" w:rsidRPr="00A00198" w:rsidRDefault="00130D04" w:rsidP="002E13E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Qualquer dúvida ou necessidade de esclarecimento adicional deve ser encaminhada ao Setor de Compras do Município de Paverama, responsável pelo processo licitatório, para garantir a correta interpretação das especificações e o adequado atendimento às necessidades do órgão público.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77F24F0B" w14:textId="77777777" w:rsidTr="00C3667F">
        <w:tc>
          <w:tcPr>
            <w:tcW w:w="9209" w:type="dxa"/>
          </w:tcPr>
          <w:p w14:paraId="26828342" w14:textId="6FE5906A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25CF518F" w14:textId="593C0B7D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7CF1596" w14:textId="77777777" w:rsidTr="00C3667F">
        <w:trPr>
          <w:trHeight w:val="249"/>
        </w:trPr>
        <w:tc>
          <w:tcPr>
            <w:tcW w:w="9209" w:type="dxa"/>
          </w:tcPr>
          <w:p w14:paraId="40C67508" w14:textId="02115193" w:rsidR="002F4322" w:rsidRPr="0094489A" w:rsidRDefault="00864F24" w:rsidP="00864F24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 definição dos quantitativos propostos fundamenta-se em levantamento realizado pelo Setor de Compras, que considerou as aquisições dos últimos 12 (doze) meses, as demandas relacionadas ao planejamento dos próximos 12 (doze) meses e o histórico de 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aquisições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do objeto em questão. A estimativa de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quantidades para a aquisição parcelada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de 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para as Secretarias Municipais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, envolve um processo que leva em conta diversos fatores. Abaixo estão as etapas e considerações observadas para realiza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ção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das estimativas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:</w:t>
            </w:r>
          </w:p>
          <w:p w14:paraId="20A48D5F" w14:textId="781DD9C5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1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Levantamento Histórico de Consumo: Analise dados históricos de consumo de cada tipo de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produto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, levando em consideração períodos similares anteriores. Informações obtidas por meio de registros de consumo, relatórios de prestação de contas de eventos anteriores, entre outros documentos disponíveis.</w:t>
            </w:r>
          </w:p>
          <w:p w14:paraId="61B9041A" w14:textId="05E5AD03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2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Projeção de Demanda Futura: Utilizou-se as informações do levantamento histórico para projetar a demanda futura, lev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ando em conta fatores sazonais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e possíveis alterações nas demandas das Secretarias Municipais.</w:t>
            </w:r>
          </w:p>
          <w:p w14:paraId="3D432C39" w14:textId="268FDB60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lastRenderedPageBreak/>
              <w:t>3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Contingência e Margem de Segurança: Adicionou-se uma margem de segurança à estimativa de demanda para contemplar possíveis imprevistos, como aumento na demanda devido a eventos inesperados, variações climáticas ou problemas no fornecimento.</w:t>
            </w:r>
          </w:p>
          <w:p w14:paraId="55045DB3" w14:textId="5F775E93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4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Definição de Frequência de Fornecimento: Estabeleceu-se a frequência de fornecimento parcelado dos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com base na projeção de demanda e nas capacidades logísticas dos fornecedores. Essa frequência deve garantir um abastecimento regular sem sobrecarregar o estoque ou comprometer a qualidade dos produtos.</w:t>
            </w:r>
          </w:p>
          <w:p w14:paraId="354A382C" w14:textId="5C439BD0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5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Monitoramento Contínuo: Com um sistema de monitoramento contínuo da demanda e do consumo de materiais de consumo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ao longo do período de fornecimento parcelado. </w:t>
            </w:r>
          </w:p>
          <w:p w14:paraId="3EA9B92E" w14:textId="422A29D2" w:rsidR="00E45110" w:rsidRPr="0094489A" w:rsidRDefault="004C76C6" w:rsidP="00E45110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Examinando as 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etapas e considerações,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foi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possível realizar uma estimativa de quantidades para, atendendo de maneira eficaz às demandas da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dministração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M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unicipal de Paverama.</w:t>
            </w:r>
          </w:p>
          <w:p w14:paraId="6A1E5979" w14:textId="74910A41" w:rsidR="00CE20ED" w:rsidRPr="0094489A" w:rsidRDefault="009166CC" w:rsidP="00CE20ED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Ao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ressaltar pontos elencados acima, busca-se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realizar uma estimativa das quantidades </w:t>
            </w:r>
            <w:r w:rsidR="00F03B3F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de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="00F03B3F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necessários</w:t>
            </w:r>
            <w:r w:rsidR="004C76C6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para atender a demanda do Município,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considerando o fornecimento parcelado,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 fim de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garantir uma gestão eficiente dos recursos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e uma execução satisfatória d</w:t>
            </w:r>
            <w:r w:rsidR="004C76C6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as futuras aquisições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="00CC776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  <w:p w14:paraId="0F2CE162" w14:textId="1BE6439F" w:rsidR="00CC7762" w:rsidRPr="00C867CF" w:rsidRDefault="00CC7762" w:rsidP="004C76C6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Por fim, consta em apêndice ao ETP, as informações atinentes a quantidade estimada de cada produto, as especificações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mínimas, bem como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os orçamentos coletados com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fornecedores </w:t>
            </w:r>
            <w:r w:rsidR="004C76C6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locais e eventuais pesquisas em banco de dados públicos.</w:t>
            </w:r>
          </w:p>
        </w:tc>
      </w:tr>
    </w:tbl>
    <w:p w14:paraId="6E7C030A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21089FAE" w14:textId="77777777" w:rsidTr="00C3667F">
        <w:tc>
          <w:tcPr>
            <w:tcW w:w="9209" w:type="dxa"/>
          </w:tcPr>
          <w:p w14:paraId="268D97E3" w14:textId="4D1A7DC4" w:rsidR="008F76F3" w:rsidRPr="00A00198" w:rsidRDefault="008F76F3" w:rsidP="004655AD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2A33C" w14:textId="5EF28DD9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V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0E2412E" w14:textId="77777777" w:rsidTr="00C3667F">
        <w:tc>
          <w:tcPr>
            <w:tcW w:w="9209" w:type="dxa"/>
          </w:tcPr>
          <w:p w14:paraId="23F96FE7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Com base na Lei nº 14.133/2021, que estabelece normas gerais de licitação e contratação para a Administração Pública, é fundamental explorar alternativas no mercado para resolver o problema do fornecimento de GLP de forma parcelada para as Secretarias Municipais do Município de Paverama/RS. Abaixo, apresento algumas alternativas viáveis para atender essa demanda:</w:t>
            </w:r>
          </w:p>
          <w:p w14:paraId="3848A66D" w14:textId="769393C3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Contratação Direta com Fornecedores Locais:</w:t>
            </w:r>
          </w:p>
          <w:p w14:paraId="73B50C9D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Descrição: Realizar a contratação direta com fornecedores locais de GLP que possuam capacidade para atender a demanda das Secretarias Municipais de forma parcelada.</w:t>
            </w:r>
          </w:p>
          <w:p w14:paraId="56203E41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Vantagens: Redução de custos logísticos, fortalecimento da economia local, maior facilidade na comunicação e na resolução de problemas.</w:t>
            </w:r>
          </w:p>
          <w:p w14:paraId="7D6ECA51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Desvantagens: Limitação na capacidade de fornecimento de grandes volumes, possível variação nos preços devido à menor concorrência.</w:t>
            </w:r>
          </w:p>
          <w:p w14:paraId="29723BDD" w14:textId="48F9571A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Licitação na Modalidade Pregão:</w:t>
            </w:r>
          </w:p>
          <w:p w14:paraId="2FFCC905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Descrição: Realizar uma licitação na modalidade de pregão, preferencialmente eletrônico, para selecionar o fornecedor que apresente a melhor proposta para o fornecimento parcelado de GLP.</w:t>
            </w:r>
          </w:p>
          <w:p w14:paraId="33DFFBED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Vantagens: Maior transparência e competitividade no processo de contratação, possibilidade de obtenção de melhores preços e condições de pagamento.</w:t>
            </w:r>
          </w:p>
          <w:p w14:paraId="04E9CE4E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Desvantagens: Processo licitatório pode ser demorado e burocrático, exigindo um planejamento adequado para evitar interrupções no abastecimento.</w:t>
            </w:r>
          </w:p>
          <w:p w14:paraId="3B689D7C" w14:textId="164409F0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Adesão a Atas de Registro de Preços:</w:t>
            </w:r>
          </w:p>
          <w:p w14:paraId="25E59B06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Descrição: Participar de atas de registro de preços já existentes em outros municípios ou estados, que contemplem o fornecimento de GLP de forma parcelada.</w:t>
            </w:r>
          </w:p>
          <w:p w14:paraId="61117DB5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Vantagens: Agilidade na contratação, redução de custos administrativos e possibilidade de obter condições vantajosas negociadas em conjunto com outros entes públicos.</w:t>
            </w:r>
          </w:p>
          <w:p w14:paraId="4A473707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Desvantagens: Dependência das condições negociadas por outros órgãos, possíveis restrições quanto à personalização do contrato conforme as necessidades específicas de Paverama.</w:t>
            </w:r>
          </w:p>
          <w:p w14:paraId="7049A1D2" w14:textId="2B9C714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Consórcio Público:</w:t>
            </w:r>
          </w:p>
          <w:p w14:paraId="350F1F33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Descrição: Formação de um consórcio público com outros municípios para a realização de uma licitação conjunta para a aquisição de GLP.</w:t>
            </w:r>
          </w:p>
          <w:p w14:paraId="6DD27E09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Vantagens: Economia de escala, maior poder de negociação com fornecedores, redução de custos administrativos e operacionais.</w:t>
            </w:r>
          </w:p>
          <w:p w14:paraId="33775B0C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Desvantagens: Necessidade de coordenação entre os municípios participantes, maior complexidade na gestão do contrato e na divisão dos recursos.</w:t>
            </w:r>
          </w:p>
          <w:p w14:paraId="0757DE0F" w14:textId="7A74C66B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Contrato de Fornecimento Continuado:</w:t>
            </w:r>
          </w:p>
          <w:p w14:paraId="6A9902D9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Descrição: Estabelecer um contrato de fornecimento continuado com um fornecedor de GLP, prevendo entregas periódicas conforme a demanda das Secretarias Municipais.</w:t>
            </w:r>
          </w:p>
          <w:p w14:paraId="600F4F2D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Vantagens: Garantia de abastecimento regular, possibilidade de negociar condições especiais de fornecimento e pagamento, maior previsibilidade orçamentária.</w:t>
            </w:r>
          </w:p>
          <w:p w14:paraId="0786FAAB" w14:textId="77777777" w:rsidR="00E22748" w:rsidRP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Desvantagens: Comprometimento de longo prazo com um único fornecedor, necessidade de cláusulas contratuais que assegurem a qualidade e a regularidade do fornecimento.</w:t>
            </w:r>
          </w:p>
          <w:p w14:paraId="020E2B24" w14:textId="116786E9" w:rsidR="00E22748" w:rsidRDefault="00E22748" w:rsidP="00E22748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r w:rsidRPr="00E22748">
              <w:rPr>
                <w:rFonts w:ascii="Times New Roman" w:hAnsi="Times New Roman" w:cs="Times New Roman"/>
                <w:sz w:val="20"/>
                <w:szCs w:val="20"/>
              </w:rPr>
              <w:t>A escolha da alternativa mais adequada para a aquisição de recargas de GLP de forma parcelada deve considerar diversos fatores, como a eficiência, a economia, a transparência e a capacidade de atendimento das necessidades do Município de Paverama. Cada alternativa apresenta suas vantagens e desvantagens, e a decisão deve ser baseada em uma análise criteriosa das especificidades locais e das exigências legais estabelecidas pela Lei nº 14.133/2021. A adoção de um processo licitatório transparente e competitivo, aliado a um planejamento cuidadoso, é fundamental para garantir a continuidade e a eficiência dos serviços públicos prestados à população.</w:t>
            </w:r>
          </w:p>
          <w:p w14:paraId="0B867B43" w14:textId="6A27EF83" w:rsidR="00B61D2C" w:rsidRPr="004655AD" w:rsidRDefault="00B61D2C" w:rsidP="00B61D2C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0195927"/>
            <w:r w:rsidRPr="00B61D2C">
              <w:rPr>
                <w:rFonts w:ascii="Times New Roman" w:hAnsi="Times New Roman" w:cs="Times New Roman"/>
                <w:sz w:val="20"/>
                <w:szCs w:val="20"/>
              </w:rPr>
              <w:t xml:space="preserve">Para decidir sobre a melhor alternativa, é essencial realizar uma análise comparativa considerando fatores como custo, 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eficiência, capacidade de fornecimento, flexibilidade, e alinhamento com os objetivos do município. Uma matriz de decisão pode ser útil para visualizar e comparar esses fatores:</w:t>
            </w:r>
          </w:p>
          <w:bookmarkEnd w:id="0"/>
          <w:p w14:paraId="4027F677" w14:textId="77777777" w:rsidR="00D05BD3" w:rsidRPr="004655AD" w:rsidRDefault="00D05BD3" w:rsidP="00B61D2C">
            <w:pPr>
              <w:spacing w:after="0"/>
              <w:ind w:firstLine="881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8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391"/>
              <w:gridCol w:w="1392"/>
              <w:gridCol w:w="1392"/>
              <w:gridCol w:w="1392"/>
              <w:gridCol w:w="1392"/>
            </w:tblGrid>
            <w:tr w:rsidR="004655AD" w:rsidRPr="004655AD" w14:paraId="29CBEC8C" w14:textId="77777777" w:rsidTr="004655AD">
              <w:trPr>
                <w:trHeight w:val="307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37A11592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Critérios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39C54ADF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Contratação Direta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60D615C4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Pregão Eletrônico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00DE85B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Atas de Registro de Preços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097B0F9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Consórcio Público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566CDFA0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Contrato de Fornecimento Continuado</w:t>
                  </w:r>
                </w:p>
              </w:tc>
            </w:tr>
            <w:tr w:rsidR="004655AD" w:rsidRPr="004655AD" w14:paraId="3DD4BA6E" w14:textId="77777777" w:rsidTr="004655AD">
              <w:trPr>
                <w:trHeight w:val="300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0F3E79A0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Custo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ACC9C87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469DEA18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332A68B8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7D00380D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Baixo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C73496E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Médio</w:t>
                  </w:r>
                </w:p>
              </w:tc>
            </w:tr>
            <w:tr w:rsidR="004655AD" w:rsidRPr="004655AD" w14:paraId="2CF79471" w14:textId="77777777" w:rsidTr="004655AD">
              <w:trPr>
                <w:trHeight w:val="152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2500F404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Eficiência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309E0011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38755202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7D7FBA9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3DE2936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7CDFB389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4655AD" w:rsidRPr="004655AD" w14:paraId="34560E38" w14:textId="77777777" w:rsidTr="004655AD">
              <w:trPr>
                <w:trHeight w:val="197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31068EB0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Capacidade de Fornecimento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39CD565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2B36D45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873A0EC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56F141B1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07219D7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4655AD" w:rsidRPr="004655AD" w14:paraId="2072AE75" w14:textId="77777777" w:rsidTr="004655AD">
              <w:trPr>
                <w:trHeight w:val="63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646C4E43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Flexibilidade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2A035677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5D18E799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F79C6A7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1DC6C7FE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6DF30E26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  <w:tr w:rsidR="004655AD" w:rsidRPr="004655AD" w14:paraId="3FA7AD4E" w14:textId="77777777" w:rsidTr="004655AD">
              <w:trPr>
                <w:trHeight w:val="63"/>
              </w:trPr>
              <w:tc>
                <w:tcPr>
                  <w:tcW w:w="2002" w:type="dxa"/>
                  <w:shd w:val="clear" w:color="auto" w:fill="auto"/>
                  <w:vAlign w:val="center"/>
                  <w:hideMark/>
                </w:tcPr>
                <w:p w14:paraId="6A9B92A5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Alinhamento com Objetivos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  <w:hideMark/>
                </w:tcPr>
                <w:p w14:paraId="6D55C378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0E38B248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301C25FC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42EA065E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Média</w:t>
                  </w:r>
                </w:p>
              </w:tc>
              <w:tc>
                <w:tcPr>
                  <w:tcW w:w="1392" w:type="dxa"/>
                  <w:shd w:val="clear" w:color="auto" w:fill="auto"/>
                  <w:vAlign w:val="center"/>
                  <w:hideMark/>
                </w:tcPr>
                <w:p w14:paraId="27032B7A" w14:textId="77777777" w:rsidR="004655AD" w:rsidRPr="004655AD" w:rsidRDefault="004655AD" w:rsidP="004655AD">
                  <w:pPr>
                    <w:spacing w:after="0"/>
                    <w:ind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655A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Alta</w:t>
                  </w:r>
                </w:p>
              </w:tc>
            </w:tr>
          </w:tbl>
          <w:p w14:paraId="3A82D54B" w14:textId="77777777" w:rsidR="00B61D2C" w:rsidRPr="004655AD" w:rsidRDefault="00B61D2C" w:rsidP="004655AD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EC42" w14:textId="77777777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A escolha pela realização de um processo de contratação de fornecedores por Licitação na Modalidade Pregão Eletrônico, com o objetivo de Registro de Preços para a aquisição de recargas de gás liquefeito de petróleo (GLP) de forma parcelada para as Secretarias Municipais, se mostra como a melhor solução para atender às necessidades do Município de Paverama/RS. Esta decisão se justifica por diversos fatores relevantes, que asseguram eficiência, economia e segurança no abastecimento.</w:t>
            </w:r>
          </w:p>
          <w:p w14:paraId="22C56EE8" w14:textId="145686E4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 xml:space="preserve"> Transparência e Competitividade: A modalidade de pregão eletrônico é caracterizada por seu elevado grau de transparência, já que todas as etapas do processo são realizadas em ambiente virtual, permitindo o acompanhamento pelos órgãos de controle e pela sociedade. Além disso, o pregão eletrônico promove ampla competitividade entre os fornecedores, possibilitando a participação de empresas de diversas localidades, o que tende a resultar em melhores ofertas e condições de fornecimento.</w:t>
            </w:r>
          </w:p>
          <w:p w14:paraId="285F9C3F" w14:textId="1A616AB4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 xml:space="preserve"> Economia de Recursos Públicos: A realização de pregão eletrônico para registro de preços permite a obtenção de valores mais competitivos, uma vez que os fornecedores disputam entre si para oferecer o menor preço. Com isso, o Município de Paverama pode economizar recursos públicos, que podem ser direcionados para outras áreas prioritárias. A modalidade de registro de preços ainda possibilita a aquisição conforme a demanda, evitando a imobilização de recursos em estoques desnecessários.</w:t>
            </w:r>
          </w:p>
          <w:p w14:paraId="6A1721CE" w14:textId="141D38B8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 xml:space="preserve"> Flexibilidade e Adequação às Necessidades: O registro de preços viabiliza a aquisição de recargas de GLP de forma parcelada, conforme a necessidade das Secretarias Municipais, ao longo do período de vigência da ata. Isso proporciona flexibilidade para ajustar a quantidade de gás conforme a variação de consumo e a demanda específica de cada secretaria, evitando tanto o desperdício quanto a falta de GLP.</w:t>
            </w:r>
          </w:p>
          <w:p w14:paraId="7B92BDD2" w14:textId="0C515480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 xml:space="preserve"> Planejamento e Previsibilidade: A utilização da modalidade de pregão eletrônico para registro de preços permite um planejamento mais eficiente das aquisições, garantindo previsibilidade nos gastos e no abastecimento de GLP. A Administração Municipal pode contar com um cronograma de entregas previamente estabelecido, o que facilita a gestão e a continuidade dos serviços públicos essenciais.</w:t>
            </w:r>
          </w:p>
          <w:p w14:paraId="6F7E170F" w14:textId="665F580C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 xml:space="preserve"> Segurança e Qualidade: A modalidade de pregão eletrônico assegura que os fornecedores selecionados atendam a todos os requisitos técnicos e de segurança exigidos para o fornecimento de GLP. O processo de licitação permite a inclusão de cláusulas que garantam a qualidade do produto e a conformidade com as normas vigentes, proporcionando maior segurança para as instalações e para os servidores municipais.</w:t>
            </w:r>
          </w:p>
          <w:p w14:paraId="78506086" w14:textId="7BDDF23D" w:rsidR="004655AD" w:rsidRPr="004655AD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55AD">
              <w:rPr>
                <w:rFonts w:ascii="Times New Roman" w:hAnsi="Times New Roman" w:cs="Times New Roman"/>
                <w:sz w:val="20"/>
                <w:szCs w:val="20"/>
              </w:rPr>
              <w:t xml:space="preserve"> Redução de Custos Administrativos: O pregão eletrônico reduz os custos administrativos envolvidos no processo de contratação, uma vez que elimina a necessidade de deslocamentos e de reuniões presenciais. A gestão eletrônica das propostas e dos documentos facilita o trabalho dos servidores responsáveis pela licitação, otimizando o tempo e os recursos da Administração Municipal.</w:t>
            </w:r>
          </w:p>
          <w:p w14:paraId="4774A4C7" w14:textId="6428022B" w:rsidR="0064267B" w:rsidRPr="00DD2D91" w:rsidRDefault="004655AD" w:rsidP="004655A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Diante dos benefícios apresentados, fica evidente que a realização de um processo de contratação de fornecedores por Licitação na Modalidade Pregão Eletrônico para Registro de Preços é a melhor solução para a aquisição de recargas de GLP de forma parcelada para as Secretarias Municipais de Paverama/RS. Esta modalidade garante transparência, economia, flexibilidade, previsibilidade, segurança e qualidade no fornecimento, atendendo de forma eficiente às necessidades do município e promovendo o uso responsável dos recursos públicos.</w:t>
            </w: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EE56F1B" w14:textId="77777777" w:rsidTr="00C3667F">
        <w:tc>
          <w:tcPr>
            <w:tcW w:w="9209" w:type="dxa"/>
          </w:tcPr>
          <w:p w14:paraId="7C09CC09" w14:textId="187707BB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41FC5" w14:textId="40F0567C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2BE0386" w14:textId="77777777" w:rsidTr="00C3667F">
        <w:tc>
          <w:tcPr>
            <w:tcW w:w="9209" w:type="dxa"/>
          </w:tcPr>
          <w:p w14:paraId="3E4E382E" w14:textId="06621C3C" w:rsidR="008F76F3" w:rsidRPr="004655AD" w:rsidRDefault="00332733" w:rsidP="00792CF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Consta em apêndice </w:t>
            </w:r>
            <w:r w:rsidR="00830BFC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ETP</w:t>
            </w:r>
            <w:r w:rsidR="00830BFC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91D74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pormenorizado </w:t>
            </w:r>
            <w:r w:rsidR="00830BFC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 informações </w:t>
            </w:r>
            <w:r w:rsidR="00C91D74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CC7762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cada </w:t>
            </w:r>
            <w:r w:rsidR="00C91D74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item </w:t>
            </w:r>
            <w:r w:rsidR="00CC7762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necessário</w:t>
            </w:r>
            <w:r w:rsidR="00830BFC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8FDFC5D" w14:textId="7CD462EB" w:rsidR="00CC7762" w:rsidRPr="00A00198" w:rsidRDefault="00CC7762" w:rsidP="00792CF3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O valor total </w:t>
            </w:r>
            <w:r w:rsidRPr="00BD7104">
              <w:rPr>
                <w:rFonts w:ascii="Times New Roman" w:hAnsi="Times New Roman" w:cs="Times New Roman"/>
                <w:sz w:val="20"/>
                <w:szCs w:val="20"/>
              </w:rPr>
              <w:t xml:space="preserve">estimado </w:t>
            </w:r>
            <w:r w:rsidRPr="007F6824">
              <w:rPr>
                <w:rFonts w:ascii="Times New Roman" w:hAnsi="Times New Roman" w:cs="Times New Roman"/>
                <w:sz w:val="20"/>
                <w:szCs w:val="20"/>
              </w:rPr>
              <w:t xml:space="preserve">é de </w:t>
            </w:r>
            <w:r w:rsidR="00F47083" w:rsidRPr="007F68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</w:t>
            </w:r>
            <w:r w:rsidR="004655A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F6824" w:rsidRPr="007F68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655A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="007F6824" w:rsidRPr="007F68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655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F6824" w:rsidRPr="007F68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D4CC4" w:rsidRPr="007F6824">
              <w:rPr>
                <w:rFonts w:ascii="Times New Roman" w:hAnsi="Times New Roman" w:cs="Times New Roman"/>
                <w:sz w:val="20"/>
                <w:szCs w:val="20"/>
              </w:rPr>
              <w:t>, com</w:t>
            </w:r>
            <w:r w:rsidR="001D4CC4" w:rsidRPr="00F47083">
              <w:rPr>
                <w:rFonts w:ascii="Times New Roman" w:hAnsi="Times New Roman" w:cs="Times New Roman"/>
                <w:sz w:val="20"/>
                <w:szCs w:val="20"/>
              </w:rPr>
              <w:t xml:space="preserve"> base </w:t>
            </w:r>
            <w:r w:rsidR="001D4CC4" w:rsidRPr="001D4CC4">
              <w:rPr>
                <w:rFonts w:ascii="Times New Roman" w:hAnsi="Times New Roman" w:cs="Times New Roman"/>
                <w:sz w:val="20"/>
                <w:szCs w:val="20"/>
              </w:rPr>
              <w:t>no último processo de licitaç</w:t>
            </w:r>
            <w:r w:rsidR="001D4CC4">
              <w:rPr>
                <w:rFonts w:ascii="Times New Roman" w:hAnsi="Times New Roman" w:cs="Times New Roman"/>
                <w:sz w:val="20"/>
                <w:szCs w:val="20"/>
              </w:rPr>
              <w:t>ão realizado, no entanto foram realizados ajustes dos itens, especialmente as quantidades propostas</w:t>
            </w:r>
            <w:r w:rsidR="00F47083">
              <w:rPr>
                <w:rFonts w:ascii="Times New Roman" w:hAnsi="Times New Roman" w:cs="Times New Roman"/>
                <w:sz w:val="20"/>
                <w:szCs w:val="20"/>
              </w:rPr>
              <w:t xml:space="preserve"> e inclusões e supressões de itens</w:t>
            </w:r>
            <w:r w:rsidR="001D4C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7604182" w14:textId="5C5EC25D" w:rsidR="00CC7762" w:rsidRPr="004655AD" w:rsidRDefault="001D4CC4" w:rsidP="00792CF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Cabe destacar que não </w:t>
            </w:r>
            <w:r w:rsidR="00CC7762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há necessidade de sigilo das informações.</w:t>
            </w:r>
          </w:p>
        </w:tc>
      </w:tr>
    </w:tbl>
    <w:p w14:paraId="0E9A09B8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9783D2D" w14:textId="77777777" w:rsidTr="00C3667F">
        <w:tc>
          <w:tcPr>
            <w:tcW w:w="9209" w:type="dxa"/>
          </w:tcPr>
          <w:p w14:paraId="467389BF" w14:textId="5A123A8F" w:rsidR="008F76F3" w:rsidRPr="00A00198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D36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74CFCA8D" w14:textId="304DD61F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solução como um todo, inclusive das exigências relacionadas à manutenção e à assistência técnica, quando for o caso (inciso VII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3FF8AC2" w14:textId="77777777" w:rsidTr="00C3667F">
        <w:tc>
          <w:tcPr>
            <w:tcW w:w="9209" w:type="dxa"/>
          </w:tcPr>
          <w:p w14:paraId="61C9F148" w14:textId="77777777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As empresas licitantes vencedoras que participarão do processo de aquisição parcelada de recargas de gás liquefeito de petróleo (GLP) para as Secretarias Municipais do Município de Paverama/RS devem observar uma série de exigências e aspectos relacionados ao fornecimento e à entrega dos produtos. Abaixo estão listados os principais requisitos que deverão ser cumpridos:</w:t>
            </w:r>
          </w:p>
          <w:p w14:paraId="019D8EC3" w14:textId="58663496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Qualidade do Produto: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O GLP fornecido deve atender às especificações técnicas e normas vigentes, garantindo a segurança e eficiência no uso.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Os fornecedores devem apresentar certificados de conformidade emitidos por órgãos competentes, assegurando a qualidade do produto.</w:t>
            </w:r>
          </w:p>
          <w:p w14:paraId="1252F381" w14:textId="177E089D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Certificação e Documentação: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As empresas vencedoras devem fornecer toda a documentação necessária para comprovar a conformidade do produto com as regulamentações aplicáveis, incluindo certificados de qualidade e segurança.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Devem ser apresentadas licenças e autorizações pertinentes, conforme exigido pela legislação local e nacional.</w:t>
            </w:r>
          </w:p>
          <w:p w14:paraId="3315A12A" w14:textId="2C1E12F3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Transporte e Armazenamento: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O transporte do GLP deve ser realizado em veículos apropriados, de acordo com as normas de segurança, prevenindo riscos de acidentes.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Os recipientes de GLP devem ser adequadamente identificados e lacrados, e as instruções de segurança devem ser claramente disponibilizadas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A empresa fornecedora deve garantir que os locais de armazenamento nas Secretarias Municipais atendam às normas de segurança e regulamentações vigentes.</w:t>
            </w:r>
          </w:p>
          <w:p w14:paraId="11AC6071" w14:textId="11F10B72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Condições de Entrega: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As entregas devem ser realizadas conforme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demanda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prazo máximo de 02 (duas) horas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garantindo o abastecimento contínuo e ininterrupto das Secretarias Municipais.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As recargas de GLP devem ser entregues diretamente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nos locais indicados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, conforme especificado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Termo de Referência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Em caso de atrasos ou problemas nas entregas, a empresa fornecedora deve comunicar imediatamente a Administração Municipal e tomar as medidas necessárias para regularizar a situação.</w:t>
            </w:r>
          </w:p>
          <w:p w14:paraId="44A8272D" w14:textId="191D4E0D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Suporte Técnico e Assistência: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O fornecedor deve oferecer suporte técnico em caso de problemas relacionados ao fornecimento ou ao uso do GLP, garantindo a rápida resolução de ocorrências.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Deve ser disponibilizado um canal de comunicação direta para atendimento emergencial e suporte técnico.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Manutenções preventivas nos equipamentos de armazenamento e distribuição de GLP devem ser realizadas conforme estipulado por lei e normas técnicas.</w:t>
            </w:r>
          </w:p>
          <w:p w14:paraId="0A6D4084" w14:textId="037B94C5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Condições de Pagamento: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As condições de pagamento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serão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especificadas no contrato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documento equivalente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, prevendo pagamentos mensais ou parcelados de acordo com as entregas efetuadas.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Possíveis reajustes de preços devem ser definidos com base em índices oficiais de inflação ou variação cambial, conforme acordado no contrato.</w:t>
            </w:r>
          </w:p>
          <w:p w14:paraId="596D7C3C" w14:textId="0D460DAE" w:rsidR="00C63EE8" w:rsidRP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 Monitoramento e Fiscalização: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A empresa fornecedora deve permitir o monitoramento e a fiscalização pela Administração Municipal, garantindo que todas as obrigações contratuais sejam cumpridas.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>Relatórios periódicos de fornecimento devem ser apresentados, detalhando as quantidades entregues e as condições do produto.</w:t>
            </w:r>
          </w:p>
          <w:p w14:paraId="0E2986A3" w14:textId="538773B3" w:rsidR="00C63EE8" w:rsidRDefault="00C63EE8" w:rsidP="00C63EE8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sz w:val="20"/>
                <w:szCs w:val="20"/>
              </w:rPr>
              <w:t xml:space="preserve">As empresas licitantes vencedoras devem observar rigorosamente essas exigências para garantir a qualidade, segurança e regularidade do fornecimento de GLP para as Secretarias Municipais do Município de Paverama/RS. O cumprimento desses requisitos assegura a continuidade dos serviços públicos essenciais, </w:t>
            </w:r>
            <w:r w:rsidRPr="00C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promove a eficiência na gestão dos recursos públicos e garante a segurança de todos os envolvidos no processo de abastecimento.</w:t>
            </w:r>
          </w:p>
          <w:p w14:paraId="6998307C" w14:textId="6F96C119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Ata de Registro de Preços resultante do Pregão Eletrônico deverá conter cláusulas específicas relacionadas ao fornecimento parcelado, garantia de qualidade, assistência técnica, sustentabilidade e demais exigências legais e normativas. </w:t>
            </w:r>
          </w:p>
          <w:p w14:paraId="0E88F78A" w14:textId="0BCC6188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Setor de Compras responsável pela gestão dos </w:t>
            </w:r>
            <w:r w:rsidR="00C63EE8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produtos e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deverá realizar a fiscalização e o monitoramento contínuo do fornecimento, verificando a conformidade dos produtos entregues, a regularidade das entregas conforme </w:t>
            </w:r>
            <w:r w:rsidR="00C63EE8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demanda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a qualidade dos serviços prestados pelos fornecedores. Qualquer inconformidade deverá ser prontamente comunicada e corrigida pelos fornecedores.</w:t>
            </w:r>
          </w:p>
          <w:p w14:paraId="232700BF" w14:textId="7D35C6BB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aquisição parcelada de materiais de consumo para as Secretarias Municipais de Paverama, mediante Pregão Eletrônico e com exigências específicas relacionadas ao fornecimento, manutenções e assistência técnica, representa uma solução sólida e alinhada com as melhores práticas de gestão pública. Essa abordagem assegura a continuidade dos serviços, a qualidade dos produtos e a eficiência na utilização dos recursos públicos, atendendo plenamente aos interesses e necessidades do município.</w:t>
            </w:r>
          </w:p>
          <w:p w14:paraId="26473D1F" w14:textId="742148FE" w:rsidR="00D36563" w:rsidRPr="00A678B5" w:rsidRDefault="00635E92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Cabe frisar que as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empresas devem cumprir rigorosamente os prazos de entrega estipulados no Edital. A entrega dos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produtos 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 ser realizada dentro do prazo acordado para garantir o suprimento contínuo e adequado.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Sugere-se, o prazo </w:t>
            </w:r>
            <w:r w:rsid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máximo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 </w:t>
            </w:r>
            <w:r w:rsid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02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</w:t>
            </w:r>
            <w:r w:rsid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duas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) </w:t>
            </w:r>
            <w:r w:rsid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horas </w:t>
            </w:r>
            <w:r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para os </w:t>
            </w:r>
            <w:r w:rsidR="00DF766F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produtos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496D7BA" w14:textId="08D2DDE9" w:rsidR="00662E99" w:rsidRPr="00C63EE8" w:rsidRDefault="00635E92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 relação a d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ocumentação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egal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empresas devem apresentar toda a documentação legal necessária para comprovar sua regularidade fiscal, trabalhista e jurídica. </w:t>
            </w:r>
            <w:r w:rsidR="00662E99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Isso inclui apresentar certidões negativas, alvarás, registro no CNPJ, entre outros documentos exigidos pela legislação. </w:t>
            </w:r>
          </w:p>
          <w:p w14:paraId="2BFDCA85" w14:textId="03C788B1" w:rsidR="00635E92" w:rsidRDefault="00662E99" w:rsidP="00635E92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5E92" w:rsidRPr="00635E92">
              <w:rPr>
                <w:rFonts w:ascii="Times New Roman" w:hAnsi="Times New Roman" w:cs="Times New Roman"/>
                <w:b/>
                <w:sz w:val="20"/>
                <w:szCs w:val="20"/>
              </w:rPr>
              <w:t>Facultar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que seja exigido a apresentação de Atestado de Capacidade Técnica, pois servirá para verificar se a contratante tem conhecimento e possui histórico de qualificação técnica profissional e/ou operacional para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fornecimento do 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6E7A319" w14:textId="3FCCB9B9" w:rsidR="0034679C" w:rsidRPr="00A678B5" w:rsidRDefault="00662E99" w:rsidP="00635E92">
            <w:pPr>
              <w:spacing w:after="0"/>
              <w:ind w:firstLine="8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Por se tratar de objeto comum, com baixo valor, 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ugere-se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que seja facultada a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apresentação das demonstrações contábeis, para evitar o excesso de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formalismo, feição burocrática e disfuncional quando 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exigências necessárias, pois não se vislumbra prejuízo ao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fornecimento do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Ademais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Edital deverá estabelecer as condicionantes que permitam aferir a existência e regularidade da pessoa jurídica.</w:t>
            </w:r>
          </w:p>
          <w:p w14:paraId="0AA3C2C1" w14:textId="5951A548" w:rsidR="001D4CC4" w:rsidRPr="00C63EE8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Ao observar esses aspectos, as empresas licitantes </w:t>
            </w:r>
            <w:r w:rsidR="0034679C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eventualmente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vencedoras garantem o cumprimento das exigências estabelecidas pela Administração Pública e contribuem para uma relação contratual transparente, eficiente e satisfatória para ambas as partes envolvidas.</w:t>
            </w:r>
          </w:p>
          <w:p w14:paraId="59C55FF8" w14:textId="2A8DE747" w:rsidR="008F76F3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 fim, verifica</w:t>
            </w:r>
            <w:r w:rsidR="0052418A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-se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que a solução proposta está em total conformidade com as normas estabelecidas pela Lei 14.133/2021, que regula as licitações e contratos administrativos, bem como </w:t>
            </w:r>
            <w:r w:rsidR="00E9194F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demais 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legislações </w:t>
            </w:r>
            <w:r w:rsidR="00E9194F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vigentes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EC6909D" w14:textId="77777777" w:rsidTr="00C3667F">
        <w:tc>
          <w:tcPr>
            <w:tcW w:w="9209" w:type="dxa"/>
          </w:tcPr>
          <w:p w14:paraId="6F6C09F3" w14:textId="1856C08C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2A688B6" w14:textId="0B3D3D77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Justificativas para o parcelamento ou não da contratação (inciso VIII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3E75C34B" w14:textId="77777777" w:rsidTr="00C3667F">
        <w:tc>
          <w:tcPr>
            <w:tcW w:w="9209" w:type="dxa"/>
          </w:tcPr>
          <w:p w14:paraId="71C44168" w14:textId="77777777" w:rsidR="00E9194F" w:rsidRPr="00C63EE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o processo de contratação que segue, foi adotado o parcelamento da solução em ITENS. Essa abordagem permite que uma mesma licitante ou vários fornecedores sejam capazes arrematar os itens de forma eficiente e eficaz, com maior economicidade, já que é perfeitamente possível alcançar melhores valores na contratação.</w:t>
            </w:r>
          </w:p>
          <w:p w14:paraId="517C0550" w14:textId="77777777" w:rsidR="00E9194F" w:rsidRPr="00C63EE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 meio dessa estratégia, espera-se obter uma maior concorrência entre os licitantes, proporcionando a possibilidade de se obter melhores propostas tanto em termos de qualidade quanto de preço. Isso contribui para a eficiência e a transparência do processo licitatório.</w:t>
            </w:r>
          </w:p>
          <w:p w14:paraId="2EFD175B" w14:textId="1DE4B697" w:rsidR="008F76F3" w:rsidRPr="00A0019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Dessa forma, o parcelamento em itens da licitação é uma medida coerente e fundamentada, visando garantir a contratação de fornecedores qualificados e especializados para atender às demandas específicas do objeto, ao mesmo tempo em que promove uma concorrência saudável e benéfica para a administração pública.</w:t>
            </w:r>
          </w:p>
        </w:tc>
      </w:tr>
    </w:tbl>
    <w:p w14:paraId="46D1E7CB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4EBDFB55" w14:textId="77777777" w:rsidTr="00C3667F">
        <w:tc>
          <w:tcPr>
            <w:tcW w:w="9209" w:type="dxa"/>
          </w:tcPr>
          <w:p w14:paraId="7DB61E86" w14:textId="35701549" w:rsidR="008F76F3" w:rsidRPr="00A00198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9 -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95FC112" w14:textId="08A850CC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IX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1B06BA0" w14:textId="77777777" w:rsidTr="00C3667F">
        <w:tc>
          <w:tcPr>
            <w:tcW w:w="9209" w:type="dxa"/>
          </w:tcPr>
          <w:p w14:paraId="21429530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 xml:space="preserve">A implementação da solução de aquisição parcelada de recargas de gás liquefeito de petróleo (GLP) para as Secretarias Municipais do Município de Paverama/RS, por meio de Licitação na Modalidade Pregão Eletrônico </w:t>
            </w:r>
            <w:r w:rsidRPr="007E6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 Registro de Preços, visa atingir resultados significativos em termos de economicidade e melhor aproveitamento dos recursos humanos, materiais e financeiros disponíveis. A seguir, estão demonstrados os principais resultados pretendidos:</w:t>
            </w:r>
          </w:p>
          <w:p w14:paraId="59B9E371" w14:textId="547359DC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 xml:space="preserve"> Economicidade:</w:t>
            </w:r>
          </w:p>
          <w:p w14:paraId="6CC504CD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Redução de Custos: A modalidade de pregão eletrônico promove ampla competitividade entre os fornecedores, resultando em preços mais vantajosos para o município. A economia gerada pela obtenção de melhores ofertas de preços permitirá a otimização dos recursos públicos.</w:t>
            </w:r>
          </w:p>
          <w:p w14:paraId="4A7EC2BD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Eliminação de Desperdícios: A aquisição conforme a demanda das Secretarias Municipais evita a imobilização de recursos em estoques desnecessários, reduzindo desperdícios e garantindo que o GLP seja utilizado de forma eficiente.</w:t>
            </w:r>
          </w:p>
          <w:p w14:paraId="68A4D3EB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Planejamento Financeiro: A previsibilidade nas aquisições e nos custos permite um planejamento financeiro mais assertivo, possibilitando a alocação eficiente dos recursos orçamentários em outras áreas prioritárias do município.</w:t>
            </w:r>
          </w:p>
          <w:p w14:paraId="654FF521" w14:textId="57D71424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 xml:space="preserve"> Melhor Aproveitamento dos Recursos Humanos:</w:t>
            </w:r>
          </w:p>
          <w:p w14:paraId="788C77B6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Otimização do Trabalho Administrativo: A utilização do pregão eletrônico e do registro de preços reduz a carga de trabalho administrativa, permitindo que os servidores municipais concentrem seus esforços em atividades mais estratégicas e de maior valor agregado.</w:t>
            </w:r>
          </w:p>
          <w:p w14:paraId="1648B848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Capacitação e Treinamento: A solução prevista inclui a oferta de suporte técnico e treinamentos por parte dos fornecedores, promovendo a capacitação dos servidores responsáveis pelo manuseio e armazenamento do GLP, aumentando a segurança e eficiência no uso do produto.</w:t>
            </w:r>
          </w:p>
          <w:p w14:paraId="65E9DC7F" w14:textId="68AF8185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 xml:space="preserve"> Melhor Aproveitamento dos Recursos Materiais:</w:t>
            </w:r>
          </w:p>
          <w:p w14:paraId="03DD22FA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Garantia de Qualidade e Segurança: A exigência de certificações e conformidade com normas técnicas assegura que o GLP fornecido seja de alta qualidade e seguro para uso, prevenindo acidentes e prolongando a vida útil dos equipamentos de armazenamento.</w:t>
            </w:r>
          </w:p>
          <w:p w14:paraId="15308157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Manutenções Preventivas: A previsão de manutenções preventivas nos equipamentos de armazenamento e distribuição de GLP, conforme estipulado por lei e normas técnicas, garante a durabilidade e eficiência dos materiais, evitando custos adicionais com reparos emergenciais.</w:t>
            </w:r>
          </w:p>
          <w:p w14:paraId="769BEB5E" w14:textId="02F28F70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 xml:space="preserve"> Melhor Aproveitamento dos Recursos Financeiros:</w:t>
            </w:r>
          </w:p>
          <w:p w14:paraId="0970AE62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Previsibilidade e Controle de Gastos: A adoção de um cronograma de entregas pré-estabelecido e a transparência nos custos de aquisição permitem um melhor controle dos gastos públicos, possibilitando uma gestão financeira mais eficaz e responsável.</w:t>
            </w:r>
          </w:p>
          <w:p w14:paraId="721BF4FE" w14:textId="77777777" w:rsidR="007E6D7D" w:rsidRPr="007E6D7D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Flexibilidade Orçamentária: A aquisição parcelada do GLP permite ajustes conforme a variação de demanda, garantindo que os recursos financeiros sejam empregados de maneira flexível e adaptável às necessidades reais das Secretarias Municipais.</w:t>
            </w:r>
          </w:p>
          <w:p w14:paraId="2E39FD1F" w14:textId="3874895D" w:rsidR="00E9194F" w:rsidRPr="00E9194F" w:rsidRDefault="007E6D7D" w:rsidP="007E6D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7E6D7D">
              <w:rPr>
                <w:rFonts w:ascii="Times New Roman" w:hAnsi="Times New Roman" w:cs="Times New Roman"/>
                <w:sz w:val="20"/>
                <w:szCs w:val="20"/>
              </w:rPr>
              <w:t>A solução de aquisição parcelada de recargas de GLP por meio de Licitação na Modalidade Pregão Eletrônico para Registro de Preços oferece uma série de benefícios em termos de economicidade e aproveitamento dos recursos disponíveis. A redução de custos, a otimização do trabalho administrativo, a garantia de qualidade e segurança dos materiais, e a previsibilidade e controle dos gastos são alguns dos resultados pretendidos que contribuirão para a eficiência e a sustentabilidade dos serviços públicos prestados pelo Município de Paverama/RS.</w:t>
            </w:r>
          </w:p>
        </w:tc>
      </w:tr>
    </w:tbl>
    <w:p w14:paraId="5284EC27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3675C491" w14:textId="77777777" w:rsidTr="00C3667F">
        <w:tc>
          <w:tcPr>
            <w:tcW w:w="9209" w:type="dxa"/>
          </w:tcPr>
          <w:p w14:paraId="506464A4" w14:textId="75056735" w:rsidR="008F76F3" w:rsidRPr="00A00198" w:rsidRDefault="008F76F3" w:rsidP="007E6D7D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7E6D7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bookmarkStart w:id="1" w:name="_Hlk190197186"/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Providências a serem adotadas pela administração previamente à celebração do contrato, inclusive quanto à capacitação de servidores ou de empregados para fiscalização e gestão contratual</w:t>
            </w:r>
            <w:bookmarkEnd w:id="1"/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 do § 1° do art. 18 da Lei 14.133/21); </w:t>
            </w:r>
          </w:p>
        </w:tc>
      </w:tr>
      <w:tr w:rsidR="008F76F3" w:rsidRPr="00A00198" w14:paraId="788C998C" w14:textId="77777777" w:rsidTr="00C3667F">
        <w:tc>
          <w:tcPr>
            <w:tcW w:w="9209" w:type="dxa"/>
          </w:tcPr>
          <w:p w14:paraId="4F4B6DAE" w14:textId="77777777" w:rsidR="00A45DBC" w:rsidRDefault="00183F98" w:rsidP="007E6D7D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Os servidores designados e que auxiliarão no controle, fiscalização e gestão contratual da Ata de Registro de Preço, deverão estar cientes e referendar a sua designação que se dará por ato próprio designado pelo Prefeito Municipal.</w:t>
            </w:r>
          </w:p>
          <w:p w14:paraId="7D20E1A7" w14:textId="77777777" w:rsidR="00DF766F" w:rsidRDefault="00183F98" w:rsidP="007E6D7D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Em relação ao ambiente necessário para o recebimento e armazenamento d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>os produtos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, será disponibilizado pela 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dministração </w:t>
            </w:r>
            <w:r w:rsidR="00A45DBC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locais e instalações adequad</w:t>
            </w:r>
            <w:r w:rsidR="007E6D7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52418A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E0727E" w14:textId="77777777" w:rsidR="007E6D7D" w:rsidRDefault="007E6D7D" w:rsidP="007E6D7D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 assegurar uma execução eficiente e em conformidade com as normas vigentes, a Administração Municipal de Paverama/RS deverá adotar as seguintes providências previamente à celebração do contrato para aquisição parcelada de recargas de gás liquefeito de petróleo (GLP):</w:t>
            </w:r>
          </w:p>
          <w:p w14:paraId="4D7E79FA" w14:textId="77777777" w:rsidR="007E6D7D" w:rsidRDefault="007E6D7D" w:rsidP="007E6D7D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1)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Elaboração do Edital de Licitação: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Definir claramente as especificações técnicas, requisitos de qualidade e segurança para o fornecimento de GLP.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Estabelecer critérios de avaliação e julgamento das propostas.</w:t>
            </w:r>
          </w:p>
          <w:p w14:paraId="6CD8D531" w14:textId="77777777" w:rsidR="007E6D7D" w:rsidRDefault="007E6D7D" w:rsidP="007E6D7D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2)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Publicação e Divulgação: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Publicar o edital de licitação no portal de transparência e em outros meios oficiais de comunicação para garantir ampla participação de fornecedores.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Promover a divulgação do processo licitatório entre possíveis fornecedores, incentivando a competitividade.</w:t>
            </w:r>
          </w:p>
          <w:p w14:paraId="634EEFC5" w14:textId="0DAD4A1C" w:rsidR="007E6D7D" w:rsidRDefault="007E6D7D" w:rsidP="007E6D7D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3)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Capacitação de Servidores: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Realizar treinamentos específicos para os servidores responsáveis pela fiscalização e gestão contratual, abordando aspectos técnicos, jurídicos e administrativos relacionados ao fornecimento de GLP.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Garantir que os servidores estejam preparados para monitorar o cumprimento das obrigações contratuais e identificar possíveis não conformidades.</w:t>
            </w:r>
          </w:p>
          <w:p w14:paraId="428DE334" w14:textId="77777777" w:rsidR="007E6D7D" w:rsidRDefault="007E6D7D" w:rsidP="007E6D7D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4)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Planejamento de Fiscalização: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stabelece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responsabilidades dos servidores, os procedimentos de inspeção e as ações corretivas em caso de irregularidades.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Designar uma equipe de fiscalização responsável por acompanhar todo o processo, desde a entrega das recargas até a utilização do GLP nas Secretarias Municipais.</w:t>
            </w:r>
          </w:p>
          <w:p w14:paraId="52D84AD9" w14:textId="77777777" w:rsidR="007E6D7D" w:rsidRDefault="007E6D7D" w:rsidP="007E6D7D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5)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Verificação de Documentos e Certificações: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Exigir dos fornecedores a apresentação de toda a documentação necessária, incluindo certificados de qualidade e conformidade com as normas técnicas.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Garantir que todos os documentos estejam em conformidade com as exigências legais antes da assinatura do contrato.</w:t>
            </w:r>
          </w:p>
          <w:p w14:paraId="580130C4" w14:textId="77777777" w:rsidR="00BD28B2" w:rsidRDefault="007E6D7D" w:rsidP="00BD28B2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6)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Definição </w:t>
            </w:r>
            <w:r w:rsidR="00BD28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Locais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Entrega: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Definir pontos de contato e canais de comunicação para resolução de possíveis problemas ou atrasos nas entregas.</w:t>
            </w:r>
          </w:p>
          <w:p w14:paraId="21955664" w14:textId="77777777" w:rsidR="00BD28B2" w:rsidRDefault="00BD28B2" w:rsidP="00BD28B2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7) </w:t>
            </w:r>
            <w:r w:rsidR="007E6D7D"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Cláusulas Contratuais: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7E6D7D"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Incluir no contrato cláusulas que prevejam penalidades por descumprimento de prazos e requisitos de qualidade, assegurando a proteção dos interesses do município.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7E6D7D"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Garantir que o contrato contemple todas as exigências relacionadas à segurança no transporte e armazenamento de GLP.</w:t>
            </w:r>
          </w:p>
          <w:p w14:paraId="5F4BC334" w14:textId="7920051A" w:rsidR="007E6D7D" w:rsidRPr="00A00198" w:rsidRDefault="007E6D7D" w:rsidP="00BD28B2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E6D7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adoção dessas providências pela Administração Municipal antes da celebração do contrato é fundamental para garantir a eficiência, transparência e segurança na aquisição parcelada de recargas de GLP. Com servidores capacitados e um planejamento rigoroso de fiscalização e gestão contratual, o município poderá assegurar a continuidade e a qualidade dos serviços públicos prestados à população.</w:t>
            </w:r>
          </w:p>
        </w:tc>
      </w:tr>
    </w:tbl>
    <w:p w14:paraId="44EB9322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15B6EF4" w14:textId="77777777" w:rsidTr="00C3667F">
        <w:tc>
          <w:tcPr>
            <w:tcW w:w="9209" w:type="dxa"/>
          </w:tcPr>
          <w:p w14:paraId="1C78622F" w14:textId="3C8AF9F7" w:rsidR="008F76F3" w:rsidRPr="00A00198" w:rsidRDefault="008F76F3" w:rsidP="00BD28B2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E57D09" w:rsidRPr="00E57D09" w14:paraId="1A83E025" w14:textId="77777777" w:rsidTr="00C3667F">
        <w:tc>
          <w:tcPr>
            <w:tcW w:w="9209" w:type="dxa"/>
          </w:tcPr>
          <w:p w14:paraId="4852AF03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Para garantir a eficiência e a continuidade dos serviços públicos no Município de Paverama/RS, é essencial considerar as contratações correlatas ou interdependentes que complementam o fornecimento de gás liquefeito de petróleo (GLP) para as Secretarias Municipais. Estas contratações adicionais são fundamentais para assegurar a correta utilização, manutenção e gerenciamento do GLP fornecido. A seguir, apresentamos algumas das principais contratações correlatas/interdependentes que devem ser consideradas:</w:t>
            </w:r>
          </w:p>
          <w:p w14:paraId="4BFB8FB0" w14:textId="575EB24E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 xml:space="preserve"> Serviços de Manutenção Preventiva e Corretiva:</w:t>
            </w:r>
          </w:p>
          <w:p w14:paraId="5B75714B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Objetivo: Garantir que os equipamentos de armazenamento e distribuição de GLP estejam sempre em perfeito funcionamento, prevenindo falhas e acidentes.</w:t>
            </w:r>
          </w:p>
          <w:p w14:paraId="5B109851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Descrição: Contratação de empresas especializadas em manutenção preventiva e corretiva de cilindros, tanques e sistemas de distribuição de GLP, conforme normas técnicas e de segurança.</w:t>
            </w:r>
          </w:p>
          <w:p w14:paraId="509687C5" w14:textId="69D5A1A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 xml:space="preserve"> Treinamento e Capacitação de Servidores:</w:t>
            </w:r>
          </w:p>
          <w:p w14:paraId="6824BF08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Objetivo: Qualificar os servidores municipais que lidam diretamente com o manuseio, armazenamento e controle do GLP.</w:t>
            </w:r>
          </w:p>
          <w:p w14:paraId="703E5223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Descrição: Contratação de serviços de treinamento e capacitação para servidores, abordando práticas seguras de manuseio, normas de segurança e procedimentos de emergência.</w:t>
            </w:r>
          </w:p>
          <w:p w14:paraId="74BF90AC" w14:textId="0AF3E54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 xml:space="preserve"> Serviços de Segurança e Monitoramento:</w:t>
            </w:r>
          </w:p>
          <w:p w14:paraId="3DC9F8C2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Objetivo: Assegurar a integridade dos locais de armazenamento de GLP e a segurança dos servidores e da população.</w:t>
            </w:r>
          </w:p>
          <w:p w14:paraId="569D9069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Descrição: Contratação de serviços de segurança e monitoramento para os depósitos e áreas de armazenamento de GLP, incluindo instalação de sistemas de vigilância e alarmes.</w:t>
            </w:r>
          </w:p>
          <w:p w14:paraId="7B6D5B8A" w14:textId="6BBB6B61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 xml:space="preserve"> Auditoria e Fiscalização:</w:t>
            </w:r>
          </w:p>
          <w:p w14:paraId="7D8EFC82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Objetivo: Garantir a conformidade das operações e o cumprimento das normas e regulamentações aplicáveis.</w:t>
            </w:r>
          </w:p>
          <w:p w14:paraId="6EBB9877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Descrição: Contratação de empresas de auditoria para realizar inspeções periódicas e verificar a conformidade com as normas de segurança, qualidade do produto e adequação dos procedimentos operacionais.</w:t>
            </w:r>
          </w:p>
          <w:p w14:paraId="5F8E42CC" w14:textId="4E874341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 xml:space="preserve"> Serviços de Transporte Especializado:</w:t>
            </w:r>
          </w:p>
          <w:p w14:paraId="3883FE98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Objetivo: Assegurar o transporte seguro e eficiente do GLP até os locais de armazenamento e uso.</w:t>
            </w:r>
          </w:p>
          <w:p w14:paraId="1570B7BA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Descrição: Contratação de empresas especializadas no transporte de GLP, que possuam veículos adequados e atendam às normas de segurança para o transporte de materiais inflamáveis.</w:t>
            </w:r>
          </w:p>
          <w:p w14:paraId="16271DCA" w14:textId="4CD25C0C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 xml:space="preserve"> Fornecimento de Equipamentos de Segurança:</w:t>
            </w:r>
          </w:p>
          <w:p w14:paraId="45A9C4B6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Objetivo: Garantir a proteção dos servidores que trabalham com GLP.</w:t>
            </w:r>
          </w:p>
          <w:p w14:paraId="3077BA06" w14:textId="77777777" w:rsidR="00BD28B2" w:rsidRPr="00BD28B2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Descrição: Aquisição de equipamentos de proteção individual (EPIs), como luvas, óculos de proteção e extintores de incêndio, para uso pelos servidores que manuseiam GLP.</w:t>
            </w:r>
          </w:p>
          <w:p w14:paraId="3C7CCAFB" w14:textId="2F78372A" w:rsidR="008F76F3" w:rsidRPr="00FE5E88" w:rsidRDefault="00BD28B2" w:rsidP="00BD28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BD28B2">
              <w:rPr>
                <w:rFonts w:ascii="Times New Roman" w:hAnsi="Times New Roman" w:cs="Times New Roman"/>
                <w:sz w:val="20"/>
                <w:szCs w:val="20"/>
              </w:rPr>
              <w:t>Conclusão: As contratações correlatas ou interdependentes ao fornecimento de GLP são essenciais para garantir a segurança, eficiência e continuidade dos serviços públicos no Município de Paverama/RS. Essas contratações abrangem desde a manutenção e capacitação até a segurança e auditoria, compondo um conjunto integrado de ações que asseguram o uso responsável e seguro do GLP pelas Secretarias Municipais.</w:t>
            </w:r>
          </w:p>
        </w:tc>
      </w:tr>
    </w:tbl>
    <w:p w14:paraId="503AA091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3D90EBFB" w14:textId="77777777" w:rsidTr="000F458C">
        <w:tc>
          <w:tcPr>
            <w:tcW w:w="9209" w:type="dxa"/>
          </w:tcPr>
          <w:p w14:paraId="742EAC32" w14:textId="277ABFCD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BB9D2B9" w14:textId="3A87AFF2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</w:t>
            </w:r>
            <w:r w:rsidR="00B6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DDD108A" w14:textId="77777777" w:rsidTr="000F458C">
        <w:tc>
          <w:tcPr>
            <w:tcW w:w="9209" w:type="dxa"/>
          </w:tcPr>
          <w:p w14:paraId="64F892D4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A contratação de fornecimento de gás liquefeito de petróleo (GLP) para as Secretarias Municipais do Município de Paverama/RS envolve diversos possíveis impactos ambientais e socioambientais. Além disso, é fundamental considerar os aspectos relacionados à logística reversa e a reciclagem dos itens, como os botijões de GLP. A seguir, elencamos os principais impactos e aspectos a serem considerados, juntamente com as possíveis medidas mitigadoras:</w:t>
            </w:r>
          </w:p>
          <w:p w14:paraId="582F6D27" w14:textId="5AE594FE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Emissões de Gases de Efeito Estufa:</w:t>
            </w:r>
          </w:p>
          <w:p w14:paraId="4D6C0134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Impacto: A combustão do GLP libera dióxido de carbono (CO₂) e outros gases de efeito estufa (GEE) na atmosfera, contribuindo para as mudanças climáticas.</w:t>
            </w:r>
          </w:p>
          <w:p w14:paraId="4AD18ED8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Mitigação: Promover o uso eficiente do GLP, adotando práticas de redução de consumo. Incentivar a utilização de tecnologias que aumentem a eficiência energética e reduzir a quantidade de GLP necessária para as mesmas tarefas. Explorar alternativas de energia renovável como complemento.</w:t>
            </w:r>
          </w:p>
          <w:p w14:paraId="1506D777" w14:textId="5497B748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Risco de Vazamentos e Acidentes:</w:t>
            </w:r>
          </w:p>
          <w:p w14:paraId="748C33CE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Impacto: Vazamentos de GLP podem causar contaminação do solo e da água, além de riscos de explosões e incêndios, afetando a segurança dos trabalhadores e da comunidade.</w:t>
            </w:r>
          </w:p>
          <w:p w14:paraId="0A9D445F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Mitigação: Implementar rigorosos procedimentos de segurança no transporte, armazenamento e manuseio do GLP. Capacitar os servidores municipais sobre práticas seguras e garantir a utilização de equipamentos de proteção individual (EPIs). Realizar manutenções preventivas regulares para evitar vazamentos e acidentes.</w:t>
            </w:r>
          </w:p>
          <w:p w14:paraId="1F85D9B2" w14:textId="6E84E828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Armazenamento e Disposição de Resíduos:</w:t>
            </w:r>
          </w:p>
          <w:p w14:paraId="4E13DC64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Impacto: O armazenamento inadequado de botijões de GLP pode levar à deterioração e descarte inadequado, causando poluição ambiental.</w:t>
            </w:r>
          </w:p>
          <w:p w14:paraId="2F26123F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Mitigação: Assegurar que os botijões de GLP sejam armazenados em locais apropriados e que os resíduos sejam descartados de acordo com as normas ambientais. Estabelecer procedimentos para a inspeção regular dos botijões e a substituição dos que apresentarem problemas.</w:t>
            </w:r>
          </w:p>
          <w:p w14:paraId="4BEADD97" w14:textId="3C5D7A66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Logística Reversa e Reciclagem:</w:t>
            </w:r>
          </w:p>
          <w:p w14:paraId="219CF3F9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Impacto: A logística reversa dos botijões de GLP é essencial para garantir a sustentabilidade e a reutilização dos recursos.</w:t>
            </w:r>
          </w:p>
          <w:p w14:paraId="7B01F263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Mitigação: Implementar programas de logística reversa que assegurem a devolução dos botijões vazios para os fornecedores. Promover a reciclagem e reutilização dos recipientes. Certificar-se de que os botijões danificados ou fora de uso sejam encaminhados para empresas especializadas em reciclagem de materiais.</w:t>
            </w:r>
          </w:p>
          <w:p w14:paraId="27DA46BB" w14:textId="0D5AE45A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Saúde e Bem-Estar da População:</w:t>
            </w:r>
          </w:p>
          <w:p w14:paraId="33F5D90F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Impacto: A utilização inadequada ou a exposição ao GLP pode causar problemas de saúde, como intoxicações e queimaduras, afetando o bem-estar da população.</w:t>
            </w:r>
          </w:p>
          <w:p w14:paraId="61B45C7C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Mitigação: Realizar campanhas de conscientização e capacitação sobre o uso seguro do GLP. Promover a manutenção adequada dos equipamentos e garantir que todas as normas de segurança sejam seguidas.</w:t>
            </w:r>
          </w:p>
          <w:p w14:paraId="24087608" w14:textId="0C2AFDD8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Impactos Positivos na Comunidade:</w:t>
            </w:r>
          </w:p>
          <w:p w14:paraId="1883B66C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Benefício: O fornecimento regular de GLP contribui para a melhoria dos serviços públicos, como a alimentação escolar, o aquecimento em unidades de saúde e outras atividades essenciais, beneficiando diretamente a comunidade.</w:t>
            </w:r>
          </w:p>
          <w:p w14:paraId="0977E410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Promoção: Garantir a continuidade e eficiência dos serviços públicos prestados, promovendo a qualidade de vida dos cidadãos.</w:t>
            </w:r>
          </w:p>
          <w:p w14:paraId="3BDCC043" w14:textId="3BDBC25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Utilização de Recursos Naturais:</w:t>
            </w:r>
          </w:p>
          <w:p w14:paraId="11D0D014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Impacto: A produção e o transporte de GLP envolvem a extração e o consumo de recursos naturais, como petróleo e gás natural.</w:t>
            </w:r>
          </w:p>
          <w:p w14:paraId="19289794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Mitigação: Adotar políticas de consumo consciente e incentivar o uso de alternativas energéticas mais sustentáveis, quando possível. Promover a eficiência no uso de energia em todas as etapas do processo, desde a extração até o consumo final.</w:t>
            </w:r>
          </w:p>
          <w:p w14:paraId="095E3BB6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Medidas Mitigadoras Adicionais:</w:t>
            </w:r>
          </w:p>
          <w:p w14:paraId="595E1E90" w14:textId="47476CB9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. Requisitos de Baixo Consumo de Energia:</w:t>
            </w:r>
          </w:p>
          <w:p w14:paraId="1C44AA39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Promover a utilização de equipamentos e tecnologias que aumentem a eficiência energética, reduzindo o consumo de GLP e outros recursos.</w:t>
            </w:r>
          </w:p>
          <w:p w14:paraId="524E1E0A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Implementar práticas de conservação de energia nas Secretarias Municipais, como o uso de isolamentos térmicos, a otimização de processos e a adoção de horários de funcionamento que maximizem a eficiência energética.</w:t>
            </w:r>
          </w:p>
          <w:p w14:paraId="3E62D27E" w14:textId="458D4419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. Logística Reversa para Desfazimento e Reciclagem de Bens e Refugos:</w:t>
            </w:r>
          </w:p>
          <w:p w14:paraId="47790774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Estabelecer um sistema de logística reversa que assegure a coleta e o retorno dos botijões vazios aos fornecedores.</w:t>
            </w:r>
          </w:p>
          <w:p w14:paraId="2160F108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Garantir que os botijões fora de uso sejam encaminhados para reciclagem, evitando a disposição inadequada no meio ambiente.</w:t>
            </w:r>
          </w:p>
          <w:p w14:paraId="19A056E0" w14:textId="77777777" w:rsidR="00A92FB1" w:rsidRPr="00A92FB1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As empresas vencedoras e a Administração Municipal devem colaborar para assegurar que todos os processos de desfazimento e reciclagem estejam em conformidade com as normas ambientais e de sustentabilidade.</w:t>
            </w:r>
          </w:p>
          <w:p w14:paraId="061FD28D" w14:textId="577A565C" w:rsidR="00B62DC3" w:rsidRPr="00115AD4" w:rsidRDefault="00A92FB1" w:rsidP="00A92F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Considerar os impactos ambientais e socioambientais envolvidos na contratação de fornecimento de GLP é essencial para garantir uma gestão responsável e sustentável. Implementar medidas de mitigação, promover o uso seguro e eficiente do GLP, garantir a logística reversa e a reciclagem dos botijões, e conscientizar a comunidade são passos fundamentais para minimizar os impactos negativos e maximizar os benefícios dessa contratação.</w:t>
            </w: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DAC76C7" w14:textId="77777777" w:rsidTr="000F458C">
        <w:tc>
          <w:tcPr>
            <w:tcW w:w="9209" w:type="dxa"/>
          </w:tcPr>
          <w:p w14:paraId="74ACA114" w14:textId="630CFBDB" w:rsidR="008F76F3" w:rsidRPr="00A00198" w:rsidRDefault="008F76F3" w:rsidP="006F46B5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6F46B5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0F458C">
        <w:tc>
          <w:tcPr>
            <w:tcW w:w="9209" w:type="dxa"/>
          </w:tcPr>
          <w:p w14:paraId="00E02276" w14:textId="77777777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Após a análise detalhada dos aspectos envolvidos na aquisição de recargas de gás liquefeito de petróleo (GLP) para as Secretarias Municipais do Município de Paverama/RS, conclui-se pela viabilidade e adequação da contratação de fornecedores por meio de Licitação na Modalidade Pregão Eletrônico, com o objetivo de Registro de Preços. Essa modalidade atende de maneira eficiente e econômica à necessidade identificada, além de observar o interesse público.</w:t>
            </w:r>
          </w:p>
          <w:p w14:paraId="6EB974E5" w14:textId="672EDF3A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Eficiência e Competitividade: A modalidade de pregão eletrônico promove ampla concorrência entre os fornecedores, resultando na obtenção de melhores ofertas de preços e condições de fornecimento. A transparência e a eficiência do processo licitatório garantem que os recursos públicos sejam utilizados de forma responsável, maximizando os benefícios para o município.</w:t>
            </w:r>
          </w:p>
          <w:p w14:paraId="65EEC851" w14:textId="26FFB203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Atendimento à Necessidade de Abastecimento Contínuo: A aquisição de recargas de GLP de forma parcelada, conforme demanda das Secretarias Municipais, assegura a continuidade dos serviços públicos essenciais, como a alimentação escolar e o aquecimento em unidades de saúde. O registro de preços permite que as compras sejam realizadas conforme a necessidade, evitando desperdícios e garantindo que o abastecimento não seja interrompido.</w:t>
            </w:r>
          </w:p>
          <w:p w14:paraId="37C41ADC" w14:textId="19889082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Economia de Recursos Públicos: A competitividade do pregão eletrônico tende a resultar em preços mais baixos e vantajosos, gerando economia para os cofres públicos. Além disso, a aquisição parcelada possibilita uma melhor gestão financeira, distribuindo os custos ao longo do tempo e evitando desembolsos elevados de uma só vez.</w:t>
            </w:r>
          </w:p>
          <w:p w14:paraId="3E417E8A" w14:textId="0E7FCB2C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Flexibilidade e Planejamento: O registro de preços proporciona flexibilidade para ajustar a quantidade de GLP adquirida conforme a variação da demanda, permitindo um planejamento mais eficiente e adaptável às necessidades reais das Secretarias Municipais. Isso assegura que os recursos sejam empregados de maneira mais racional e eficaz.</w:t>
            </w:r>
          </w:p>
          <w:p w14:paraId="2B18FAF2" w14:textId="016C2088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Garantia de Qualidade e Segurança: A modalidade de pregão eletrônico inclui a exigência de certificações e conformidade com normas técnicas, garantindo que o GLP fornecido seja de alta qualidade e seguro para uso. A previsão de manutenções preventivas e a capacitação dos servidores contribuem para a segurança e eficiência na utilização do produto.</w:t>
            </w:r>
          </w:p>
          <w:p w14:paraId="101F3796" w14:textId="2F2C053C" w:rsidR="00A92FB1" w:rsidRPr="00A92FB1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 xml:space="preserve"> Impactos Ambientais e Socioambientais: A consideração dos impactos ambientais e socioambientais na contratação, incluindo medidas de mitigação e a implementação de logística reversa para a devolução e </w:t>
            </w:r>
            <w:r w:rsidRPr="00A92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reciclagem dos botijões, demonstra o compromisso do município com a sustentabilidade e a responsabilidade ambiental.</w:t>
            </w:r>
          </w:p>
          <w:p w14:paraId="56500493" w14:textId="46D1A095" w:rsidR="00BD7104" w:rsidRPr="00A00198" w:rsidRDefault="00A92FB1" w:rsidP="00A92FB1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A92FB1">
              <w:rPr>
                <w:rFonts w:ascii="Times New Roman" w:hAnsi="Times New Roman" w:cs="Times New Roman"/>
                <w:sz w:val="20"/>
                <w:szCs w:val="20"/>
              </w:rPr>
              <w:t>Diante das justificativas apresentadas, conclui-se que a contratação de fornecedores por Licitação na Modalidade Pregão Eletrônico para Registro de Preços é a solução mais viável e adequada para atender às necessidades do Município de Paverama/RS no que tange à aquisição parcelada de recargas de GLP. Essa modalidade promove a eficiência, a transparência, a economia de recursos públicos e a segurança no fornecimento, garantindo a continuidade e a qualidade dos serviços públicos prestados à população.</w:t>
            </w:r>
          </w:p>
        </w:tc>
      </w:tr>
    </w:tbl>
    <w:p w14:paraId="1335D5CC" w14:textId="77777777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B68188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31034A4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7EFA4D2D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A92FB1">
        <w:rPr>
          <w:rFonts w:ascii="Times New Roman" w:hAnsi="Times New Roman" w:cs="Times New Roman"/>
          <w:sz w:val="20"/>
          <w:szCs w:val="20"/>
        </w:rPr>
        <w:t>10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A92FB1">
        <w:rPr>
          <w:rFonts w:ascii="Times New Roman" w:hAnsi="Times New Roman" w:cs="Times New Roman"/>
          <w:sz w:val="20"/>
          <w:szCs w:val="20"/>
        </w:rPr>
        <w:t xml:space="preserve">fevereiro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="00A92FB1">
        <w:rPr>
          <w:rFonts w:ascii="Times New Roman" w:hAnsi="Times New Roman" w:cs="Times New Roman"/>
          <w:sz w:val="20"/>
          <w:szCs w:val="20"/>
        </w:rPr>
        <w:t>5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6097F678" w14:textId="129E878E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C30CA7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6A49BF2" w:rsidR="00F561A6" w:rsidRPr="00A00198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4D9270" w14:textId="77777777" w:rsidR="00810D1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D1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7554918C" w14:textId="53C8D599" w:rsidR="00A678B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D1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5AB71EFB" w14:textId="0DA2D9EE" w:rsidR="000F458C" w:rsidRDefault="000F458C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8F28D2" w14:textId="1F77EAB3" w:rsidR="000F458C" w:rsidRDefault="000F458C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90CDFF" w14:textId="77777777" w:rsidR="00810D15" w:rsidRDefault="00810D15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Pr="004C117C" w:rsidRDefault="00430906" w:rsidP="00430906">
      <w:pPr>
        <w:rPr>
          <w:rFonts w:ascii="Times New Roman" w:hAnsi="Times New Roman" w:cs="Times New Roman"/>
          <w:sz w:val="20"/>
          <w:szCs w:val="20"/>
        </w:rPr>
      </w:pPr>
      <w:r w:rsidRPr="004C117C">
        <w:rPr>
          <w:rFonts w:ascii="Times New Roman" w:hAnsi="Times New Roman" w:cs="Times New Roman"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30906" w14:paraId="54B2663D" w14:textId="77777777" w:rsidTr="00883842">
        <w:tc>
          <w:tcPr>
            <w:tcW w:w="9209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212E7534" w:rsidR="00430906" w:rsidRDefault="004C117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D25F29">
              <w:rPr>
                <w:rFonts w:ascii="Times New Roman" w:hAnsi="Times New Roman" w:cs="Times New Roman"/>
                <w:b/>
                <w:sz w:val="20"/>
                <w:szCs w:val="20"/>
              </w:rPr>
              <w:t>ADMINISTRAÇÃO, FAZENDA E PLANEJAMENTO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Parecer conclusivo de ciência e aprovação:</w:t>
            </w:r>
          </w:p>
          <w:p w14:paraId="2E93DEE6" w14:textId="77777777" w:rsidR="00883842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End"/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) Defiro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. Aprovo o Estudo Técnico Preliminar (ETP), por seus próprios fundamentos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; ou</w:t>
            </w:r>
          </w:p>
          <w:p w14:paraId="5EAB225F" w14:textId="77777777" w:rsidR="00883842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)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Indefiro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16F03EA" w14:textId="5C1E04A2" w:rsidR="00D73A89" w:rsidRPr="00883842" w:rsidRDefault="00267657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  <w:r w:rsidR="00D73A89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14:paraId="0021C667" w14:textId="64103068" w:rsidR="00430906" w:rsidRPr="00883842" w:rsidRDefault="00267657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</w:t>
            </w:r>
            <w:r w:rsidR="00D73A89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430906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068AB6B" w14:textId="77777777" w:rsidR="00430906" w:rsidRPr="00883842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FFC7D" w14:textId="77777777" w:rsidR="000F458C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23B3D14E" w:rsidR="00430906" w:rsidRPr="00883842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Paverama/RS, </w:t>
            </w:r>
            <w:r w:rsidR="00883842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883842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fevereiro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883842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2025.</w:t>
            </w:r>
          </w:p>
          <w:p w14:paraId="6A847925" w14:textId="315D35DB" w:rsidR="00D73A89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E7EB46" w14:textId="4E02CBD6" w:rsidR="000F458C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4D546" w14:textId="4BBF9B5D" w:rsidR="00D73A89" w:rsidRPr="00430906" w:rsidRDefault="00883842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ALEXANDRE LUÍS KLEBER</w:t>
            </w:r>
          </w:p>
          <w:p w14:paraId="1A610F30" w14:textId="77777777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Secretário(a) Responsável</w:t>
            </w:r>
          </w:p>
          <w:p w14:paraId="3E4769CB" w14:textId="378B17AC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F561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0F45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416" w:bottom="1843" w:left="170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7831" w14:textId="77777777" w:rsidR="00F81BCA" w:rsidRDefault="00F81BCA" w:rsidP="009F2D5E">
      <w:pPr>
        <w:spacing w:after="0"/>
      </w:pPr>
      <w:r>
        <w:separator/>
      </w:r>
    </w:p>
  </w:endnote>
  <w:endnote w:type="continuationSeparator" w:id="0">
    <w:p w14:paraId="57304747" w14:textId="77777777" w:rsidR="00F81BCA" w:rsidRDefault="00F81BCA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44234920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582686688"/>
          <w:docPartObj>
            <w:docPartGallery w:val="Page Numbers (Top of Page)"/>
            <w:docPartUnique/>
          </w:docPartObj>
        </w:sdtPr>
        <w:sdtEndPr/>
        <w:sdtContent>
          <w:p w14:paraId="4952FB71" w14:textId="79BFB997" w:rsidR="00D31344" w:rsidRPr="002E46A9" w:rsidRDefault="004655AD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1" locked="0" layoutInCell="1" allowOverlap="1" wp14:anchorId="7C5B6F92" wp14:editId="4BAE166E">
                  <wp:simplePos x="0" y="0"/>
                  <wp:positionH relativeFrom="column">
                    <wp:posOffset>521613</wp:posOffset>
                  </wp:positionH>
                  <wp:positionV relativeFrom="paragraph">
                    <wp:posOffset>-482377</wp:posOffset>
                  </wp:positionV>
                  <wp:extent cx="4714240" cy="781050"/>
                  <wp:effectExtent l="0" t="0" r="0" b="0"/>
                  <wp:wrapNone/>
                  <wp:docPr id="5459941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24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344" w:rsidRPr="002E46A9">
              <w:rPr>
                <w:sz w:val="14"/>
                <w:szCs w:val="14"/>
              </w:rPr>
              <w:t xml:space="preserve">Página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PAGE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  <w:r w:rsidR="00D31344" w:rsidRPr="002E46A9">
              <w:rPr>
                <w:sz w:val="14"/>
                <w:szCs w:val="14"/>
              </w:rPr>
              <w:t xml:space="preserve"> de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026235190"/>
      <w:docPartObj>
        <w:docPartGallery w:val="Page Numbers (Top of Page)"/>
        <w:docPartUnique/>
      </w:docPartObj>
    </w:sdtPr>
    <w:sdtEndPr/>
    <w:sdtContent>
      <w:p w14:paraId="3F8E410B" w14:textId="40494378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3C769463">
              <wp:simplePos x="0" y="0"/>
              <wp:positionH relativeFrom="column">
                <wp:posOffset>21590</wp:posOffset>
              </wp:positionH>
              <wp:positionV relativeFrom="paragraph">
                <wp:posOffset>-789305</wp:posOffset>
              </wp:positionV>
              <wp:extent cx="6322060" cy="1122045"/>
              <wp:effectExtent l="0" t="0" r="2540" b="1905"/>
              <wp:wrapNone/>
              <wp:docPr id="76" name="Imagem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2060" cy="1122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10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5EC1" w14:textId="77777777" w:rsidR="00F81BCA" w:rsidRDefault="00F81BCA" w:rsidP="009F2D5E">
      <w:pPr>
        <w:spacing w:after="0"/>
      </w:pPr>
      <w:r>
        <w:separator/>
      </w:r>
    </w:p>
  </w:footnote>
  <w:footnote w:type="continuationSeparator" w:id="0">
    <w:p w14:paraId="229A5695" w14:textId="77777777" w:rsidR="00F81BCA" w:rsidRDefault="00F81BCA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3A56ECB"/>
    <w:multiLevelType w:val="hybridMultilevel"/>
    <w:tmpl w:val="C674F95C"/>
    <w:lvl w:ilvl="0" w:tplc="5C3A9850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C371A58"/>
    <w:multiLevelType w:val="hybridMultilevel"/>
    <w:tmpl w:val="ED8CB8EE"/>
    <w:lvl w:ilvl="0" w:tplc="BBD0AF98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6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291938829">
    <w:abstractNumId w:val="7"/>
  </w:num>
  <w:num w:numId="2" w16cid:durableId="771899462">
    <w:abstractNumId w:val="9"/>
  </w:num>
  <w:num w:numId="3" w16cid:durableId="885021356">
    <w:abstractNumId w:val="8"/>
  </w:num>
  <w:num w:numId="4" w16cid:durableId="1845822957">
    <w:abstractNumId w:val="2"/>
  </w:num>
  <w:num w:numId="5" w16cid:durableId="2095734889">
    <w:abstractNumId w:val="0"/>
  </w:num>
  <w:num w:numId="6" w16cid:durableId="803157944">
    <w:abstractNumId w:val="14"/>
  </w:num>
  <w:num w:numId="7" w16cid:durableId="755058220">
    <w:abstractNumId w:val="19"/>
  </w:num>
  <w:num w:numId="8" w16cid:durableId="1906141444">
    <w:abstractNumId w:val="16"/>
  </w:num>
  <w:num w:numId="9" w16cid:durableId="1097142117">
    <w:abstractNumId w:val="20"/>
  </w:num>
  <w:num w:numId="10" w16cid:durableId="2010281219">
    <w:abstractNumId w:val="12"/>
  </w:num>
  <w:num w:numId="11" w16cid:durableId="1941572181">
    <w:abstractNumId w:val="18"/>
  </w:num>
  <w:num w:numId="12" w16cid:durableId="1387100345">
    <w:abstractNumId w:val="5"/>
  </w:num>
  <w:num w:numId="13" w16cid:durableId="1782724690">
    <w:abstractNumId w:val="3"/>
  </w:num>
  <w:num w:numId="14" w16cid:durableId="1853105721">
    <w:abstractNumId w:val="17"/>
  </w:num>
  <w:num w:numId="15" w16cid:durableId="1085570688">
    <w:abstractNumId w:val="13"/>
  </w:num>
  <w:num w:numId="16" w16cid:durableId="1432314663">
    <w:abstractNumId w:val="4"/>
  </w:num>
  <w:num w:numId="17" w16cid:durableId="1502740854">
    <w:abstractNumId w:val="6"/>
  </w:num>
  <w:num w:numId="18" w16cid:durableId="1481119037">
    <w:abstractNumId w:val="11"/>
  </w:num>
  <w:num w:numId="19" w16cid:durableId="1688676040">
    <w:abstractNumId w:val="1"/>
  </w:num>
  <w:num w:numId="20" w16cid:durableId="131559257">
    <w:abstractNumId w:val="15"/>
  </w:num>
  <w:num w:numId="21" w16cid:durableId="191234707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6991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27AB"/>
    <w:rsid w:val="00064F48"/>
    <w:rsid w:val="000652E0"/>
    <w:rsid w:val="000665D5"/>
    <w:rsid w:val="00066A34"/>
    <w:rsid w:val="000670F3"/>
    <w:rsid w:val="00070C9B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58C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77B"/>
    <w:rsid w:val="00117BBF"/>
    <w:rsid w:val="00117EC2"/>
    <w:rsid w:val="00117F7E"/>
    <w:rsid w:val="00121005"/>
    <w:rsid w:val="00121CC2"/>
    <w:rsid w:val="00121F6B"/>
    <w:rsid w:val="001229E9"/>
    <w:rsid w:val="00127BF5"/>
    <w:rsid w:val="00130D04"/>
    <w:rsid w:val="00135A72"/>
    <w:rsid w:val="00136A50"/>
    <w:rsid w:val="0014054A"/>
    <w:rsid w:val="00140CAD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4ADB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4CC4"/>
    <w:rsid w:val="001D6147"/>
    <w:rsid w:val="001E1D78"/>
    <w:rsid w:val="001E306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657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2777"/>
    <w:rsid w:val="002A5ACF"/>
    <w:rsid w:val="002A6CFB"/>
    <w:rsid w:val="002A6FFB"/>
    <w:rsid w:val="002A7366"/>
    <w:rsid w:val="002B042F"/>
    <w:rsid w:val="002B0FEB"/>
    <w:rsid w:val="002B25B6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65CF"/>
    <w:rsid w:val="002D66F5"/>
    <w:rsid w:val="002D7EDA"/>
    <w:rsid w:val="002E13EA"/>
    <w:rsid w:val="002E3A79"/>
    <w:rsid w:val="002E46A9"/>
    <w:rsid w:val="002E7D38"/>
    <w:rsid w:val="002F2904"/>
    <w:rsid w:val="002F4322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679C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8CE"/>
    <w:rsid w:val="004337BE"/>
    <w:rsid w:val="0043464E"/>
    <w:rsid w:val="004372CE"/>
    <w:rsid w:val="00440376"/>
    <w:rsid w:val="004404B3"/>
    <w:rsid w:val="00440F1C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55AD"/>
    <w:rsid w:val="00466149"/>
    <w:rsid w:val="004661FE"/>
    <w:rsid w:val="004669B9"/>
    <w:rsid w:val="00470BB5"/>
    <w:rsid w:val="00471358"/>
    <w:rsid w:val="00472B7B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639C"/>
    <w:rsid w:val="004B74C3"/>
    <w:rsid w:val="004C117C"/>
    <w:rsid w:val="004C1182"/>
    <w:rsid w:val="004C482F"/>
    <w:rsid w:val="004C76C6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66DE"/>
    <w:rsid w:val="00517880"/>
    <w:rsid w:val="005179A6"/>
    <w:rsid w:val="00517A23"/>
    <w:rsid w:val="00520175"/>
    <w:rsid w:val="00522A62"/>
    <w:rsid w:val="00523620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879A8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3B87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5E92"/>
    <w:rsid w:val="006366A0"/>
    <w:rsid w:val="00637080"/>
    <w:rsid w:val="00641214"/>
    <w:rsid w:val="006417F2"/>
    <w:rsid w:val="0064267B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2E99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4921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1F2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46B5"/>
    <w:rsid w:val="006F4972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CF3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09C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D7D"/>
    <w:rsid w:val="007E6F7E"/>
    <w:rsid w:val="007F02C4"/>
    <w:rsid w:val="007F304F"/>
    <w:rsid w:val="007F485F"/>
    <w:rsid w:val="007F4C03"/>
    <w:rsid w:val="007F6824"/>
    <w:rsid w:val="008009E4"/>
    <w:rsid w:val="008104AE"/>
    <w:rsid w:val="00810D15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4F24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3842"/>
    <w:rsid w:val="0088606A"/>
    <w:rsid w:val="008865A6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3C14"/>
    <w:rsid w:val="008E5709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06BC9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4489A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3582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0F35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2F83"/>
    <w:rsid w:val="00A15240"/>
    <w:rsid w:val="00A15A1C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8B5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2FB1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4EDC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1D2C"/>
    <w:rsid w:val="00B62DC3"/>
    <w:rsid w:val="00B62E44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28B2"/>
    <w:rsid w:val="00BD3CC5"/>
    <w:rsid w:val="00BD4297"/>
    <w:rsid w:val="00BD5E48"/>
    <w:rsid w:val="00BD6F99"/>
    <w:rsid w:val="00BD7104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3667F"/>
    <w:rsid w:val="00C415BF"/>
    <w:rsid w:val="00C42E24"/>
    <w:rsid w:val="00C45565"/>
    <w:rsid w:val="00C46214"/>
    <w:rsid w:val="00C46884"/>
    <w:rsid w:val="00C46C95"/>
    <w:rsid w:val="00C472DE"/>
    <w:rsid w:val="00C47509"/>
    <w:rsid w:val="00C47B90"/>
    <w:rsid w:val="00C47D4F"/>
    <w:rsid w:val="00C51D05"/>
    <w:rsid w:val="00C55181"/>
    <w:rsid w:val="00C55C1A"/>
    <w:rsid w:val="00C56026"/>
    <w:rsid w:val="00C56374"/>
    <w:rsid w:val="00C5747F"/>
    <w:rsid w:val="00C612F4"/>
    <w:rsid w:val="00C6258A"/>
    <w:rsid w:val="00C63EE8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67CF"/>
    <w:rsid w:val="00C87E2C"/>
    <w:rsid w:val="00C907A4"/>
    <w:rsid w:val="00C90A36"/>
    <w:rsid w:val="00C916EA"/>
    <w:rsid w:val="00C91D74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BB3"/>
    <w:rsid w:val="00CF5DE2"/>
    <w:rsid w:val="00CF6165"/>
    <w:rsid w:val="00CF6EAB"/>
    <w:rsid w:val="00D0015A"/>
    <w:rsid w:val="00D003D3"/>
    <w:rsid w:val="00D02277"/>
    <w:rsid w:val="00D0340A"/>
    <w:rsid w:val="00D05BD3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5F29"/>
    <w:rsid w:val="00D27F28"/>
    <w:rsid w:val="00D31344"/>
    <w:rsid w:val="00D32CB2"/>
    <w:rsid w:val="00D3481A"/>
    <w:rsid w:val="00D34BA4"/>
    <w:rsid w:val="00D36406"/>
    <w:rsid w:val="00D36563"/>
    <w:rsid w:val="00D375A8"/>
    <w:rsid w:val="00D43FC7"/>
    <w:rsid w:val="00D453C2"/>
    <w:rsid w:val="00D503B7"/>
    <w:rsid w:val="00D5276A"/>
    <w:rsid w:val="00D54F50"/>
    <w:rsid w:val="00D603DE"/>
    <w:rsid w:val="00D60ADC"/>
    <w:rsid w:val="00D60BDE"/>
    <w:rsid w:val="00D62531"/>
    <w:rsid w:val="00D62C29"/>
    <w:rsid w:val="00D6508A"/>
    <w:rsid w:val="00D67408"/>
    <w:rsid w:val="00D71F02"/>
    <w:rsid w:val="00D73A89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2D91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66F"/>
    <w:rsid w:val="00DF7772"/>
    <w:rsid w:val="00E01A73"/>
    <w:rsid w:val="00E01D86"/>
    <w:rsid w:val="00E02030"/>
    <w:rsid w:val="00E02521"/>
    <w:rsid w:val="00E02B62"/>
    <w:rsid w:val="00E03DAC"/>
    <w:rsid w:val="00E067DF"/>
    <w:rsid w:val="00E07E30"/>
    <w:rsid w:val="00E10AB2"/>
    <w:rsid w:val="00E10DA1"/>
    <w:rsid w:val="00E12B61"/>
    <w:rsid w:val="00E143AD"/>
    <w:rsid w:val="00E15F7A"/>
    <w:rsid w:val="00E174C0"/>
    <w:rsid w:val="00E2220D"/>
    <w:rsid w:val="00E22748"/>
    <w:rsid w:val="00E2678B"/>
    <w:rsid w:val="00E27627"/>
    <w:rsid w:val="00E30235"/>
    <w:rsid w:val="00E32010"/>
    <w:rsid w:val="00E32F6D"/>
    <w:rsid w:val="00E3611C"/>
    <w:rsid w:val="00E37FCE"/>
    <w:rsid w:val="00E4084F"/>
    <w:rsid w:val="00E412D4"/>
    <w:rsid w:val="00E445F7"/>
    <w:rsid w:val="00E44C46"/>
    <w:rsid w:val="00E45110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57D09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776F1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B5C28"/>
    <w:rsid w:val="00EC0614"/>
    <w:rsid w:val="00EC0BC0"/>
    <w:rsid w:val="00EC1CE5"/>
    <w:rsid w:val="00EC289A"/>
    <w:rsid w:val="00EC3A30"/>
    <w:rsid w:val="00EC4156"/>
    <w:rsid w:val="00EC615A"/>
    <w:rsid w:val="00EC62CD"/>
    <w:rsid w:val="00EC6C06"/>
    <w:rsid w:val="00ED3442"/>
    <w:rsid w:val="00ED35ED"/>
    <w:rsid w:val="00ED4621"/>
    <w:rsid w:val="00ED710B"/>
    <w:rsid w:val="00EE1AE8"/>
    <w:rsid w:val="00EE3EE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3B3F"/>
    <w:rsid w:val="00F0670E"/>
    <w:rsid w:val="00F06C18"/>
    <w:rsid w:val="00F072DC"/>
    <w:rsid w:val="00F10FF9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47083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1BCA"/>
    <w:rsid w:val="00F8322E"/>
    <w:rsid w:val="00F86926"/>
    <w:rsid w:val="00F87DC6"/>
    <w:rsid w:val="00F912E2"/>
    <w:rsid w:val="00F93493"/>
    <w:rsid w:val="00F9351F"/>
    <w:rsid w:val="00FA0A7D"/>
    <w:rsid w:val="00FA14E4"/>
    <w:rsid w:val="00FA1BA3"/>
    <w:rsid w:val="00FA1E29"/>
    <w:rsid w:val="00FA3E05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13A4"/>
    <w:rsid w:val="00FD29D7"/>
    <w:rsid w:val="00FE08B5"/>
    <w:rsid w:val="00FE20DF"/>
    <w:rsid w:val="00FE2667"/>
    <w:rsid w:val="00FE2D2B"/>
    <w:rsid w:val="00FE47FF"/>
    <w:rsid w:val="00FE58AD"/>
    <w:rsid w:val="00FE5E88"/>
    <w:rsid w:val="00FE6DC2"/>
    <w:rsid w:val="00FF1E3F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4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rama.r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9093-58D1-42C3-81C6-B6531D3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11</Pages>
  <Words>7204</Words>
  <Characters>38907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60</cp:revision>
  <cp:lastPrinted>2024-05-20T13:39:00Z</cp:lastPrinted>
  <dcterms:created xsi:type="dcterms:W3CDTF">2024-01-26T17:02:00Z</dcterms:created>
  <dcterms:modified xsi:type="dcterms:W3CDTF">2025-02-11T23:30:00Z</dcterms:modified>
</cp:coreProperties>
</file>