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3B685A" w:rsidRPr="003B685A" w:rsidRDefault="003B685A" w:rsidP="003B685A">
      <w:pPr>
        <w:spacing w:after="0" w:line="240" w:lineRule="auto"/>
        <w:jc w:val="both"/>
        <w:rPr>
          <w:rFonts w:ascii="Times New Roman" w:hAnsi="Times New Roman"/>
          <w:sz w:val="20"/>
          <w:szCs w:val="20"/>
        </w:rPr>
      </w:pPr>
      <w:r w:rsidRPr="003B685A">
        <w:rPr>
          <w:rFonts w:ascii="Times New Roman" w:hAnsi="Times New Roman"/>
          <w:sz w:val="20"/>
          <w:szCs w:val="20"/>
        </w:rPr>
        <w:t>1.1. O presente Termo de Referência tem por objeto estabelecer as condições para a aquisição eventual e parcelada de materiais hidráulicos, incluindo tubos de PVC e PEAD, adaptadores, conexões, joelhos, hidrômetros, registros e demais itens necessários à manutenção, reparo e ampliação das redes públicas de abastecimento de água e esgotamento sanitário no Município de Paverama/RS, sob responsabilidade do Departamento Municipal de Água e Esgotos — DEMAAP, conforme especificações técnicas e quantitativos descritos na tabela abaixo:</w:t>
      </w:r>
    </w:p>
    <w:p w:rsidR="003B685A" w:rsidRPr="003B685A" w:rsidRDefault="003B685A" w:rsidP="003B685A">
      <w:pPr>
        <w:spacing w:after="0" w:line="240" w:lineRule="auto"/>
        <w:jc w:val="both"/>
        <w:rPr>
          <w:rFonts w:ascii="Times New Roman" w:hAnsi="Times New Roman"/>
          <w:sz w:val="20"/>
          <w:szCs w:val="20"/>
        </w:rPr>
      </w:pPr>
    </w:p>
    <w:p w:rsidR="003B685A" w:rsidRDefault="003B685A" w:rsidP="003B685A">
      <w:pPr>
        <w:spacing w:after="0" w:line="240" w:lineRule="auto"/>
        <w:jc w:val="both"/>
        <w:rPr>
          <w:rFonts w:ascii="Times New Roman" w:hAnsi="Times New Roman"/>
          <w:sz w:val="20"/>
          <w:szCs w:val="20"/>
        </w:rPr>
      </w:pPr>
    </w:p>
    <w:tbl>
      <w:tblPr>
        <w:tblW w:w="9205" w:type="dxa"/>
        <w:tblInd w:w="75" w:type="dxa"/>
        <w:tblCellMar>
          <w:left w:w="70" w:type="dxa"/>
          <w:right w:w="70" w:type="dxa"/>
        </w:tblCellMar>
        <w:tblLook w:val="04A0" w:firstRow="1" w:lastRow="0" w:firstColumn="1" w:lastColumn="0" w:noHBand="0" w:noVBand="1"/>
      </w:tblPr>
      <w:tblGrid>
        <w:gridCol w:w="500"/>
        <w:gridCol w:w="1055"/>
        <w:gridCol w:w="992"/>
        <w:gridCol w:w="5868"/>
        <w:gridCol w:w="790"/>
      </w:tblGrid>
      <w:tr w:rsidR="00B75621" w:rsidRPr="00B75621" w:rsidTr="00B75621">
        <w:trPr>
          <w:trHeight w:val="69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b/>
                <w:bCs/>
                <w:color w:val="000000"/>
                <w:sz w:val="18"/>
                <w:szCs w:val="18"/>
                <w:lang w:eastAsia="pt-BR"/>
              </w:rPr>
            </w:pPr>
            <w:r w:rsidRPr="00B75621">
              <w:rPr>
                <w:rFonts w:ascii="Times New Roman" w:eastAsia="Times New Roman" w:hAnsi="Times New Roman"/>
                <w:b/>
                <w:bCs/>
                <w:color w:val="000000"/>
                <w:sz w:val="18"/>
                <w:szCs w:val="18"/>
                <w:lang w:eastAsia="pt-BR"/>
              </w:rPr>
              <w:t>Item</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b/>
                <w:bCs/>
                <w:color w:val="000000"/>
                <w:sz w:val="18"/>
                <w:szCs w:val="18"/>
                <w:lang w:eastAsia="pt-BR"/>
              </w:rPr>
            </w:pPr>
            <w:r w:rsidRPr="00B75621">
              <w:rPr>
                <w:rFonts w:ascii="Times New Roman" w:eastAsia="Times New Roman" w:hAnsi="Times New Roman"/>
                <w:b/>
                <w:bCs/>
                <w:color w:val="000000"/>
                <w:sz w:val="18"/>
                <w:szCs w:val="18"/>
                <w:lang w:eastAsia="pt-BR"/>
              </w:rPr>
              <w:t>Quantidade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b/>
                <w:bCs/>
                <w:color w:val="000000"/>
                <w:sz w:val="18"/>
                <w:szCs w:val="18"/>
                <w:lang w:eastAsia="pt-BR"/>
              </w:rPr>
            </w:pPr>
            <w:r w:rsidRPr="00B75621">
              <w:rPr>
                <w:rFonts w:ascii="Times New Roman" w:eastAsia="Times New Roman" w:hAnsi="Times New Roman"/>
                <w:b/>
                <w:bCs/>
                <w:color w:val="000000"/>
                <w:sz w:val="18"/>
                <w:szCs w:val="18"/>
                <w:lang w:eastAsia="pt-BR"/>
              </w:rPr>
              <w:t>Medida</w:t>
            </w:r>
          </w:p>
        </w:tc>
        <w:tc>
          <w:tcPr>
            <w:tcW w:w="5868" w:type="dxa"/>
            <w:tcBorders>
              <w:top w:val="single" w:sz="4" w:space="0" w:color="auto"/>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b/>
                <w:bCs/>
                <w:color w:val="000000"/>
                <w:sz w:val="18"/>
                <w:szCs w:val="18"/>
                <w:lang w:eastAsia="pt-BR"/>
              </w:rPr>
            </w:pPr>
            <w:r w:rsidRPr="00B75621">
              <w:rPr>
                <w:rFonts w:ascii="Times New Roman" w:eastAsia="Times New Roman" w:hAnsi="Times New Roman"/>
                <w:b/>
                <w:bCs/>
                <w:color w:val="000000"/>
                <w:sz w:val="18"/>
                <w:szCs w:val="18"/>
                <w:lang w:eastAsia="pt-BR"/>
              </w:rPr>
              <w:t>Descrição</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b/>
                <w:bCs/>
                <w:color w:val="000000"/>
                <w:sz w:val="18"/>
                <w:szCs w:val="18"/>
                <w:lang w:eastAsia="pt-BR"/>
              </w:rPr>
            </w:pPr>
            <w:r w:rsidRPr="00B75621">
              <w:rPr>
                <w:rFonts w:ascii="Times New Roman" w:eastAsia="Times New Roman" w:hAnsi="Times New Roman"/>
                <w:b/>
                <w:bCs/>
                <w:color w:val="000000"/>
                <w:sz w:val="18"/>
                <w:szCs w:val="18"/>
                <w:lang w:eastAsia="pt-BR"/>
              </w:rPr>
              <w:t>Valor Unitário (R$)</w:t>
            </w:r>
          </w:p>
        </w:tc>
      </w:tr>
      <w:tr w:rsidR="00B75621" w:rsidRPr="00B75621" w:rsidTr="00B75621">
        <w:trPr>
          <w:trHeight w:val="79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de PVC, rígido e soldável, com bolsa e rosca, 25mm 3/4”,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1,46</w:t>
            </w:r>
          </w:p>
        </w:tc>
      </w:tr>
      <w:tr w:rsidR="00B75621" w:rsidRPr="00B75621" w:rsidTr="00B75621">
        <w:trPr>
          <w:trHeight w:val="5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de PVC, rígido e soldável, com bolsa e rosca 32mm 1”,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2,5</w:t>
            </w:r>
          </w:p>
        </w:tc>
      </w:tr>
      <w:tr w:rsidR="00B75621" w:rsidRPr="00B75621" w:rsidTr="00B75621">
        <w:trPr>
          <w:trHeight w:val="6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de PVC, rígido e soldável, com bolsas, 40mm x 1,1/4”,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3,62</w:t>
            </w:r>
          </w:p>
        </w:tc>
      </w:tr>
      <w:tr w:rsidR="00B75621" w:rsidRPr="00B75621" w:rsidTr="00B75621">
        <w:trPr>
          <w:trHeight w:val="5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de PVC, rígido e soldável, com bolsa e rosca, 50mm x 1.1/2”,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4,33</w:t>
            </w:r>
          </w:p>
        </w:tc>
      </w:tr>
      <w:tr w:rsidR="00B75621" w:rsidRPr="00B75621" w:rsidTr="00B75621">
        <w:trPr>
          <w:trHeight w:val="46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de PVC, rígido e soldável, com bolsa e rosca, 60mm x 2”,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6,53</w:t>
            </w:r>
          </w:p>
        </w:tc>
      </w:tr>
      <w:tr w:rsidR="00B75621" w:rsidRPr="00B75621" w:rsidTr="00B75621">
        <w:trPr>
          <w:trHeight w:val="5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soldável com flange e anel para caixa d’agua 25mm</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11,4</w:t>
            </w:r>
          </w:p>
        </w:tc>
      </w:tr>
      <w:tr w:rsidR="00B75621" w:rsidRPr="00B75621" w:rsidTr="00B75621">
        <w:trPr>
          <w:trHeight w:val="5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soldável com flange e anel para caixa d’água 32mm</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15,59</w:t>
            </w:r>
          </w:p>
        </w:tc>
      </w:tr>
      <w:tr w:rsidR="00B75621" w:rsidRPr="00B75621" w:rsidTr="00B75621">
        <w:trPr>
          <w:trHeight w:val="6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Adaptador soldável com flange e anel para caixa d’água 40mm</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18,47</w:t>
            </w:r>
          </w:p>
        </w:tc>
      </w:tr>
      <w:tr w:rsidR="00B75621" w:rsidRPr="00B75621" w:rsidTr="00B75621">
        <w:trPr>
          <w:trHeight w:val="4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Adesivo plástico para tubo de PVC, frasco com 75 gramas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10,57</w:t>
            </w:r>
          </w:p>
        </w:tc>
      </w:tr>
      <w:tr w:rsidR="00B75621" w:rsidRPr="00B75621" w:rsidTr="00B75621">
        <w:trPr>
          <w:trHeight w:val="96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Anel de borracha para vedação para porca e Tubete 3/4″ de hidrômetro. Indicado para aplicação em conexões de compressão e para realizar a vedação entre o tubete e o hidrômetro.</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0,37</w:t>
            </w:r>
          </w:p>
        </w:tc>
      </w:tr>
      <w:tr w:rsidR="00B75621" w:rsidRPr="00B75621" w:rsidTr="00B75621">
        <w:trPr>
          <w:trHeight w:val="63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Bucha de redução curta de PVC, rígido e soldável, 25mm x 20mm,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0,81</w:t>
            </w:r>
          </w:p>
        </w:tc>
      </w:tr>
      <w:tr w:rsidR="00B75621" w:rsidRPr="00B75621" w:rsidTr="00B75621">
        <w:trPr>
          <w:trHeight w:val="58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Bucha de redução curta de PVC, rígido e soldável, 32mm x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1,28</w:t>
            </w:r>
          </w:p>
        </w:tc>
      </w:tr>
      <w:tr w:rsidR="00B75621" w:rsidRPr="00B75621" w:rsidTr="00B75621">
        <w:trPr>
          <w:trHeight w:val="6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Bucha de redução curta de PVC, rígido e soldável, 40mm x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2,03</w:t>
            </w:r>
          </w:p>
        </w:tc>
      </w:tr>
      <w:tr w:rsidR="00B75621" w:rsidRPr="00B75621" w:rsidTr="00B75621">
        <w:trPr>
          <w:trHeight w:val="69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Bucha de redução curta de PVC, rígido e soldável, 50mm x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3,19</w:t>
            </w:r>
          </w:p>
        </w:tc>
      </w:tr>
      <w:tr w:rsidR="00B75621" w:rsidRPr="00B75621" w:rsidTr="00B75621">
        <w:trPr>
          <w:trHeight w:val="6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lastRenderedPageBreak/>
              <w:t>15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Bucha de redução curta de PVC, rígido e soldável, 60mm x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4,58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 xml:space="preserve">Cap (plug) 25mm </w:t>
            </w:r>
            <w:r w:rsidR="001B5F59" w:rsidRPr="00B75621">
              <w:rPr>
                <w:rFonts w:ascii="Times New Roman" w:eastAsia="Times New Roman" w:hAnsi="Times New Roman"/>
                <w:color w:val="000000"/>
                <w:sz w:val="20"/>
                <w:szCs w:val="20"/>
                <w:lang w:eastAsia="pt-BR"/>
              </w:rPr>
              <w:t>rosqueável</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1,34</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Cap de PVC, rígido e soldável, 20mm,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0,9</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Cap de PVC, rígido e soldável,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Cap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2,61</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Colar tomada de compressão PP 32mm x ¾ com trava</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5,96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Colar tomada com travas de PVC, rígido e soldável, 32mm x ¾”, PN 16kgf/cm²</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9,15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Colar tomada com travas de PVC, rígido e soldável, 40mm x ¾”, PN 16kgf/cm²</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10,09</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Colar tomada com travas de PVC, rígido e soldável, 50mm x ¾”, PN 16kgf/cm²</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 xml:space="preserve">Colar tomada com travas de PVC, rígido e soldável, 60mm x </w:t>
            </w:r>
            <w:proofErr w:type="gramStart"/>
            <w:r w:rsidRPr="00B75621">
              <w:rPr>
                <w:rFonts w:ascii="Times New Roman" w:eastAsia="Times New Roman" w:hAnsi="Times New Roman"/>
                <w:color w:val="000000"/>
                <w:sz w:val="20"/>
                <w:szCs w:val="20"/>
                <w:lang w:eastAsia="pt-BR"/>
              </w:rPr>
              <w:t>¾ ,</w:t>
            </w:r>
            <w:proofErr w:type="gramEnd"/>
            <w:r w:rsidRPr="00B75621">
              <w:rPr>
                <w:rFonts w:ascii="Times New Roman" w:eastAsia="Times New Roman" w:hAnsi="Times New Roman"/>
                <w:color w:val="000000"/>
                <w:sz w:val="20"/>
                <w:szCs w:val="20"/>
                <w:lang w:eastAsia="pt-BR"/>
              </w:rPr>
              <w:t xml:space="preserve"> PN 16kgf/cm²</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10,13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Curva 25mm, 90° de PVC, rígido e soldável,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4,5</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Curva 32mm, 90° de PVC, rígido e soldável,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7,18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Curva 60mm, 90° de PVC, rígido e soldável,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39,4</w:t>
            </w:r>
          </w:p>
        </w:tc>
      </w:tr>
      <w:tr w:rsidR="00B75621" w:rsidRPr="00B75621" w:rsidTr="00B75621">
        <w:trPr>
          <w:trHeight w:val="76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Fita veda rosca, rolo de 18mm x 10mt. De acordo com a NBR 16368, deverá suportar temperatura de trabalho de até 240ºC</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5,6</w:t>
            </w:r>
          </w:p>
        </w:tc>
      </w:tr>
      <w:tr w:rsidR="00B75621" w:rsidRPr="00B75621" w:rsidTr="00B75621">
        <w:trPr>
          <w:trHeight w:val="153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 xml:space="preserve">Hidrômetro </w:t>
            </w:r>
            <w:proofErr w:type="spellStart"/>
            <w:r w:rsidRPr="00B75621">
              <w:rPr>
                <w:rFonts w:ascii="Times New Roman" w:eastAsia="Times New Roman" w:hAnsi="Times New Roman"/>
                <w:color w:val="000000"/>
                <w:sz w:val="20"/>
                <w:szCs w:val="20"/>
                <w:lang w:eastAsia="pt-BR"/>
              </w:rPr>
              <w:t>Unijato</w:t>
            </w:r>
            <w:proofErr w:type="spellEnd"/>
            <w:r w:rsidRPr="00B75621">
              <w:rPr>
                <w:rFonts w:ascii="Times New Roman" w:eastAsia="Times New Roman" w:hAnsi="Times New Roman"/>
                <w:color w:val="000000"/>
                <w:sz w:val="20"/>
                <w:szCs w:val="20"/>
                <w:lang w:eastAsia="pt-BR"/>
              </w:rPr>
              <w:t xml:space="preserve"> ¾, vazão máxima 1,5m³/h, com comprimento 115mm, completo, incluindo arruelas de vedação, tubetes e porcas p/ fixação no kit. Com certificação INMETRO e desempenho igual ou superior ao predeterminado pelas normas da ABNT NBR NM212 e ISO 4064 (UNIJATO)</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117,73</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com rosca, 25mm x ½”,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com rosca, 25mm x ¾”,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4,29</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¾”, rosqueável classe 15 (Linha rosqueável branca)</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20mm,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0,93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1,21</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3,26</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4,32</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6,27</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Joelho 90° de PVC,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12,43</w:t>
            </w:r>
          </w:p>
        </w:tc>
      </w:tr>
      <w:tr w:rsidR="00B75621" w:rsidRPr="00B75621" w:rsidTr="00B75621">
        <w:trPr>
          <w:trHeight w:val="76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Kit cavalete completo em PVC ¾” com um registro. Conexões produzidas para pressão normal PN 16 (16Kgf/cm²)</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47,3</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Lixa tecido para ferro n° 100 - dimensões mínimas 27,5cm x 22,5cm</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2,33</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com rosca, ¾”, classe 15, (linha rosqueável branca)</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lastRenderedPageBreak/>
              <w:t>42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com rosca, 25mm x ½,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com rosca, 25mm x ¾,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4,07</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rígido e soldável,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17,02</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21,98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rígido e soldável,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24,67</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rígido e soldável,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34,46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curta,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32,5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correr de PVC, longa,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30,25</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20mm,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0,86</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2,55</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4,13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5,48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Luva de PVC,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9,52</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Pasta lubrificante, bisnaga com 160 gramas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11,55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com rosca, ¾”. m/f,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10,87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f/f, 25 mm ¾”,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rosqueável, f/f, 25 mm ¾”,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17,45</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rosqueável, m/m, ¾”,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11,97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18,8</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22,88</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27,44</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esfera com borboleta de PVC,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40,88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20mm,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25mm,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1,94</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32mm,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4,63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40mm,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5,86</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50mm,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9,32</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PVC, rígido e soldável, 60mm, classe 15</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17,17</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Torneira bóia para caixa d’agua ¾ haste metal</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15,67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20mm, classe 15, barra com 6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18,08</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25mm, classe 15, barra com 6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22,87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lastRenderedPageBreak/>
              <w:t>74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32mm, classe 15, barra com 6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38,59</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40mm, classe 15. barra com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53,69</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50mm, classe 15, barra com 6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78,62</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Barra</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de PVC, rígido e soldável, 60mm, classe 15, barra com 6 (seis) metros</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102,97</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20mm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9,53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25mm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12,13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32mm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15,4</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40mm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21,43</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82</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50mm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34,6</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83</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União dupla de Compressão PP para PEAD 60mm –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84</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Metros</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em PEAD 40mm PN 12,5 PE 80 ou superior (Azul) NBR 15561</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16,34</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85</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5000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Metros</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em PEAD 32mm PE80 ou superior PN 20 (Azul) NBR 15561</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16,37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86</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Metros</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Tubo em PEAD de 20mm PN 10 PE 80 ou superior (Azul) NBR 15561</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7,1</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87</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Colar de Tomada PP para PEAD 40 x ¾” com Trava</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15,6</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88</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Rápido Horizontal 20mm de Compressão PP para PEAD</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28,87</w:t>
            </w:r>
          </w:p>
        </w:tc>
      </w:tr>
      <w:tr w:rsidR="00B75621" w:rsidRPr="00B75621" w:rsidTr="00B75621">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89</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Registro Rápido Horizontal 40mm de Compressão PP para PEAD</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65,18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90</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30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TEE de compressão PP para PEAD 40 PN16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46,68</w:t>
            </w:r>
          </w:p>
        </w:tc>
      </w:tr>
      <w:tr w:rsidR="00B75621" w:rsidRPr="00B75621" w:rsidTr="00B75621">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91</w:t>
            </w:r>
          </w:p>
        </w:tc>
        <w:tc>
          <w:tcPr>
            <w:tcW w:w="1055"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20</w:t>
            </w:r>
          </w:p>
        </w:tc>
        <w:tc>
          <w:tcPr>
            <w:tcW w:w="992"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Unidade</w:t>
            </w:r>
          </w:p>
        </w:tc>
        <w:tc>
          <w:tcPr>
            <w:tcW w:w="5868" w:type="dxa"/>
            <w:tcBorders>
              <w:top w:val="nil"/>
              <w:left w:val="nil"/>
              <w:bottom w:val="single" w:sz="4" w:space="0" w:color="auto"/>
              <w:right w:val="single" w:sz="4" w:space="0" w:color="auto"/>
            </w:tcBorders>
            <w:shd w:val="clear" w:color="auto" w:fill="auto"/>
            <w:vAlign w:val="center"/>
            <w:hideMark/>
          </w:tcPr>
          <w:p w:rsidR="00B75621" w:rsidRPr="00B75621" w:rsidRDefault="00B75621" w:rsidP="00B75621">
            <w:pPr>
              <w:spacing w:after="0" w:line="240" w:lineRule="auto"/>
              <w:jc w:val="both"/>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Tampão de Compressão PP para PEAD 40mm PN 16</w:t>
            </w:r>
          </w:p>
        </w:tc>
        <w:tc>
          <w:tcPr>
            <w:tcW w:w="790" w:type="dxa"/>
            <w:tcBorders>
              <w:top w:val="nil"/>
              <w:left w:val="nil"/>
              <w:bottom w:val="single" w:sz="4" w:space="0" w:color="auto"/>
              <w:right w:val="single" w:sz="4" w:space="0" w:color="auto"/>
            </w:tcBorders>
            <w:shd w:val="clear" w:color="auto" w:fill="auto"/>
            <w:noWrap/>
            <w:vAlign w:val="center"/>
            <w:hideMark/>
          </w:tcPr>
          <w:p w:rsidR="00B75621" w:rsidRPr="00B75621" w:rsidRDefault="00B75621" w:rsidP="00B75621">
            <w:pPr>
              <w:spacing w:after="0" w:line="240" w:lineRule="auto"/>
              <w:jc w:val="center"/>
              <w:rPr>
                <w:rFonts w:ascii="Times New Roman" w:eastAsia="Times New Roman" w:hAnsi="Times New Roman"/>
                <w:color w:val="000000"/>
                <w:sz w:val="20"/>
                <w:szCs w:val="20"/>
                <w:lang w:eastAsia="pt-BR"/>
              </w:rPr>
            </w:pPr>
            <w:r w:rsidRPr="00B75621">
              <w:rPr>
                <w:rFonts w:ascii="Times New Roman" w:eastAsia="Times New Roman" w:hAnsi="Times New Roman"/>
                <w:color w:val="000000"/>
                <w:sz w:val="20"/>
                <w:szCs w:val="20"/>
                <w:lang w:eastAsia="pt-BR"/>
              </w:rPr>
              <w:t>16,8</w:t>
            </w:r>
          </w:p>
        </w:tc>
      </w:tr>
    </w:tbl>
    <w:p w:rsidR="00B75621" w:rsidRDefault="00B75621" w:rsidP="003B685A">
      <w:pPr>
        <w:spacing w:after="0" w:line="240" w:lineRule="auto"/>
        <w:jc w:val="both"/>
        <w:rPr>
          <w:rFonts w:ascii="Times New Roman" w:hAnsi="Times New Roman"/>
          <w:sz w:val="20"/>
          <w:szCs w:val="20"/>
        </w:rPr>
      </w:pPr>
    </w:p>
    <w:p w:rsidR="00B75621" w:rsidRPr="003B685A" w:rsidRDefault="00B75621" w:rsidP="003B685A">
      <w:pPr>
        <w:spacing w:after="0" w:line="240" w:lineRule="auto"/>
        <w:jc w:val="both"/>
        <w:rPr>
          <w:rFonts w:ascii="Times New Roman" w:hAnsi="Times New Roman"/>
          <w:sz w:val="20"/>
          <w:szCs w:val="20"/>
        </w:rPr>
      </w:pPr>
    </w:p>
    <w:p w:rsidR="003B685A" w:rsidRPr="003B685A" w:rsidRDefault="003B685A" w:rsidP="003B685A">
      <w:pPr>
        <w:spacing w:after="0" w:line="240" w:lineRule="auto"/>
        <w:jc w:val="both"/>
        <w:rPr>
          <w:rFonts w:ascii="Times New Roman" w:hAnsi="Times New Roman"/>
          <w:sz w:val="20"/>
          <w:szCs w:val="20"/>
        </w:rPr>
      </w:pPr>
      <w:r w:rsidRPr="003B685A">
        <w:rPr>
          <w:rFonts w:ascii="Times New Roman" w:hAnsi="Times New Roman"/>
          <w:sz w:val="20"/>
          <w:szCs w:val="20"/>
        </w:rPr>
        <w:t>1.2. A contratação visa atender às demandas operacionais e emergenciais do DEMAAP, garantindo o pleno funcionamento da rede pública de saneamento básico, com fornecimento contínuo, seguro e eficiente de água potável, bem como a manutenção da infraestrutura hidráulica urbana e rural do Município de Paverama/RS.</w:t>
      </w:r>
    </w:p>
    <w:p w:rsidR="003B685A" w:rsidRPr="003B685A" w:rsidRDefault="003B685A" w:rsidP="003B685A">
      <w:pPr>
        <w:spacing w:after="0" w:line="240" w:lineRule="auto"/>
        <w:jc w:val="both"/>
        <w:rPr>
          <w:rFonts w:ascii="Times New Roman" w:hAnsi="Times New Roman"/>
          <w:sz w:val="20"/>
          <w:szCs w:val="20"/>
        </w:rPr>
      </w:pPr>
      <w:r w:rsidRPr="003B685A">
        <w:rPr>
          <w:rFonts w:ascii="Times New Roman" w:hAnsi="Times New Roman"/>
          <w:sz w:val="20"/>
          <w:szCs w:val="20"/>
        </w:rPr>
        <w:t>1.3. Em caso de divergência entre as especificações constantes neste Termo de Referência, no Estudo Técnico Preliminar ou no Edital, prevalecerão as disposições previstas no Edital, conforme determina a legislação vigente.</w:t>
      </w:r>
    </w:p>
    <w:p w:rsidR="003B685A" w:rsidRPr="003B685A" w:rsidRDefault="003B685A" w:rsidP="003B685A">
      <w:pPr>
        <w:spacing w:after="0" w:line="240" w:lineRule="auto"/>
        <w:jc w:val="both"/>
        <w:rPr>
          <w:rFonts w:ascii="Times New Roman" w:hAnsi="Times New Roman"/>
          <w:sz w:val="20"/>
          <w:szCs w:val="20"/>
        </w:rPr>
      </w:pPr>
      <w:r w:rsidRPr="003B685A">
        <w:rPr>
          <w:rFonts w:ascii="Times New Roman" w:hAnsi="Times New Roman"/>
          <w:sz w:val="20"/>
          <w:szCs w:val="20"/>
        </w:rPr>
        <w:t>1.4. Os preços estimados foram obtidos por meio de levantamento de mercado junto a fornecedores locais e regionais, consulta a contratações similares vigentes e pesquisa em bases oficiais de dados públicos, nos termos do art. 23 da Lei nº 14.133/2021. Os documentos comprobatórios encontram-se anexados ao processo administrativo.</w:t>
      </w:r>
    </w:p>
    <w:p w:rsidR="004C41AA" w:rsidRDefault="004C41A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8371A" w:rsidRDefault="0048371A" w:rsidP="0048371A">
      <w:pPr>
        <w:spacing w:after="0" w:line="240"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Default="0048371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lastRenderedPageBreak/>
        <w:t>(  )</w:t>
      </w:r>
      <w:proofErr w:type="gramEnd"/>
      <w:r w:rsidRPr="00E2079F">
        <w:rPr>
          <w:rFonts w:ascii="Times New Roman" w:hAnsi="Times New Roman"/>
          <w:sz w:val="20"/>
          <w:szCs w:val="20"/>
        </w:rPr>
        <w:t xml:space="preserve">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09461A" w:rsidRPr="0009461A" w:rsidRDefault="0009461A" w:rsidP="0009461A">
      <w:pPr>
        <w:spacing w:after="0" w:line="240" w:lineRule="auto"/>
        <w:jc w:val="both"/>
        <w:rPr>
          <w:rFonts w:ascii="Times New Roman" w:hAnsi="Times New Roman"/>
          <w:bCs/>
          <w:sz w:val="20"/>
          <w:szCs w:val="20"/>
        </w:rPr>
      </w:pPr>
      <w:r w:rsidRPr="0009461A">
        <w:rPr>
          <w:rFonts w:ascii="Times New Roman" w:hAnsi="Times New Roman"/>
          <w:bCs/>
          <w:sz w:val="20"/>
          <w:szCs w:val="20"/>
        </w:rPr>
        <w:t>4.1.</w:t>
      </w:r>
      <w:r>
        <w:rPr>
          <w:rFonts w:ascii="Times New Roman" w:hAnsi="Times New Roman"/>
          <w:bCs/>
          <w:sz w:val="20"/>
          <w:szCs w:val="20"/>
        </w:rPr>
        <w:t xml:space="preserve"> </w:t>
      </w:r>
      <w:r w:rsidRPr="0009461A">
        <w:rPr>
          <w:rFonts w:ascii="Times New Roman" w:hAnsi="Times New Roman"/>
          <w:bCs/>
          <w:sz w:val="20"/>
          <w:szCs w:val="20"/>
        </w:rPr>
        <w:t>A necessidade de aquisição eventual de materiais hidráulicos, tais como tubos, conexões, adaptadores, registros, hidrômetros, tubos PEAD e demais itens relacionados ao sistema de abastecimento e distribuição de água no Município de Paverama/RS, encontra-se devidamente justificada no respectivo Estudo Técnico Preliminar (ETP), que embasou a elaboração do presente Termo de Referência, em conformidade com o art. 18 da Lei nº 14.133/2021.</w:t>
      </w:r>
    </w:p>
    <w:p w:rsidR="0009461A" w:rsidRDefault="0009461A" w:rsidP="0009461A">
      <w:pPr>
        <w:spacing w:after="0" w:line="240" w:lineRule="auto"/>
        <w:jc w:val="both"/>
        <w:rPr>
          <w:rFonts w:ascii="Times New Roman" w:hAnsi="Times New Roman"/>
          <w:bCs/>
          <w:sz w:val="20"/>
          <w:szCs w:val="20"/>
        </w:rPr>
      </w:pPr>
      <w:r w:rsidRPr="0009461A">
        <w:rPr>
          <w:rFonts w:ascii="Times New Roman" w:hAnsi="Times New Roman"/>
          <w:bCs/>
          <w:sz w:val="20"/>
          <w:szCs w:val="20"/>
        </w:rPr>
        <w:t>4.2.</w:t>
      </w:r>
      <w:r>
        <w:rPr>
          <w:rFonts w:ascii="Times New Roman" w:hAnsi="Times New Roman"/>
          <w:bCs/>
          <w:sz w:val="20"/>
          <w:szCs w:val="20"/>
        </w:rPr>
        <w:t xml:space="preserve"> </w:t>
      </w:r>
      <w:r w:rsidRPr="0009461A">
        <w:rPr>
          <w:rFonts w:ascii="Times New Roman" w:hAnsi="Times New Roman"/>
          <w:bCs/>
          <w:sz w:val="20"/>
          <w:szCs w:val="20"/>
        </w:rPr>
        <w:t>O objeto da contratação está previsto no Plano Anual de Contratações – PAC 2025, tendo sido observadas todas as etapas de planejamento prévio, inclusive quanto à definição da solução mais eficiente, vantajosa e compatível com as reais necessidades do Município e do Departamento Municipal de Água e Esgotos — DEMAAP.</w:t>
      </w:r>
    </w:p>
    <w:p w:rsidR="0009461A" w:rsidRPr="0009461A" w:rsidRDefault="0009461A" w:rsidP="0009461A">
      <w:pPr>
        <w:spacing w:after="0" w:line="240" w:lineRule="auto"/>
        <w:jc w:val="both"/>
        <w:rPr>
          <w:rFonts w:ascii="Times New Roman" w:hAnsi="Times New Roman"/>
          <w:bCs/>
          <w:sz w:val="20"/>
          <w:szCs w:val="20"/>
        </w:rPr>
      </w:pPr>
      <w:r w:rsidRPr="0009461A">
        <w:rPr>
          <w:rFonts w:ascii="Times New Roman" w:hAnsi="Times New Roman"/>
          <w:bCs/>
          <w:sz w:val="20"/>
          <w:szCs w:val="20"/>
        </w:rPr>
        <w:t>4.3. A seguir, apresentam-se os fundamentos de fato e de direito que justificam a viabilidade, legalidade e adequação da contratação:</w:t>
      </w:r>
    </w:p>
    <w:p w:rsidR="00913EFA" w:rsidRDefault="0009461A" w:rsidP="00913EFA">
      <w:pPr>
        <w:spacing w:after="0" w:line="240" w:lineRule="auto"/>
        <w:ind w:firstLine="708"/>
        <w:jc w:val="both"/>
        <w:rPr>
          <w:rFonts w:ascii="Times New Roman" w:hAnsi="Times New Roman"/>
          <w:bCs/>
          <w:sz w:val="20"/>
          <w:szCs w:val="20"/>
        </w:rPr>
      </w:pPr>
      <w:r w:rsidRPr="0009461A">
        <w:rPr>
          <w:rFonts w:ascii="Times New Roman" w:hAnsi="Times New Roman"/>
          <w:bCs/>
          <w:sz w:val="20"/>
          <w:szCs w:val="20"/>
        </w:rPr>
        <w:t>a) Fundamentos de Fato:</w:t>
      </w:r>
    </w:p>
    <w:p w:rsidR="00913EF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A aquisição eventual de materiais hidráulicos é essencial para garantir a execução das atividades regulares e emergenciais realizadas pelo DEMAAP, relacionadas à manutenção, ampliação e reparo da rede pública de distribuição de água. A ausência desses insumos comprometeria diretamente a prestação dos serviços de saneamento básico, afetando a saúde pública, o bem-estar da população e a regularidade do abastecimento de água.</w:t>
      </w:r>
    </w:p>
    <w:p w:rsidR="00913EF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A demanda por materiais hidráulicos é variável ao longo do ano, sendo influenciada por fatores climáticos, rompimentos de rede, ampliações de ramais, substituições de hidrômetros, bem como atendimentos emergenciais. A contratação eventual e parcelada possibilita o fornecimento conforme a necessidade real, oferecendo flexibilidade administrativa e capacidade de resposta imediata a situações urgentes.</w:t>
      </w:r>
    </w:p>
    <w:p w:rsidR="0009461A" w:rsidRPr="0009461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Adicionalmente, a contratação sob demanda evita a manutenção de estoques elevados e desnecessários, reduzindo riscos de avarias, vencimento de garantias ou obsolescência de materiais, além de possibilitar melhor planejamento orçamentário ao diluir os custos conforme a execução do contrato.</w:t>
      </w:r>
    </w:p>
    <w:p w:rsidR="00913EFA" w:rsidRDefault="00913EFA" w:rsidP="0009461A">
      <w:pPr>
        <w:spacing w:after="0" w:line="240" w:lineRule="auto"/>
        <w:jc w:val="both"/>
        <w:rPr>
          <w:rFonts w:ascii="Times New Roman" w:hAnsi="Times New Roman"/>
          <w:bCs/>
          <w:sz w:val="20"/>
          <w:szCs w:val="20"/>
        </w:rPr>
      </w:pPr>
      <w:r>
        <w:rPr>
          <w:rFonts w:ascii="Times New Roman" w:hAnsi="Times New Roman"/>
          <w:bCs/>
          <w:sz w:val="20"/>
          <w:szCs w:val="20"/>
        </w:rPr>
        <w:tab/>
      </w:r>
      <w:r w:rsidR="0009461A" w:rsidRPr="0009461A">
        <w:rPr>
          <w:rFonts w:ascii="Times New Roman" w:hAnsi="Times New Roman"/>
          <w:bCs/>
          <w:sz w:val="20"/>
          <w:szCs w:val="20"/>
        </w:rPr>
        <w:t>b) Fundamentos de Direito:</w:t>
      </w:r>
    </w:p>
    <w:p w:rsidR="0009461A" w:rsidRPr="0009461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A contratação está fundamentada na Lei Federal nº 14.133/2021, em especial no que tange à adoção da modalidade Pregão Eletrônico, indicada como preferencial para aquisição de bens comuns, assegurando ampla concorrência, celeridade, economicidade e transparência.</w:t>
      </w:r>
    </w:p>
    <w:p w:rsidR="0009461A" w:rsidRPr="0009461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Será utilizado o Sistema de Registro de Preços, previsto no art. 82 da referida lei, ferramenta que possibilita contratações sob demanda, assegurando previsibilidade administrativa, redução de custos e adequação às reais necessidades do serviço público.</w:t>
      </w:r>
    </w:p>
    <w:p w:rsidR="0009461A" w:rsidRPr="0009461A" w:rsidRDefault="0009461A" w:rsidP="00913EFA">
      <w:pPr>
        <w:spacing w:after="0" w:line="240" w:lineRule="auto"/>
        <w:ind w:firstLine="851"/>
        <w:jc w:val="both"/>
        <w:rPr>
          <w:rFonts w:ascii="Times New Roman" w:hAnsi="Times New Roman"/>
          <w:bCs/>
          <w:sz w:val="20"/>
          <w:szCs w:val="20"/>
        </w:rPr>
      </w:pPr>
      <w:r w:rsidRPr="0009461A">
        <w:rPr>
          <w:rFonts w:ascii="Times New Roman" w:hAnsi="Times New Roman"/>
          <w:bCs/>
          <w:sz w:val="20"/>
          <w:szCs w:val="20"/>
        </w:rPr>
        <w:t>Todo o procedimento respeita os princípios constitucionais que regem a Administração Pública — legalidade, impessoalidade, moralidade, publicidade, eficiência e sustentabilidade — contribuindo para a continuidade dos serviços públicos essenciais e a proteção do interesse coletivo.</w:t>
      </w:r>
    </w:p>
    <w:p w:rsidR="004C41AA" w:rsidRPr="0009461A" w:rsidRDefault="0009461A" w:rsidP="0009461A">
      <w:pPr>
        <w:spacing w:after="0" w:line="240" w:lineRule="auto"/>
        <w:jc w:val="both"/>
        <w:rPr>
          <w:rFonts w:ascii="Times New Roman" w:hAnsi="Times New Roman"/>
          <w:bCs/>
          <w:sz w:val="20"/>
          <w:szCs w:val="20"/>
        </w:rPr>
      </w:pPr>
      <w:r w:rsidRPr="0009461A">
        <w:rPr>
          <w:rFonts w:ascii="Times New Roman" w:hAnsi="Times New Roman"/>
          <w:bCs/>
          <w:sz w:val="20"/>
          <w:szCs w:val="20"/>
        </w:rPr>
        <w:t>4.4.</w:t>
      </w:r>
      <w:r w:rsidR="00913EFA">
        <w:rPr>
          <w:rFonts w:ascii="Times New Roman" w:hAnsi="Times New Roman"/>
          <w:bCs/>
          <w:sz w:val="20"/>
          <w:szCs w:val="20"/>
        </w:rPr>
        <w:t xml:space="preserve"> </w:t>
      </w:r>
      <w:r w:rsidRPr="0009461A">
        <w:rPr>
          <w:rFonts w:ascii="Times New Roman" w:hAnsi="Times New Roman"/>
          <w:bCs/>
          <w:sz w:val="20"/>
          <w:szCs w:val="20"/>
        </w:rPr>
        <w:t>Dessa forma, resta plenamente demonstrada a necessidade, oportunidade e legalidade da contratação eventual e parcelada de materiais hidráulicos por meio de Pregão Eletrônico com Registro de Preços. Trata-se de solução técnica e economicamente adequada, que permitirá ao Município de Paverama/RS manter a regularidade e a eficiência dos serviços públicos de abastecimento de água, prestados pelo DEMAAP, refletindo diretamente na qualidade de vida da população.</w:t>
      </w:r>
    </w:p>
    <w:p w:rsidR="0009461A" w:rsidRDefault="0009461A" w:rsidP="009B494F">
      <w:pPr>
        <w:spacing w:after="0" w:line="240" w:lineRule="auto"/>
        <w:jc w:val="both"/>
        <w:rPr>
          <w:rFonts w:ascii="Times New Roman" w:hAnsi="Times New Roman"/>
          <w:b/>
          <w:sz w:val="20"/>
          <w:szCs w:val="20"/>
        </w:rPr>
      </w:pPr>
    </w:p>
    <w:p w:rsidR="00946A5B" w:rsidRPr="00BE6090" w:rsidRDefault="00946A5B" w:rsidP="009B494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5.1.</w:t>
      </w:r>
      <w:r>
        <w:rPr>
          <w:rFonts w:ascii="Times New Roman" w:hAnsi="Times New Roman"/>
          <w:sz w:val="20"/>
          <w:szCs w:val="20"/>
        </w:rPr>
        <w:t xml:space="preserve"> </w:t>
      </w:r>
      <w:r w:rsidRPr="00913EFA">
        <w:rPr>
          <w:rFonts w:ascii="Times New Roman" w:hAnsi="Times New Roman"/>
          <w:sz w:val="20"/>
          <w:szCs w:val="20"/>
        </w:rPr>
        <w:t>A solução proposta para a aquisição eventual de materiais hidráulicos — como tubos de PVC e PEAD, conexões, adaptadores, registros, joelhos, hidrômetros e demais itens utilizados na manutenção, ampliação e operação da rede pública de abastecimento de água — consiste na realização de licitação pública na modalidade Pregão Eletrônico, com a adoção do Sistema de Registro de Preços (SRP), conforme previsto no art. 82 da Lei nº 14.133/2021. Por meio desse procedimento, serão selecionados os fornecedores que atenderem às exigências editalícias e apresentarem as propostas mais vantajosas, considerando critérios de preço, qualidade e condições de fornecimento.</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lastRenderedPageBreak/>
        <w:t>5.2.</w:t>
      </w:r>
      <w:r>
        <w:rPr>
          <w:rFonts w:ascii="Times New Roman" w:hAnsi="Times New Roman"/>
          <w:sz w:val="20"/>
          <w:szCs w:val="20"/>
        </w:rPr>
        <w:t xml:space="preserve"> </w:t>
      </w:r>
      <w:r w:rsidRPr="00913EFA">
        <w:rPr>
          <w:rFonts w:ascii="Times New Roman" w:hAnsi="Times New Roman"/>
          <w:sz w:val="20"/>
          <w:szCs w:val="20"/>
        </w:rPr>
        <w:t>Encerrado o certame, será formalizada a Ata de Registro de Preços, na qual constarão os itens homologados, os valores registrados, os fornecedores habilitados e as condições de fornecimento. A referida ata permitirá a aquisição gradual dos materiais hidráulicos, conforme demanda apresentada pelo DEMAAP, proporcionando maior flexibilidade, economia e agilidade na gestão dos recursos públicos, especialmente em casos de rompimentos de rede, ampliações urgentes ou manutenção corretiva e preventiva dos sistemas de abastecimento.</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5.3.</w:t>
      </w:r>
      <w:r>
        <w:rPr>
          <w:rFonts w:ascii="Times New Roman" w:hAnsi="Times New Roman"/>
          <w:sz w:val="20"/>
          <w:szCs w:val="20"/>
        </w:rPr>
        <w:t xml:space="preserve"> </w:t>
      </w:r>
      <w:r w:rsidRPr="00913EFA">
        <w:rPr>
          <w:rFonts w:ascii="Times New Roman" w:hAnsi="Times New Roman"/>
          <w:sz w:val="20"/>
          <w:szCs w:val="20"/>
        </w:rPr>
        <w:t>A solução contempla, ainda, exigências específicas quanto à qualidade técnica dos produtos, conformidade com normas regulamentadoras e atendimento a requisitos operacionais. Os fornecedores deverão garantir que todos os itens fornecidos estejam de acordo com os padrões da ABNT e demais órgãos técnicos competentes, devendo apresentar, quando solicitado, laudos técnicos, certificados de conformidade ou documentação equivalente. Quando aplicável, os produtos deverão conter orientações claras de uso, instalação e manuseio, bem como um canal de suporte técnico para atendimento ao contratante.</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5.4.</w:t>
      </w:r>
      <w:r>
        <w:rPr>
          <w:rFonts w:ascii="Times New Roman" w:hAnsi="Times New Roman"/>
          <w:sz w:val="20"/>
          <w:szCs w:val="20"/>
        </w:rPr>
        <w:t xml:space="preserve"> </w:t>
      </w:r>
      <w:r w:rsidRPr="00913EFA">
        <w:rPr>
          <w:rFonts w:ascii="Times New Roman" w:hAnsi="Times New Roman"/>
          <w:sz w:val="20"/>
          <w:szCs w:val="20"/>
        </w:rPr>
        <w:t>A proposta considera todo o ciclo de vida do objeto contratado, desde a habilitação e seleção dos fornecedores até o fornecimento sob demanda, o uso correto dos materiais hidráulicos e a destinação ambientalmente adequada das embalagens e sobras. Deverão ser observadas as diretrizes de logística reversa, sustentabilidade e responsabilidade ambiental previstas na Lei Municipal nº 1.984/2008, que institui a política municipal de preservação e defesa do meio ambiente.</w:t>
      </w:r>
    </w:p>
    <w:p w:rsidR="007D6B14"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5.5.</w:t>
      </w:r>
      <w:r>
        <w:rPr>
          <w:rFonts w:ascii="Times New Roman" w:hAnsi="Times New Roman"/>
          <w:sz w:val="20"/>
          <w:szCs w:val="20"/>
        </w:rPr>
        <w:t xml:space="preserve"> </w:t>
      </w:r>
      <w:r w:rsidRPr="00913EFA">
        <w:rPr>
          <w:rFonts w:ascii="Times New Roman" w:hAnsi="Times New Roman"/>
          <w:sz w:val="20"/>
          <w:szCs w:val="20"/>
        </w:rPr>
        <w:t>Dessa forma, a solução proposta busca garantir uma contratação segura, eficiente e alinhada às melhores práticas da gestão pública, assegurando a continuidade dos serviços de abastecimento de água, a resposta imediata às demandas operacionais do DEMAAP e o atendimento adequado à população paveramense, com transparência, economicidade e qualidade técnica.</w:t>
      </w:r>
    </w:p>
    <w:p w:rsidR="00913EFA" w:rsidRPr="00E2079F" w:rsidRDefault="00913EFA" w:rsidP="00913EFA">
      <w:pPr>
        <w:spacing w:after="0" w:line="240" w:lineRule="auto"/>
        <w:jc w:val="both"/>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6.1. A execução da aquisição dos materiais hidráulicos registrados neste Termo de Referência será formalizada mediante emissão de Ordem de Compra e/ou Nota de Empenho, que, nos termos do art. 95 da Lei Federal nº 14.133/2021, poderá substituir o contrato administrativo, quando admitido legalmente.</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6.2. A entrega dos materiais somente deverá ser realizada após o recebimento da correspondente Nota de Empenho, a qual será encaminhada ao endereço eletrônico informado pela empresa vencedora na proposta comercial.</w:t>
      </w:r>
    </w:p>
    <w:p w:rsidR="00913EFA" w:rsidRPr="00913EFA" w:rsidRDefault="00913EFA" w:rsidP="00913EFA">
      <w:pPr>
        <w:spacing w:after="0" w:line="240" w:lineRule="auto"/>
        <w:jc w:val="both"/>
        <w:rPr>
          <w:rFonts w:ascii="Times New Roman" w:hAnsi="Times New Roman"/>
          <w:b/>
          <w:bCs/>
          <w:sz w:val="20"/>
          <w:szCs w:val="20"/>
        </w:rPr>
      </w:pPr>
      <w:r w:rsidRPr="00913EFA">
        <w:rPr>
          <w:rFonts w:ascii="Times New Roman" w:hAnsi="Times New Roman"/>
          <w:b/>
          <w:bCs/>
          <w:sz w:val="20"/>
          <w:szCs w:val="20"/>
        </w:rPr>
        <w:t xml:space="preserve">6.3. O fornecimento deverá ocorrer conforme os prazos estipulados a partir da emissão da Nota de Empenho, sendo obrigatória a entrega pela contratada </w:t>
      </w:r>
      <w:r w:rsidRPr="00CD3E33">
        <w:rPr>
          <w:rFonts w:ascii="Times New Roman" w:hAnsi="Times New Roman"/>
          <w:b/>
          <w:bCs/>
          <w:sz w:val="20"/>
          <w:szCs w:val="20"/>
        </w:rPr>
        <w:t xml:space="preserve">em até </w:t>
      </w:r>
      <w:r w:rsidR="00CD3E33" w:rsidRPr="00CD3E33">
        <w:rPr>
          <w:rFonts w:ascii="Times New Roman" w:hAnsi="Times New Roman"/>
          <w:b/>
          <w:bCs/>
          <w:sz w:val="20"/>
          <w:szCs w:val="20"/>
        </w:rPr>
        <w:t>10</w:t>
      </w:r>
      <w:r w:rsidRPr="00CD3E33">
        <w:rPr>
          <w:rFonts w:ascii="Times New Roman" w:hAnsi="Times New Roman"/>
          <w:b/>
          <w:bCs/>
          <w:sz w:val="20"/>
          <w:szCs w:val="20"/>
        </w:rPr>
        <w:t xml:space="preserve"> (</w:t>
      </w:r>
      <w:r w:rsidR="00CD3E33" w:rsidRPr="00CD3E33">
        <w:rPr>
          <w:rFonts w:ascii="Times New Roman" w:hAnsi="Times New Roman"/>
          <w:b/>
          <w:bCs/>
          <w:sz w:val="20"/>
          <w:szCs w:val="20"/>
        </w:rPr>
        <w:t>dez</w:t>
      </w:r>
      <w:r w:rsidRPr="00CD3E33">
        <w:rPr>
          <w:rFonts w:ascii="Times New Roman" w:hAnsi="Times New Roman"/>
          <w:b/>
          <w:bCs/>
          <w:sz w:val="20"/>
          <w:szCs w:val="20"/>
        </w:rPr>
        <w:t>) dias úteis,</w:t>
      </w:r>
      <w:r w:rsidRPr="00913EFA">
        <w:rPr>
          <w:rFonts w:ascii="Times New Roman" w:hAnsi="Times New Roman"/>
          <w:b/>
          <w:bCs/>
          <w:sz w:val="20"/>
          <w:szCs w:val="20"/>
        </w:rPr>
        <w:t xml:space="preserve"> no Almoxarifado do Município, situado na Rua 04 de Julho, nº 7098, Bairro Centro, Paverama/RS – CEP: 95.865-000 – Geolocalização: -29.551340046156007, -51.73633173347917, de segunda à sexta-feira, no horário das 8h às 17h, salvo orientação em contrário emitida pelo DEMAAP no momento da solicitação.</w:t>
      </w:r>
    </w:p>
    <w:p w:rsidR="00913EFA" w:rsidRPr="00913EFA" w:rsidRDefault="00913EFA" w:rsidP="00913EFA">
      <w:pPr>
        <w:spacing w:after="0" w:line="240" w:lineRule="auto"/>
        <w:ind w:firstLine="708"/>
        <w:jc w:val="both"/>
        <w:rPr>
          <w:rFonts w:ascii="Times New Roman" w:hAnsi="Times New Roman"/>
          <w:sz w:val="20"/>
          <w:szCs w:val="20"/>
        </w:rPr>
      </w:pPr>
      <w:r w:rsidRPr="00913EFA">
        <w:rPr>
          <w:rFonts w:ascii="Times New Roman" w:hAnsi="Times New Roman"/>
          <w:sz w:val="20"/>
          <w:szCs w:val="20"/>
        </w:rPr>
        <w:t>6.3.1. Justifica-se o prazo exíguo pela necessidade de resposta imediata a situações de vazamentos, rompimentos de rede ou ampliação emergencial do sistema de abastecimento, além da inexistência de local apropriado para armazenamento prolongado dos materiais hidráulicos.</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de forma individualizada.</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6.5. NÃO HAVERÁ EXIGÊNCIA DE QUANTIDADES OU VALORES MÍNIMOS POR PEDIDO. O Município de Paverama/RS poderá realizar solicitações conforme suas necessidades operacionais, respeitando os limites previstos na Ata de Registro de Preços.</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6.6. A Administração Municipal reserva-se o direito de recusar materiais que apresentem danos, inconformidades técnicas ou divergências em relação às especificações previstas no Edital, Termo de Referência ou Ata de Registro de Preços. Nestes casos, a contratada deverá substituir os itens rejeitados em até 48 (quarenta e oito) horas, sem qualquer ônus adicional para o Município.</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6.7. No ato da entrega, será realizada conferência quantitativa e qualitativa dos materiais hidráulicos, observando-se: quantidade, integridade física, rotulagem, conformidade com as especificações técnicas e marcas homologadas. O responsável designado pelo DEMAAP está autorizado a recusar o recebimento de materiais que não estejam de acordo com os critérios estabelecidos.</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t>6.8. A entrega deverá ser realizada por meio de veículos apropriados ao tipo e volume dos materiais hidráulicos, com acondicionamento adequado que preserve a integridade física dos produtos durante o transporte. É vedado o transporte simultâneo com produtos que comprometam a segurança, a higiene ou a funcionalidade dos materiais.</w:t>
      </w:r>
    </w:p>
    <w:p w:rsidR="00913EFA" w:rsidRPr="00913EFA" w:rsidRDefault="00913EFA" w:rsidP="00913EFA">
      <w:pPr>
        <w:spacing w:after="0" w:line="240" w:lineRule="auto"/>
        <w:jc w:val="both"/>
        <w:rPr>
          <w:rFonts w:ascii="Times New Roman" w:hAnsi="Times New Roman"/>
          <w:sz w:val="20"/>
          <w:szCs w:val="20"/>
        </w:rPr>
      </w:pPr>
      <w:r w:rsidRPr="00913EFA">
        <w:rPr>
          <w:rFonts w:ascii="Times New Roman" w:hAnsi="Times New Roman"/>
          <w:sz w:val="20"/>
          <w:szCs w:val="20"/>
        </w:rPr>
        <w:lastRenderedPageBreak/>
        <w:t>6.9. A contratada será integralmente responsável pelo processo logístico de entrega, incluindo transporte, carregamento e descarregamento dos materiais no local indicado, não cabendo ao Município o fornecimento de pessoal, equipamentos ou estrutura de apoio para essas atividades.</w:t>
      </w:r>
    </w:p>
    <w:p w:rsidR="00913EFA" w:rsidRDefault="00913EFA" w:rsidP="009B494F">
      <w:pPr>
        <w:spacing w:after="0" w:line="240" w:lineRule="auto"/>
        <w:jc w:val="both"/>
        <w:rPr>
          <w:rFonts w:ascii="Times New Roman" w:hAnsi="Times New Roman"/>
          <w:b/>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rsidR="0005113A" w:rsidRPr="0005113A"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9.1. Os produtos fornecidos deverão possuir garantia legal mínima conforme estabelece o art. 26 da Lei Federal nº 8.078, de 11 de setembro de 1990 (Código de Defesa do Consumidor), sem prejuízo de eventual garantia contratual adicional, a ser oferecida pelo fornecedor e formalizada no momento da contratação.</w:t>
      </w:r>
    </w:p>
    <w:p w:rsidR="0005113A" w:rsidRPr="0005113A"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9.2. Todos os produtos entregues deverão estar dentro do prazo de validade no ato da entrega, quando aplicável, observadas as particularidades técnicas e normativas de cada item.</w:t>
      </w:r>
    </w:p>
    <w:p w:rsidR="0005113A" w:rsidRPr="00A3592F" w:rsidRDefault="0005113A" w:rsidP="0005113A">
      <w:pPr>
        <w:spacing w:after="0" w:line="240" w:lineRule="auto"/>
        <w:jc w:val="both"/>
        <w:rPr>
          <w:rFonts w:ascii="Times New Roman" w:hAnsi="Times New Roman"/>
          <w:b/>
          <w:bCs/>
          <w:sz w:val="20"/>
          <w:szCs w:val="20"/>
        </w:rPr>
      </w:pPr>
      <w:r w:rsidRPr="00A3592F">
        <w:rPr>
          <w:rFonts w:ascii="Times New Roman" w:hAnsi="Times New Roman"/>
          <w:b/>
          <w:bCs/>
          <w:sz w:val="20"/>
          <w:szCs w:val="20"/>
        </w:rPr>
        <w:t>9.3. É obrigatória a entrega de produtos novos, de primeiro uso e em perfeitas condições de conservação, apresentação e funcionamento. Não serão aceitos produtos usados, recondicionados, remanufaturados ou com embalagens danificadas, salvo quando expressamente autorizado pela Administração e tecnicamente justificado.</w:t>
      </w:r>
    </w:p>
    <w:p w:rsidR="00D744C0" w:rsidRPr="00E2079F"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 xml:space="preserve">9.4. Eventuais defeitos, vícios ou </w:t>
      </w:r>
      <w:r w:rsidR="00A766FB" w:rsidRPr="0005113A">
        <w:rPr>
          <w:rFonts w:ascii="Times New Roman" w:hAnsi="Times New Roman"/>
          <w:sz w:val="20"/>
          <w:szCs w:val="20"/>
        </w:rPr>
        <w:t>inconformidades identificadas</w:t>
      </w:r>
      <w:r w:rsidRPr="0005113A">
        <w:rPr>
          <w:rFonts w:ascii="Times New Roman" w:hAnsi="Times New Roman"/>
          <w:sz w:val="20"/>
          <w:szCs w:val="20"/>
        </w:rPr>
        <w:t xml:space="preserve"> dentro do prazo de garantia deverão ser sanados sem ônus para o Município de Paverama/RS, cabendo à contratada a substituição imediata do item ou o reparo adequado, conforme o caso.</w:t>
      </w:r>
    </w:p>
    <w:p w:rsidR="00180BCE" w:rsidRPr="00E2079F" w:rsidRDefault="00180BCE" w:rsidP="009B494F">
      <w:pPr>
        <w:spacing w:after="0" w:line="240" w:lineRule="auto"/>
        <w:jc w:val="both"/>
        <w:rPr>
          <w:rFonts w:ascii="Times New Roman" w:hAnsi="Times New Roman"/>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rsid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rsidR="009E7B4F" w:rsidRPr="00E2079F"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lastRenderedPageBreak/>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rsidR="00595696" w:rsidRDefault="00595696" w:rsidP="009B494F">
      <w:pPr>
        <w:spacing w:after="0" w:line="240" w:lineRule="auto"/>
        <w:jc w:val="both"/>
        <w:rPr>
          <w:rFonts w:ascii="Times New Roman" w:hAnsi="Times New Roman"/>
          <w:b/>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9E7B4F" w:rsidP="009B494F">
      <w:pPr>
        <w:spacing w:after="0" w:line="240" w:lineRule="auto"/>
        <w:ind w:firstLine="851"/>
        <w:jc w:val="both"/>
        <w:rPr>
          <w:rFonts w:ascii="Times New Roman" w:hAnsi="Times New Roman"/>
          <w:sz w:val="20"/>
          <w:szCs w:val="20"/>
        </w:rPr>
      </w:pPr>
      <w:proofErr w:type="gramStart"/>
      <w:r w:rsidRPr="00E2079F">
        <w:rPr>
          <w:rFonts w:ascii="Times New Roman" w:hAnsi="Times New Roman"/>
          <w:sz w:val="20"/>
          <w:szCs w:val="20"/>
        </w:rPr>
        <w:t>(</w:t>
      </w:r>
      <w:r w:rsidR="00A3592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A3592F">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BE6090">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BE6090">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595696">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D33908">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lastRenderedPageBreak/>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xml:space="preserve">(  </w:t>
      </w:r>
      <w:proofErr w:type="gramEnd"/>
      <w:r w:rsidR="00856C0C" w:rsidRPr="00E2079F">
        <w:rPr>
          <w:rFonts w:ascii="Times New Roman" w:hAnsi="Times New Roman"/>
          <w:b/>
          <w:sz w:val="20"/>
          <w:szCs w:val="20"/>
          <w:u w:val="single"/>
        </w:rPr>
        <w:t xml:space="preserve">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E2079F" w:rsidRDefault="00856C0C" w:rsidP="009B494F">
      <w:pPr>
        <w:spacing w:after="0" w:line="240" w:lineRule="auto"/>
        <w:ind w:firstLine="993"/>
        <w:jc w:val="both"/>
        <w:rPr>
          <w:rFonts w:ascii="Times New Roman" w:hAnsi="Times New Roman"/>
          <w:sz w:val="20"/>
          <w:szCs w:val="20"/>
        </w:rPr>
      </w:pPr>
      <w:r w:rsidRPr="00CD3E33">
        <w:rPr>
          <w:rFonts w:ascii="Times New Roman" w:hAnsi="Times New Roman"/>
          <w:sz w:val="20"/>
          <w:szCs w:val="20"/>
        </w:rPr>
        <w:t>Buscou-se os orçamentos com as empresas de atuação do ramo</w:t>
      </w:r>
      <w:r w:rsidR="00D744C0" w:rsidRPr="00CD3E33">
        <w:rPr>
          <w:rFonts w:ascii="Times New Roman" w:hAnsi="Times New Roman"/>
          <w:sz w:val="20"/>
          <w:szCs w:val="20"/>
        </w:rPr>
        <w:t xml:space="preserve">, sendo que, </w:t>
      </w:r>
      <w:r w:rsidR="00B83E2B" w:rsidRPr="00CD3E33">
        <w:rPr>
          <w:rFonts w:ascii="Times New Roman" w:hAnsi="Times New Roman"/>
          <w:sz w:val="20"/>
          <w:szCs w:val="20"/>
        </w:rPr>
        <w:t xml:space="preserve">primeiramente, </w:t>
      </w:r>
      <w:r w:rsidRPr="00CD3E33">
        <w:rPr>
          <w:rFonts w:ascii="Times New Roman" w:hAnsi="Times New Roman"/>
          <w:sz w:val="20"/>
          <w:szCs w:val="20"/>
        </w:rPr>
        <w:t>encaminhou-se e-mail</w:t>
      </w:r>
      <w:r w:rsidR="00B83E2B" w:rsidRPr="00CD3E33">
        <w:rPr>
          <w:rFonts w:ascii="Times New Roman" w:hAnsi="Times New Roman"/>
          <w:sz w:val="20"/>
          <w:szCs w:val="20"/>
        </w:rPr>
        <w:t>s</w:t>
      </w:r>
      <w:r w:rsidRPr="00CD3E33">
        <w:rPr>
          <w:rFonts w:ascii="Times New Roman" w:hAnsi="Times New Roman"/>
          <w:sz w:val="20"/>
          <w:szCs w:val="20"/>
        </w:rPr>
        <w:t xml:space="preserve"> para a</w:t>
      </w:r>
      <w:r w:rsidR="00D744C0" w:rsidRPr="00CD3E33">
        <w:rPr>
          <w:rFonts w:ascii="Times New Roman" w:hAnsi="Times New Roman"/>
          <w:sz w:val="20"/>
          <w:szCs w:val="20"/>
        </w:rPr>
        <w:t>s</w:t>
      </w:r>
      <w:r w:rsidRPr="00CD3E33">
        <w:rPr>
          <w:rFonts w:ascii="Times New Roman" w:hAnsi="Times New Roman"/>
          <w:sz w:val="20"/>
          <w:szCs w:val="20"/>
        </w:rPr>
        <w:t xml:space="preserve"> empresa</w:t>
      </w:r>
      <w:r w:rsidR="00D744C0" w:rsidRPr="00CD3E33">
        <w:rPr>
          <w:rFonts w:ascii="Times New Roman" w:hAnsi="Times New Roman"/>
          <w:sz w:val="20"/>
          <w:szCs w:val="20"/>
        </w:rPr>
        <w:t>s</w:t>
      </w:r>
      <w:r w:rsidRPr="00CD3E33">
        <w:rPr>
          <w:rFonts w:ascii="Times New Roman" w:hAnsi="Times New Roman"/>
          <w:sz w:val="20"/>
          <w:szCs w:val="20"/>
        </w:rPr>
        <w:t xml:space="preserve"> </w:t>
      </w:r>
      <w:r w:rsidR="00B83E2B" w:rsidRPr="00CD3E33">
        <w:rPr>
          <w:rFonts w:ascii="Times New Roman" w:hAnsi="Times New Roman"/>
          <w:sz w:val="20"/>
          <w:szCs w:val="20"/>
        </w:rPr>
        <w:t>fornecedoras do</w:t>
      </w:r>
      <w:r w:rsidRPr="00CD3E33">
        <w:rPr>
          <w:rFonts w:ascii="Times New Roman" w:hAnsi="Times New Roman"/>
          <w:sz w:val="20"/>
          <w:szCs w:val="20"/>
        </w:rPr>
        <w:t xml:space="preserve"> </w:t>
      </w:r>
      <w:r w:rsidR="00B83E2B" w:rsidRPr="00CD3E33">
        <w:rPr>
          <w:rFonts w:ascii="Times New Roman" w:hAnsi="Times New Roman"/>
          <w:sz w:val="20"/>
          <w:szCs w:val="20"/>
        </w:rPr>
        <w:t>M</w:t>
      </w:r>
      <w:r w:rsidRPr="00CD3E33">
        <w:rPr>
          <w:rFonts w:ascii="Times New Roman" w:hAnsi="Times New Roman"/>
          <w:sz w:val="20"/>
          <w:szCs w:val="20"/>
        </w:rPr>
        <w:t>unicípio</w:t>
      </w:r>
      <w:r w:rsidR="00B83E2B" w:rsidRPr="00CD3E33">
        <w:rPr>
          <w:rFonts w:ascii="Times New Roman" w:hAnsi="Times New Roman"/>
          <w:sz w:val="20"/>
          <w:szCs w:val="20"/>
        </w:rPr>
        <w:t>.</w:t>
      </w:r>
      <w:r w:rsidRPr="00CD3E33">
        <w:rPr>
          <w:rFonts w:ascii="Times New Roman" w:hAnsi="Times New Roman"/>
          <w:sz w:val="20"/>
          <w:szCs w:val="20"/>
        </w:rPr>
        <w:t xml:space="preserve"> </w:t>
      </w:r>
      <w:r w:rsidR="00B83E2B" w:rsidRPr="00CD3E33">
        <w:rPr>
          <w:rFonts w:ascii="Times New Roman" w:hAnsi="Times New Roman"/>
          <w:sz w:val="20"/>
          <w:szCs w:val="20"/>
        </w:rPr>
        <w:t>D</w:t>
      </w:r>
      <w:r w:rsidR="00D744C0" w:rsidRPr="00CD3E33">
        <w:rPr>
          <w:rFonts w:ascii="Times New Roman" w:hAnsi="Times New Roman"/>
          <w:sz w:val="20"/>
          <w:szCs w:val="20"/>
        </w:rPr>
        <w:t xml:space="preserve">emais fornecedores localizados próximos </w:t>
      </w:r>
      <w:r w:rsidR="0026365E" w:rsidRPr="00CD3E33">
        <w:rPr>
          <w:rFonts w:ascii="Times New Roman" w:hAnsi="Times New Roman"/>
          <w:sz w:val="20"/>
          <w:szCs w:val="20"/>
        </w:rPr>
        <w:t>a</w:t>
      </w:r>
      <w:r w:rsidRPr="00CD3E33">
        <w:rPr>
          <w:rFonts w:ascii="Times New Roman" w:hAnsi="Times New Roman"/>
          <w:sz w:val="20"/>
          <w:szCs w:val="20"/>
        </w:rPr>
        <w:t xml:space="preserve"> </w:t>
      </w:r>
      <w:r w:rsidR="0026365E" w:rsidRPr="00CD3E33">
        <w:rPr>
          <w:rFonts w:ascii="Times New Roman" w:hAnsi="Times New Roman"/>
          <w:sz w:val="20"/>
          <w:szCs w:val="20"/>
        </w:rPr>
        <w:t>região</w:t>
      </w:r>
      <w:r w:rsidRPr="00CD3E33">
        <w:rPr>
          <w:rFonts w:ascii="Times New Roman" w:hAnsi="Times New Roman"/>
          <w:sz w:val="20"/>
          <w:szCs w:val="20"/>
        </w:rPr>
        <w:t xml:space="preserve">. </w:t>
      </w:r>
      <w:r w:rsidR="00911E3D" w:rsidRPr="00CD3E33">
        <w:rPr>
          <w:rFonts w:ascii="Times New Roman" w:hAnsi="Times New Roman"/>
          <w:sz w:val="20"/>
          <w:szCs w:val="20"/>
        </w:rPr>
        <w:t xml:space="preserve">Vários </w:t>
      </w:r>
      <w:r w:rsidR="00D744C0" w:rsidRPr="00CD3E33">
        <w:rPr>
          <w:rFonts w:ascii="Times New Roman" w:hAnsi="Times New Roman"/>
          <w:sz w:val="20"/>
          <w:szCs w:val="20"/>
        </w:rPr>
        <w:t>e-mail</w:t>
      </w:r>
      <w:r w:rsidR="00911E3D" w:rsidRPr="00CD3E33">
        <w:rPr>
          <w:rFonts w:ascii="Times New Roman" w:hAnsi="Times New Roman"/>
          <w:sz w:val="20"/>
          <w:szCs w:val="20"/>
        </w:rPr>
        <w:t>s</w:t>
      </w:r>
      <w:r w:rsidR="00D744C0" w:rsidRPr="00CD3E33">
        <w:rPr>
          <w:rFonts w:ascii="Times New Roman" w:hAnsi="Times New Roman"/>
          <w:sz w:val="20"/>
          <w:szCs w:val="20"/>
        </w:rPr>
        <w:t xml:space="preserve"> </w:t>
      </w:r>
      <w:r w:rsidR="00911E3D" w:rsidRPr="00CD3E33">
        <w:rPr>
          <w:rFonts w:ascii="Times New Roman" w:hAnsi="Times New Roman"/>
          <w:sz w:val="20"/>
          <w:szCs w:val="20"/>
        </w:rPr>
        <w:t xml:space="preserve">foram </w:t>
      </w:r>
      <w:r w:rsidR="00D744C0" w:rsidRPr="00CD3E33">
        <w:rPr>
          <w:rFonts w:ascii="Times New Roman" w:hAnsi="Times New Roman"/>
          <w:sz w:val="20"/>
          <w:szCs w:val="20"/>
        </w:rPr>
        <w:t xml:space="preserve">encaminhados solicitando orçamentos, mas não foram respondidos, conforme comprovantes juntados aos autos do processo. </w:t>
      </w:r>
      <w:r w:rsidRPr="00CD3E33">
        <w:rPr>
          <w:rFonts w:ascii="Times New Roman" w:hAnsi="Times New Roman"/>
          <w:sz w:val="20"/>
          <w:szCs w:val="20"/>
        </w:rPr>
        <w:t xml:space="preserve">A escolha pela pesquisa direta </w:t>
      </w:r>
      <w:r w:rsidR="00D744C0" w:rsidRPr="00CD3E33">
        <w:rPr>
          <w:rFonts w:ascii="Times New Roman" w:hAnsi="Times New Roman"/>
          <w:sz w:val="20"/>
          <w:szCs w:val="20"/>
        </w:rPr>
        <w:t>busca apurar os preços praticados nos estabelecimentos próximos a sede do Município de Paverama</w:t>
      </w:r>
      <w:r w:rsidRPr="00CD3E33">
        <w:rPr>
          <w:rFonts w:ascii="Times New Roman" w:hAnsi="Times New Roman"/>
          <w:sz w:val="20"/>
          <w:szCs w:val="20"/>
        </w:rPr>
        <w:t xml:space="preserve">, </w:t>
      </w:r>
      <w:r w:rsidR="00D744C0" w:rsidRPr="00CD3E33">
        <w:rPr>
          <w:rFonts w:ascii="Times New Roman" w:hAnsi="Times New Roman"/>
          <w:sz w:val="20"/>
          <w:szCs w:val="20"/>
        </w:rPr>
        <w:t xml:space="preserve">com objetivo de </w:t>
      </w:r>
      <w:r w:rsidR="0026365E" w:rsidRPr="00CD3E33">
        <w:rPr>
          <w:rFonts w:ascii="Times New Roman" w:hAnsi="Times New Roman"/>
          <w:sz w:val="20"/>
          <w:szCs w:val="20"/>
        </w:rPr>
        <w:t>mitiga</w:t>
      </w:r>
      <w:r w:rsidR="00D744C0" w:rsidRPr="00CD3E33">
        <w:rPr>
          <w:rFonts w:ascii="Times New Roman" w:hAnsi="Times New Roman"/>
          <w:sz w:val="20"/>
          <w:szCs w:val="20"/>
        </w:rPr>
        <w:t>r</w:t>
      </w:r>
      <w:r w:rsidR="0026365E" w:rsidRPr="00CD3E33">
        <w:rPr>
          <w:rFonts w:ascii="Times New Roman" w:hAnsi="Times New Roman"/>
          <w:sz w:val="20"/>
          <w:szCs w:val="20"/>
        </w:rPr>
        <w:t xml:space="preserve"> deslocamento</w:t>
      </w:r>
      <w:r w:rsidR="00D744C0" w:rsidRPr="00CD3E33">
        <w:rPr>
          <w:rFonts w:ascii="Times New Roman" w:hAnsi="Times New Roman"/>
          <w:sz w:val="20"/>
          <w:szCs w:val="20"/>
        </w:rPr>
        <w:t>s</w:t>
      </w:r>
      <w:r w:rsidR="0026365E" w:rsidRPr="00CD3E33">
        <w:rPr>
          <w:rFonts w:ascii="Times New Roman" w:hAnsi="Times New Roman"/>
          <w:sz w:val="20"/>
          <w:szCs w:val="20"/>
        </w:rPr>
        <w:t xml:space="preserve"> e custos </w:t>
      </w:r>
      <w:r w:rsidR="00D744C0" w:rsidRPr="00CD3E33">
        <w:rPr>
          <w:rFonts w:ascii="Times New Roman" w:hAnsi="Times New Roman"/>
          <w:sz w:val="20"/>
          <w:szCs w:val="20"/>
        </w:rPr>
        <w:t>relacionados aos transportes</w:t>
      </w:r>
      <w:r w:rsidRPr="00CD3E33">
        <w:rPr>
          <w:rFonts w:ascii="Times New Roman" w:hAnsi="Times New Roman"/>
          <w:sz w:val="20"/>
          <w:szCs w:val="20"/>
        </w:rPr>
        <w:t>.</w:t>
      </w:r>
    </w:p>
    <w:p w:rsidR="00856C0C" w:rsidRPr="000B4C81" w:rsidRDefault="00856C0C" w:rsidP="00C9138A">
      <w:pPr>
        <w:spacing w:after="0" w:line="240" w:lineRule="auto"/>
        <w:ind w:firstLine="709"/>
        <w:jc w:val="both"/>
        <w:rPr>
          <w:rFonts w:ascii="Times New Roman" w:hAnsi="Times New Roman"/>
          <w:b/>
          <w:sz w:val="20"/>
          <w:szCs w:val="20"/>
          <w:u w:val="single"/>
        </w:rPr>
      </w:pPr>
      <w:r w:rsidRPr="000B4C81">
        <w:rPr>
          <w:rFonts w:ascii="Times New Roman" w:hAnsi="Times New Roman"/>
          <w:b/>
          <w:sz w:val="20"/>
          <w:szCs w:val="20"/>
          <w:u w:val="single"/>
        </w:rPr>
        <w:t xml:space="preserve">IX – </w:t>
      </w:r>
      <w:r w:rsidR="00973260" w:rsidRPr="000B4C81">
        <w:rPr>
          <w:rFonts w:ascii="Times New Roman" w:hAnsi="Times New Roman"/>
          <w:b/>
          <w:sz w:val="20"/>
          <w:szCs w:val="20"/>
          <w:u w:val="single"/>
        </w:rPr>
        <w:t xml:space="preserve">Estima-se para a contratação almejada </w:t>
      </w:r>
      <w:r w:rsidR="00A00CDD" w:rsidRPr="000B4C81">
        <w:rPr>
          <w:rFonts w:ascii="Times New Roman" w:hAnsi="Times New Roman"/>
          <w:b/>
          <w:sz w:val="20"/>
          <w:szCs w:val="20"/>
          <w:u w:val="single"/>
        </w:rPr>
        <w:t>n</w:t>
      </w:r>
      <w:r w:rsidR="00973260" w:rsidRPr="000B4C81">
        <w:rPr>
          <w:rFonts w:ascii="Times New Roman" w:hAnsi="Times New Roman"/>
          <w:b/>
          <w:sz w:val="20"/>
          <w:szCs w:val="20"/>
          <w:u w:val="single"/>
        </w:rPr>
        <w:t xml:space="preserve">o valor total de </w:t>
      </w:r>
      <w:r w:rsidR="00C9138A" w:rsidRPr="000B4C81">
        <w:rPr>
          <w:rFonts w:ascii="Times New Roman" w:hAnsi="Times New Roman"/>
          <w:b/>
          <w:sz w:val="20"/>
          <w:szCs w:val="20"/>
          <w:u w:val="single"/>
        </w:rPr>
        <w:t xml:space="preserve">R$ </w:t>
      </w:r>
      <w:r w:rsidR="000B4C81" w:rsidRPr="000B4C81">
        <w:rPr>
          <w:rFonts w:ascii="Times New Roman" w:hAnsi="Times New Roman"/>
          <w:b/>
          <w:sz w:val="20"/>
          <w:szCs w:val="20"/>
          <w:u w:val="single"/>
        </w:rPr>
        <w:t>365.118,12</w:t>
      </w:r>
      <w:r w:rsidR="00911E3D" w:rsidRPr="000B4C81">
        <w:rPr>
          <w:rFonts w:ascii="Times New Roman" w:hAnsi="Times New Roman"/>
          <w:b/>
          <w:sz w:val="20"/>
          <w:szCs w:val="20"/>
          <w:u w:val="single"/>
        </w:rPr>
        <w:t>.</w:t>
      </w:r>
    </w:p>
    <w:p w:rsidR="00856C0C" w:rsidRPr="00E2079F"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ORÇAMENTARIA</w:t>
      </w:r>
      <w:r w:rsidR="003F6FEE"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2E0056" w:rsidRDefault="00856C0C" w:rsidP="009B494F">
      <w:pPr>
        <w:spacing w:after="0" w:line="240" w:lineRule="auto"/>
        <w:jc w:val="center"/>
        <w:rPr>
          <w:rFonts w:ascii="Times New Roman" w:hAnsi="Times New Roman"/>
          <w:sz w:val="14"/>
          <w:szCs w:val="14"/>
        </w:rPr>
      </w:pPr>
    </w:p>
    <w:p w:rsidR="00AB1D84" w:rsidRPr="00E2079F" w:rsidRDefault="00AB1D84" w:rsidP="009B494F">
      <w:pPr>
        <w:spacing w:after="0" w:line="240" w:lineRule="auto"/>
        <w:jc w:val="center"/>
        <w:rPr>
          <w:rFonts w:ascii="Times New Roman" w:hAnsi="Times New Roman"/>
          <w:sz w:val="20"/>
          <w:szCs w:val="20"/>
        </w:rPr>
      </w:pPr>
      <w:r w:rsidRPr="0063452D">
        <w:rPr>
          <w:rFonts w:ascii="Times New Roman" w:hAnsi="Times New Roman"/>
          <w:sz w:val="20"/>
          <w:szCs w:val="20"/>
        </w:rPr>
        <w:t xml:space="preserve">Paverama/RS, </w:t>
      </w:r>
      <w:r w:rsidR="00BB458F" w:rsidRPr="0063452D">
        <w:rPr>
          <w:rFonts w:ascii="Times New Roman" w:hAnsi="Times New Roman"/>
          <w:sz w:val="20"/>
          <w:szCs w:val="20"/>
        </w:rPr>
        <w:t>30</w:t>
      </w:r>
      <w:r w:rsidRPr="0063452D">
        <w:rPr>
          <w:rFonts w:ascii="Times New Roman" w:hAnsi="Times New Roman"/>
          <w:sz w:val="20"/>
          <w:szCs w:val="20"/>
        </w:rPr>
        <w:t xml:space="preserve"> de </w:t>
      </w:r>
      <w:r w:rsidR="00595696" w:rsidRPr="0063452D">
        <w:rPr>
          <w:rFonts w:ascii="Times New Roman" w:hAnsi="Times New Roman"/>
          <w:sz w:val="20"/>
          <w:szCs w:val="20"/>
        </w:rPr>
        <w:t>junho</w:t>
      </w:r>
      <w:r w:rsidRPr="0063452D">
        <w:rPr>
          <w:rFonts w:ascii="Times New Roman" w:hAnsi="Times New Roman"/>
          <w:sz w:val="20"/>
          <w:szCs w:val="20"/>
        </w:rPr>
        <w:t xml:space="preserve"> de 202</w:t>
      </w:r>
      <w:r w:rsidR="00911E3D" w:rsidRPr="0063452D">
        <w:rPr>
          <w:rFonts w:ascii="Times New Roman" w:hAnsi="Times New Roman"/>
          <w:sz w:val="20"/>
          <w:szCs w:val="20"/>
        </w:rPr>
        <w:t>5</w:t>
      </w:r>
      <w:r w:rsidRPr="0063452D">
        <w:rPr>
          <w:rFonts w:ascii="Times New Roman" w:hAnsi="Times New Roman"/>
          <w:sz w:val="20"/>
          <w:szCs w:val="20"/>
        </w:rPr>
        <w:t>.</w:t>
      </w:r>
    </w:p>
    <w:p w:rsidR="00997034" w:rsidRDefault="00997034" w:rsidP="009B494F">
      <w:pPr>
        <w:spacing w:after="0" w:line="240" w:lineRule="auto"/>
        <w:jc w:val="center"/>
        <w:rPr>
          <w:rFonts w:ascii="Times New Roman" w:hAnsi="Times New Roman"/>
          <w:sz w:val="20"/>
          <w:szCs w:val="20"/>
        </w:rPr>
      </w:pPr>
    </w:p>
    <w:p w:rsidR="00D33908" w:rsidRDefault="00D33908" w:rsidP="009B494F">
      <w:pPr>
        <w:spacing w:after="0" w:line="240" w:lineRule="auto"/>
        <w:jc w:val="center"/>
        <w:rPr>
          <w:rFonts w:ascii="Times New Roman" w:hAnsi="Times New Roman"/>
          <w:sz w:val="20"/>
          <w:szCs w:val="20"/>
        </w:rPr>
      </w:pPr>
    </w:p>
    <w:p w:rsidR="00D33908" w:rsidRPr="00E2079F" w:rsidRDefault="00D33908"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E6090">
      <w:headerReference w:type="default" r:id="rId8"/>
      <w:footerReference w:type="default" r:id="rId9"/>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7FC5" w:rsidRDefault="007C7FC5" w:rsidP="0097686E">
      <w:pPr>
        <w:spacing w:after="0" w:line="240" w:lineRule="auto"/>
      </w:pPr>
      <w:r>
        <w:separator/>
      </w:r>
    </w:p>
  </w:endnote>
  <w:endnote w:type="continuationSeparator" w:id="0">
    <w:p w:rsidR="007C7FC5" w:rsidRDefault="007C7FC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7FC5" w:rsidRDefault="007C7FC5" w:rsidP="0097686E">
      <w:pPr>
        <w:spacing w:after="0" w:line="240" w:lineRule="auto"/>
      </w:pPr>
      <w:r>
        <w:separator/>
      </w:r>
    </w:p>
  </w:footnote>
  <w:footnote w:type="continuationSeparator" w:id="0">
    <w:p w:rsidR="007C7FC5" w:rsidRDefault="007C7FC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461A"/>
    <w:rsid w:val="00095466"/>
    <w:rsid w:val="000B1B19"/>
    <w:rsid w:val="000B241B"/>
    <w:rsid w:val="000B2EAE"/>
    <w:rsid w:val="000B4C81"/>
    <w:rsid w:val="000B591E"/>
    <w:rsid w:val="000B778F"/>
    <w:rsid w:val="000C7900"/>
    <w:rsid w:val="000D34D7"/>
    <w:rsid w:val="000D38FE"/>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6145B"/>
    <w:rsid w:val="00180BCE"/>
    <w:rsid w:val="0018399A"/>
    <w:rsid w:val="001934F9"/>
    <w:rsid w:val="00193FAE"/>
    <w:rsid w:val="001A67E6"/>
    <w:rsid w:val="001B2EFD"/>
    <w:rsid w:val="001B5B05"/>
    <w:rsid w:val="001B5F59"/>
    <w:rsid w:val="001C7750"/>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B791E"/>
    <w:rsid w:val="004C2CA0"/>
    <w:rsid w:val="004C41AA"/>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14F3"/>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D58A9"/>
    <w:rsid w:val="005E328A"/>
    <w:rsid w:val="005E498D"/>
    <w:rsid w:val="00601063"/>
    <w:rsid w:val="00605620"/>
    <w:rsid w:val="006104E0"/>
    <w:rsid w:val="00616627"/>
    <w:rsid w:val="00622E62"/>
    <w:rsid w:val="0063452D"/>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C7FC5"/>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6D11"/>
    <w:rsid w:val="0093704C"/>
    <w:rsid w:val="009413A6"/>
    <w:rsid w:val="00946A5B"/>
    <w:rsid w:val="00946CC1"/>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766FB"/>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600BD"/>
    <w:rsid w:val="00B73BE4"/>
    <w:rsid w:val="00B75621"/>
    <w:rsid w:val="00B7610E"/>
    <w:rsid w:val="00B76E4C"/>
    <w:rsid w:val="00B83E2B"/>
    <w:rsid w:val="00B86F71"/>
    <w:rsid w:val="00B92EBB"/>
    <w:rsid w:val="00B954B8"/>
    <w:rsid w:val="00BB0CA9"/>
    <w:rsid w:val="00BB2713"/>
    <w:rsid w:val="00BB458F"/>
    <w:rsid w:val="00BB7638"/>
    <w:rsid w:val="00BB7F19"/>
    <w:rsid w:val="00BC39ED"/>
    <w:rsid w:val="00BD4ACE"/>
    <w:rsid w:val="00BE10D3"/>
    <w:rsid w:val="00BE229B"/>
    <w:rsid w:val="00BE4CAE"/>
    <w:rsid w:val="00BE6090"/>
    <w:rsid w:val="00BF1226"/>
    <w:rsid w:val="00BF5C9C"/>
    <w:rsid w:val="00C00AB2"/>
    <w:rsid w:val="00C07E5B"/>
    <w:rsid w:val="00C1735A"/>
    <w:rsid w:val="00C17F9E"/>
    <w:rsid w:val="00C20589"/>
    <w:rsid w:val="00C30AD4"/>
    <w:rsid w:val="00C32B69"/>
    <w:rsid w:val="00C52028"/>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3E33"/>
    <w:rsid w:val="00CD582D"/>
    <w:rsid w:val="00CE1E84"/>
    <w:rsid w:val="00CF5C5D"/>
    <w:rsid w:val="00CF61D4"/>
    <w:rsid w:val="00D00092"/>
    <w:rsid w:val="00D21573"/>
    <w:rsid w:val="00D226D9"/>
    <w:rsid w:val="00D3090D"/>
    <w:rsid w:val="00D33908"/>
    <w:rsid w:val="00D45526"/>
    <w:rsid w:val="00D544CB"/>
    <w:rsid w:val="00D557F9"/>
    <w:rsid w:val="00D565AF"/>
    <w:rsid w:val="00D658CE"/>
    <w:rsid w:val="00D744C0"/>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03E"/>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884713">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39889260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51949321">
      <w:bodyDiv w:val="1"/>
      <w:marLeft w:val="0"/>
      <w:marRight w:val="0"/>
      <w:marTop w:val="0"/>
      <w:marBottom w:val="0"/>
      <w:divBdr>
        <w:top w:val="none" w:sz="0" w:space="0" w:color="auto"/>
        <w:left w:val="none" w:sz="0" w:space="0" w:color="auto"/>
        <w:bottom w:val="none" w:sz="0" w:space="0" w:color="auto"/>
        <w:right w:val="none" w:sz="0" w:space="0" w:color="auto"/>
      </w:divBdr>
    </w:div>
    <w:div w:id="209015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10</Pages>
  <Words>5647</Words>
  <Characters>30494</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87</cp:revision>
  <cp:lastPrinted>2024-03-06T11:45:00Z</cp:lastPrinted>
  <dcterms:created xsi:type="dcterms:W3CDTF">2020-02-28T12:58:00Z</dcterms:created>
  <dcterms:modified xsi:type="dcterms:W3CDTF">2025-07-02T10:30:00Z</dcterms:modified>
</cp:coreProperties>
</file>