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9A614" w14:textId="161C94DE" w:rsidR="00E34C62" w:rsidRPr="00396168" w:rsidRDefault="008F76F3" w:rsidP="00F00E89">
      <w:pPr>
        <w:spacing w:after="0" w:line="276" w:lineRule="auto"/>
        <w:ind w:firstLine="0"/>
        <w:jc w:val="center"/>
        <w:rPr>
          <w:rFonts w:ascii="Times New Roman" w:hAnsi="Times New Roman" w:cs="Times New Roman"/>
          <w:b/>
          <w:sz w:val="32"/>
          <w:szCs w:val="32"/>
        </w:rPr>
      </w:pPr>
      <w:r w:rsidRPr="00396168">
        <w:rPr>
          <w:rFonts w:ascii="Times New Roman" w:hAnsi="Times New Roman" w:cs="Times New Roman"/>
          <w:b/>
          <w:sz w:val="32"/>
          <w:szCs w:val="32"/>
        </w:rPr>
        <w:t>ESTUDO TÉCNICO PRELIMINAR</w:t>
      </w:r>
    </w:p>
    <w:p w14:paraId="2F1DCB3D" w14:textId="77777777" w:rsidR="00F00E89" w:rsidRPr="009A6D18" w:rsidRDefault="00F00E89" w:rsidP="00F00E89">
      <w:pPr>
        <w:spacing w:after="0" w:line="276" w:lineRule="auto"/>
        <w:ind w:firstLine="0"/>
        <w:jc w:val="center"/>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E776F1" w:rsidRPr="009A6D18" w14:paraId="7F3F48B1" w14:textId="77777777" w:rsidTr="00C3667F">
        <w:tc>
          <w:tcPr>
            <w:tcW w:w="9209" w:type="dxa"/>
          </w:tcPr>
          <w:p w14:paraId="12DE8FCC" w14:textId="77F20A12" w:rsidR="00E776F1" w:rsidRPr="009A6D18" w:rsidRDefault="00E776F1"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Obje</w:t>
            </w:r>
            <w:r w:rsidR="00A66355" w:rsidRPr="009A6D18">
              <w:rPr>
                <w:rFonts w:ascii="Times New Roman" w:hAnsi="Times New Roman" w:cs="Times New Roman"/>
                <w:b/>
                <w:sz w:val="20"/>
                <w:szCs w:val="20"/>
              </w:rPr>
              <w:t xml:space="preserve">to: </w:t>
            </w:r>
            <w:r w:rsidR="00C4481F" w:rsidRPr="009A6D18">
              <w:rPr>
                <w:rFonts w:ascii="Times New Roman" w:hAnsi="Times New Roman" w:cs="Times New Roman"/>
                <w:bCs/>
                <w:sz w:val="20"/>
                <w:szCs w:val="20"/>
              </w:rPr>
              <w:t>Aquisição de caminhões basculantes 0 km, trucado e traçado (6x4), com caçamba em aço nova</w:t>
            </w:r>
          </w:p>
        </w:tc>
      </w:tr>
      <w:tr w:rsidR="008F76F3" w:rsidRPr="009A6D18" w14:paraId="0D68AE69" w14:textId="77777777" w:rsidTr="00C3667F">
        <w:tc>
          <w:tcPr>
            <w:tcW w:w="9209" w:type="dxa"/>
          </w:tcPr>
          <w:p w14:paraId="1CA8A904" w14:textId="1C1C0A9B" w:rsidR="008F76F3" w:rsidRPr="009A6D18" w:rsidRDefault="005C43E8"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Área Requisitante:</w:t>
            </w:r>
            <w:r w:rsidR="003A00E3" w:rsidRPr="009A6D18">
              <w:rPr>
                <w:rFonts w:ascii="Times New Roman" w:hAnsi="Times New Roman" w:cs="Times New Roman"/>
                <w:b/>
                <w:sz w:val="20"/>
                <w:szCs w:val="20"/>
              </w:rPr>
              <w:t xml:space="preserve"> </w:t>
            </w:r>
            <w:r w:rsidR="00C4481F" w:rsidRPr="009A6D18">
              <w:rPr>
                <w:rFonts w:ascii="Times New Roman" w:hAnsi="Times New Roman" w:cs="Times New Roman"/>
                <w:bCs/>
                <w:sz w:val="20"/>
                <w:szCs w:val="20"/>
              </w:rPr>
              <w:t>Secretaria Municipal de Administração, Fazenda e Planejamento</w:t>
            </w:r>
          </w:p>
        </w:tc>
      </w:tr>
      <w:tr w:rsidR="008F76F3" w:rsidRPr="009A6D18" w14:paraId="5EBF3E6C" w14:textId="77777777" w:rsidTr="00C3667F">
        <w:tc>
          <w:tcPr>
            <w:tcW w:w="9209" w:type="dxa"/>
            <w:tcBorders>
              <w:bottom w:val="single" w:sz="4" w:space="0" w:color="auto"/>
            </w:tcBorders>
          </w:tcPr>
          <w:p w14:paraId="74590587" w14:textId="088C30C5" w:rsidR="00FC4923" w:rsidRPr="009A6D18" w:rsidRDefault="005C43E8" w:rsidP="008257DA">
            <w:pPr>
              <w:spacing w:after="0" w:line="276" w:lineRule="auto"/>
              <w:rPr>
                <w:rFonts w:ascii="Times New Roman" w:hAnsi="Times New Roman" w:cs="Times New Roman"/>
                <w:b/>
                <w:sz w:val="20"/>
                <w:szCs w:val="20"/>
              </w:rPr>
            </w:pPr>
            <w:r w:rsidRPr="009A6D18">
              <w:rPr>
                <w:rFonts w:ascii="Times New Roman" w:hAnsi="Times New Roman" w:cs="Times New Roman"/>
                <w:b/>
                <w:sz w:val="20"/>
                <w:szCs w:val="20"/>
              </w:rPr>
              <w:t>Servidor(es)</w:t>
            </w:r>
            <w:r w:rsidR="008F76F3" w:rsidRPr="009A6D18">
              <w:rPr>
                <w:rFonts w:ascii="Times New Roman" w:hAnsi="Times New Roman" w:cs="Times New Roman"/>
                <w:b/>
                <w:sz w:val="20"/>
                <w:szCs w:val="20"/>
              </w:rPr>
              <w:t xml:space="preserve"> responsável pela elaboração: </w:t>
            </w:r>
          </w:p>
          <w:p w14:paraId="002EE3E4" w14:textId="2E4E561E" w:rsidR="00FC4923" w:rsidRPr="009A6D18" w:rsidRDefault="00FC4923" w:rsidP="008257DA">
            <w:pPr>
              <w:spacing w:after="0" w:line="276" w:lineRule="auto"/>
              <w:ind w:firstLine="597"/>
              <w:rPr>
                <w:rFonts w:ascii="Times New Roman" w:hAnsi="Times New Roman" w:cs="Times New Roman"/>
                <w:bCs/>
                <w:sz w:val="20"/>
                <w:szCs w:val="20"/>
              </w:rPr>
            </w:pPr>
            <w:r w:rsidRPr="009A6D18">
              <w:rPr>
                <w:rFonts w:ascii="Times New Roman" w:hAnsi="Times New Roman" w:cs="Times New Roman"/>
                <w:bCs/>
                <w:sz w:val="20"/>
                <w:szCs w:val="20"/>
              </w:rPr>
              <w:t xml:space="preserve">- </w:t>
            </w:r>
            <w:r w:rsidR="008619B6" w:rsidRPr="009A6D18">
              <w:rPr>
                <w:rFonts w:ascii="Times New Roman" w:hAnsi="Times New Roman" w:cs="Times New Roman"/>
                <w:bCs/>
                <w:sz w:val="20"/>
                <w:szCs w:val="20"/>
              </w:rPr>
              <w:t>Uéslei José Garcia, Chefe do Setor de Compras</w:t>
            </w:r>
          </w:p>
          <w:p w14:paraId="506C1DC7" w14:textId="54FD1A75" w:rsidR="003A00E3" w:rsidRPr="009A6D18" w:rsidRDefault="003A00E3" w:rsidP="008257DA">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 xml:space="preserve">- </w:t>
            </w:r>
            <w:r w:rsidR="00C4481F" w:rsidRPr="009A6D18">
              <w:rPr>
                <w:rFonts w:ascii="Times New Roman" w:hAnsi="Times New Roman" w:cs="Times New Roman"/>
                <w:sz w:val="20"/>
                <w:szCs w:val="20"/>
              </w:rPr>
              <w:t xml:space="preserve">Ernani Roque </w:t>
            </w:r>
            <w:proofErr w:type="spellStart"/>
            <w:r w:rsidR="00C4481F" w:rsidRPr="009A6D18">
              <w:rPr>
                <w:rFonts w:ascii="Times New Roman" w:hAnsi="Times New Roman" w:cs="Times New Roman"/>
                <w:sz w:val="20"/>
                <w:szCs w:val="20"/>
              </w:rPr>
              <w:t>Stalter</w:t>
            </w:r>
            <w:proofErr w:type="spellEnd"/>
            <w:r w:rsidR="00C4481F" w:rsidRPr="009A6D18">
              <w:rPr>
                <w:rFonts w:ascii="Times New Roman" w:hAnsi="Times New Roman" w:cs="Times New Roman"/>
                <w:sz w:val="20"/>
                <w:szCs w:val="20"/>
              </w:rPr>
              <w:t>, Fiscal</w:t>
            </w:r>
          </w:p>
        </w:tc>
      </w:tr>
      <w:tr w:rsidR="008F76F3" w:rsidRPr="009A6D18"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9A6D18" w:rsidRDefault="008F76F3" w:rsidP="008257DA">
            <w:pPr>
              <w:spacing w:after="0" w:line="276" w:lineRule="auto"/>
              <w:rPr>
                <w:rFonts w:ascii="Times New Roman" w:hAnsi="Times New Roman" w:cs="Times New Roman"/>
                <w:b/>
                <w:sz w:val="20"/>
                <w:szCs w:val="20"/>
              </w:rPr>
            </w:pPr>
          </w:p>
        </w:tc>
      </w:tr>
      <w:tr w:rsidR="008F76F3" w:rsidRPr="009A6D18" w14:paraId="3DD24274" w14:textId="77777777" w:rsidTr="00C3667F">
        <w:tc>
          <w:tcPr>
            <w:tcW w:w="9209" w:type="dxa"/>
            <w:tcBorders>
              <w:top w:val="single" w:sz="4" w:space="0" w:color="auto"/>
            </w:tcBorders>
          </w:tcPr>
          <w:p w14:paraId="1BF269D1" w14:textId="354513C5" w:rsidR="008F76F3" w:rsidRPr="009A6D18" w:rsidRDefault="008F76F3"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1 - DESCRIÇÃO DA NECESSIDADE</w:t>
            </w:r>
            <w:r w:rsidR="00FC4923" w:rsidRPr="009A6D18">
              <w:rPr>
                <w:rFonts w:ascii="Times New Roman" w:hAnsi="Times New Roman" w:cs="Times New Roman"/>
                <w:b/>
                <w:sz w:val="20"/>
                <w:szCs w:val="20"/>
              </w:rPr>
              <w:t>:</w:t>
            </w:r>
          </w:p>
        </w:tc>
      </w:tr>
      <w:tr w:rsidR="008F76F3" w:rsidRPr="009A6D18" w14:paraId="7549A9A5" w14:textId="77777777" w:rsidTr="00C3667F">
        <w:tc>
          <w:tcPr>
            <w:tcW w:w="9209" w:type="dxa"/>
            <w:shd w:val="clear" w:color="auto" w:fill="F2F2F2" w:themeFill="background1" w:themeFillShade="F2"/>
          </w:tcPr>
          <w:p w14:paraId="464C3993" w14:textId="312A8203" w:rsidR="008F76F3" w:rsidRPr="009A6D18"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9A6D18">
              <w:rPr>
                <w:rFonts w:ascii="Times New Roman" w:eastAsia="Times New Roman" w:hAnsi="Times New Roman" w:cs="Times New Roman"/>
                <w:b/>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9A6D18">
              <w:rPr>
                <w:rFonts w:ascii="Times New Roman" w:eastAsia="Times New Roman" w:hAnsi="Times New Roman" w:cs="Times New Roman"/>
                <w:color w:val="000000"/>
                <w:sz w:val="20"/>
                <w:szCs w:val="20"/>
                <w:lang w:eastAsia="pt-BR"/>
              </w:rPr>
              <w:t>A</w:t>
            </w:r>
            <w:r w:rsidRPr="009A6D18">
              <w:rPr>
                <w:rFonts w:ascii="Times New Roman" w:eastAsia="Times New Roman" w:hAnsi="Times New Roman" w:cs="Times New Roman"/>
                <w:color w:val="000000"/>
                <w:sz w:val="20"/>
                <w:szCs w:val="20"/>
                <w:lang w:eastAsia="pt-BR"/>
              </w:rPr>
              <w:t>rt. 18 da Lei 14.133/2021)</w:t>
            </w:r>
            <w:r w:rsidR="00E776F1" w:rsidRPr="009A6D18">
              <w:rPr>
                <w:rFonts w:ascii="Times New Roman" w:eastAsia="Times New Roman" w:hAnsi="Times New Roman" w:cs="Times New Roman"/>
                <w:b/>
                <w:color w:val="000000"/>
                <w:sz w:val="20"/>
                <w:szCs w:val="20"/>
                <w:lang w:eastAsia="pt-BR"/>
              </w:rPr>
              <w:t>:</w:t>
            </w:r>
          </w:p>
        </w:tc>
      </w:tr>
      <w:tr w:rsidR="008F76F3" w:rsidRPr="009A6D18" w14:paraId="20066B50" w14:textId="77777777" w:rsidTr="00E82C00">
        <w:trPr>
          <w:trHeight w:val="70"/>
        </w:trPr>
        <w:tc>
          <w:tcPr>
            <w:tcW w:w="9209" w:type="dxa"/>
          </w:tcPr>
          <w:p w14:paraId="155B416C" w14:textId="77777777" w:rsidR="00031364" w:rsidRPr="009A6D18" w:rsidRDefault="00031364" w:rsidP="00031364">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O presente Estudo Técnico Preliminar tem por finalidade demonstrar a necessidade de aquisição de caminhões basculantes 0 km, do tipo trucado e traçado (6x4), com caçamba basculante em aço, destinados ao atendimento das demandas operacionais permanentes da Secretaria Municipal de Obras, Infraestrutura e Mobilidade, bem como ao suporte logístico de outras secretarias municipais, especialmente em atividades de interesse coletivo.</w:t>
            </w:r>
          </w:p>
          <w:p w14:paraId="61061897" w14:textId="77777777" w:rsidR="00031364" w:rsidRPr="009A6D18" w:rsidRDefault="00031364" w:rsidP="00031364">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O Município de Paverama possui expressiva malha viária urbana e rural, com predominância de estradas vicinais não pavimentadas, além de constante execução de obras públicas, serviços de manutenção viária, limpeza urbana, transporte de materiais, apoio a ações emergenciais e execução de serviços de infraestrutura. Tais atividades exigem veículos robustos, com elevada capacidade de carga e desempenho adequado para operação em terrenos irregulares e sob condições adversas.</w:t>
            </w:r>
          </w:p>
          <w:p w14:paraId="51963D9A" w14:textId="77777777" w:rsidR="00031364" w:rsidRPr="009A6D18" w:rsidRDefault="00031364" w:rsidP="00031364">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Atualmente, a frota municipal apresenta limitações operacionais decorrentes do desgaste natural dos veículos em uso, da insuficiência quantitativa e da obsolescência tecnológica, o que impacta diretamente a eficiência dos serviços públicos, aumenta os custos com manutenção corretiva e compromete a continuidade e a qualidade das ações executadas pelo Município. Essa realidade torna necessária a renovação e ampliação da frota com veículos novos, mais eficientes e compatíveis com as exigências operacionais atuais.</w:t>
            </w:r>
          </w:p>
          <w:p w14:paraId="49CF49E8" w14:textId="77777777" w:rsidR="00031364" w:rsidRPr="009A6D18" w:rsidRDefault="00031364" w:rsidP="00031364">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A demanda é reforçada pela disponibilidade de recursos provenientes de emendas parlamentares federais, bem como pela previsão de utilização de recursos próprios e eventual contratação de financiamento, circunstâncias que impõem à Administração o dever de planejar e executar a aplicação desses recursos de forma célere, eficiente e alinhada às finalidades públicas que motivaram sua destinação.</w:t>
            </w:r>
          </w:p>
          <w:p w14:paraId="008B4D08" w14:textId="77777777" w:rsidR="00031364" w:rsidRPr="009A6D18" w:rsidRDefault="00031364" w:rsidP="00031364">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A aquisição dos caminhões basculantes permitirá maior eficiência no transporte de materiais como brita, saibro, terra e resíduos, otimização da execução de obras e serviços de manutenção urbana e rural, redução do tempo de resposta a demandas emergenciais e diminuição dos custos operacionais a médio e longo prazo, especialmente aqueles relacionados à manutenção de veículos antigos e à terceirização de serviços.</w:t>
            </w:r>
          </w:p>
          <w:p w14:paraId="25FE18B4" w14:textId="38E054A0" w:rsidR="00C9278E" w:rsidRPr="009A6D18" w:rsidRDefault="00031364" w:rsidP="00031364">
            <w:pPr>
              <w:spacing w:after="0" w:line="276" w:lineRule="auto"/>
              <w:ind w:firstLine="597"/>
              <w:rPr>
                <w:rFonts w:ascii="Times New Roman" w:hAnsi="Times New Roman" w:cs="Times New Roman"/>
                <w:sz w:val="20"/>
                <w:szCs w:val="20"/>
              </w:rPr>
            </w:pPr>
            <w:r w:rsidRPr="009A6D18">
              <w:rPr>
                <w:rFonts w:ascii="Times New Roman" w:hAnsi="Times New Roman" w:cs="Times New Roman"/>
                <w:sz w:val="20"/>
                <w:szCs w:val="20"/>
              </w:rPr>
              <w:t>Dessa forma, a contratação mostra-se necessária, adequada e vantajosa sob a ótica do interesse público, contribuindo para a melhoria da infraestrutura municipal, a continuidade dos serviços públicos essenciais e o fortalecimento da capacidade operacional do Município, em observância aos princípios da eficiência, economicidade, planejamento, sustentabilidade e supremacia do interesse público que regem a Administração Pública.</w:t>
            </w:r>
          </w:p>
        </w:tc>
      </w:tr>
    </w:tbl>
    <w:p w14:paraId="2F9A2C3F" w14:textId="77777777" w:rsidR="00671CD4" w:rsidRPr="009A6D18" w:rsidRDefault="00671CD4" w:rsidP="008257DA">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9A6D18" w14:paraId="1BB79560" w14:textId="77777777" w:rsidTr="00C3667F">
        <w:tc>
          <w:tcPr>
            <w:tcW w:w="9209" w:type="dxa"/>
          </w:tcPr>
          <w:p w14:paraId="569B37C6" w14:textId="27B268A7"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2 – PREVISÃO NO PLANO DE CONTRATAÇÕES ANUAL</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498D87B" w14:textId="77777777" w:rsidTr="00C3667F">
        <w:tc>
          <w:tcPr>
            <w:tcW w:w="9209" w:type="dxa"/>
            <w:shd w:val="clear" w:color="auto" w:fill="F2F2F2" w:themeFill="background1" w:themeFillShade="F2"/>
          </w:tcPr>
          <w:p w14:paraId="6CEA53AC" w14:textId="1E38B9FF" w:rsidR="008F76F3" w:rsidRPr="009A6D18" w:rsidRDefault="008F76F3" w:rsidP="008257DA">
            <w:pPr>
              <w:pStyle w:val="Default"/>
              <w:spacing w:line="276" w:lineRule="auto"/>
              <w:jc w:val="both"/>
              <w:rPr>
                <w:rFonts w:eastAsia="Times New Roman"/>
                <w:sz w:val="20"/>
                <w:szCs w:val="20"/>
                <w:lang w:eastAsia="pt-BR"/>
              </w:rPr>
            </w:pPr>
            <w:r w:rsidRPr="009A6D18">
              <w:rPr>
                <w:rFonts w:eastAsia="Times New Roman"/>
                <w:bCs/>
                <w:sz w:val="20"/>
                <w:szCs w:val="20"/>
                <w:lang w:eastAsia="pt-BR"/>
              </w:rPr>
              <w:t xml:space="preserve">Fundamentação: </w:t>
            </w:r>
            <w:r w:rsidRPr="009A6D18">
              <w:rPr>
                <w:sz w:val="20"/>
                <w:szCs w:val="20"/>
              </w:rPr>
              <w:t xml:space="preserve">Demonstração da previsão da contratação no plano de contratações anual, sempre que elaborado, de modo a indicar o seu alinhamento com o planejamento da Administração </w:t>
            </w:r>
            <w:r w:rsidRPr="009A6D18">
              <w:rPr>
                <w:rFonts w:eastAsia="Times New Roman"/>
                <w:sz w:val="20"/>
                <w:szCs w:val="20"/>
                <w:lang w:eastAsia="pt-BR"/>
              </w:rPr>
              <w:t xml:space="preserve">(inciso II do § 1° do </w:t>
            </w:r>
            <w:r w:rsidR="008E3C14" w:rsidRPr="009A6D18">
              <w:rPr>
                <w:rFonts w:eastAsia="Times New Roman"/>
                <w:sz w:val="20"/>
                <w:szCs w:val="20"/>
                <w:lang w:eastAsia="pt-BR"/>
              </w:rPr>
              <w:t>A</w:t>
            </w:r>
            <w:r w:rsidRPr="009A6D18">
              <w:rPr>
                <w:rFonts w:eastAsia="Times New Roman"/>
                <w:sz w:val="20"/>
                <w:szCs w:val="20"/>
                <w:lang w:eastAsia="pt-BR"/>
              </w:rPr>
              <w:t>rt. 18 da Lei 14.133/21)</w:t>
            </w:r>
            <w:r w:rsidR="00E776F1" w:rsidRPr="009A6D18">
              <w:rPr>
                <w:rFonts w:eastAsia="Times New Roman"/>
                <w:sz w:val="20"/>
                <w:szCs w:val="20"/>
                <w:lang w:eastAsia="pt-BR"/>
              </w:rPr>
              <w:t>:</w:t>
            </w:r>
          </w:p>
        </w:tc>
      </w:tr>
      <w:tr w:rsidR="008F76F3" w:rsidRPr="009A6D18" w14:paraId="27DB0D15" w14:textId="77777777" w:rsidTr="00F00E89">
        <w:trPr>
          <w:trHeight w:val="39"/>
        </w:trPr>
        <w:tc>
          <w:tcPr>
            <w:tcW w:w="9209" w:type="dxa"/>
          </w:tcPr>
          <w:p w14:paraId="7A72865F" w14:textId="77777777" w:rsidR="00031364" w:rsidRPr="009A6D18" w:rsidRDefault="00031364" w:rsidP="00031364">
            <w:pPr>
              <w:spacing w:after="0" w:line="276" w:lineRule="auto"/>
              <w:ind w:firstLine="596"/>
              <w:rPr>
                <w:rFonts w:ascii="Times New Roman" w:hAnsi="Times New Roman" w:cs="Times New Roman"/>
                <w:sz w:val="20"/>
                <w:szCs w:val="20"/>
              </w:rPr>
            </w:pPr>
            <w:r w:rsidRPr="009A6D18">
              <w:rPr>
                <w:rFonts w:ascii="Times New Roman" w:hAnsi="Times New Roman" w:cs="Times New Roman"/>
                <w:sz w:val="20"/>
                <w:szCs w:val="20"/>
              </w:rPr>
              <w:t>A presente contratação não consta no Plano de Contratações Anual (PCA) originalmente aprovado pelo Município, uma vez que a necessidade foi identificada após o encerramento do ciclo regular de planejamento anual, em razão do recebimento superveniente de emenda parlamentar federal, bem como da reavaliação das prioridades administrativas relacionadas à infraestrutura viária e operacional do Município.</w:t>
            </w:r>
          </w:p>
          <w:p w14:paraId="2AC29529" w14:textId="77777777" w:rsidR="00031364" w:rsidRPr="009A6D18" w:rsidRDefault="00031364" w:rsidP="00031364">
            <w:pPr>
              <w:spacing w:after="0" w:line="276" w:lineRule="auto"/>
              <w:ind w:firstLine="596"/>
              <w:rPr>
                <w:rFonts w:ascii="Times New Roman" w:hAnsi="Times New Roman" w:cs="Times New Roman"/>
                <w:sz w:val="20"/>
                <w:szCs w:val="20"/>
              </w:rPr>
            </w:pPr>
            <w:r w:rsidRPr="009A6D18">
              <w:rPr>
                <w:rFonts w:ascii="Times New Roman" w:hAnsi="Times New Roman" w:cs="Times New Roman"/>
                <w:sz w:val="20"/>
                <w:szCs w:val="20"/>
              </w:rPr>
              <w:lastRenderedPageBreak/>
              <w:t>Por se tratar de recurso extraordinário e não previsível à época da elaboração do PCA, destinado especificamente ao fortalecimento da capacidade operacional da Administração Municipal, não foi possível programar previamente a aquisição dos caminhões basculantes no instrumento de planejamento anual.</w:t>
            </w:r>
          </w:p>
          <w:p w14:paraId="27B96A69" w14:textId="77777777" w:rsidR="00031364" w:rsidRPr="009A6D18" w:rsidRDefault="00031364" w:rsidP="00031364">
            <w:pPr>
              <w:spacing w:after="0" w:line="276" w:lineRule="auto"/>
              <w:ind w:firstLine="596"/>
              <w:rPr>
                <w:rFonts w:ascii="Times New Roman" w:hAnsi="Times New Roman" w:cs="Times New Roman"/>
                <w:sz w:val="20"/>
                <w:szCs w:val="20"/>
              </w:rPr>
            </w:pPr>
            <w:r w:rsidRPr="009A6D18">
              <w:rPr>
                <w:rFonts w:ascii="Times New Roman" w:hAnsi="Times New Roman" w:cs="Times New Roman"/>
                <w:sz w:val="20"/>
                <w:szCs w:val="20"/>
              </w:rPr>
              <w:t>A justificativa para a inclusão extraordinária da contratação foi formalizada no Documento de Formalização da Demanda (DFD), no qual restaram devidamente demonstradas a motivação, a pertinência técnica, o interesse público envolvido e a compatibilidade da despesa com os objetivos estratégicos da Administração. A Chefia do Poder Executivo, ao apreciar o DFD, autorizou a abertura do procedimento administrativo, em observância aos princípios do planejamento, da eficiência, da legalidade e da boa governança.</w:t>
            </w:r>
          </w:p>
          <w:p w14:paraId="26B5CF36" w14:textId="5B8EDB78" w:rsidR="008F76F3" w:rsidRPr="009A6D18" w:rsidRDefault="00031364" w:rsidP="00031364">
            <w:pPr>
              <w:spacing w:after="0" w:line="276" w:lineRule="auto"/>
              <w:ind w:firstLine="596"/>
              <w:rPr>
                <w:rFonts w:ascii="Times New Roman" w:hAnsi="Times New Roman" w:cs="Times New Roman"/>
                <w:sz w:val="20"/>
                <w:szCs w:val="20"/>
              </w:rPr>
            </w:pPr>
            <w:r w:rsidRPr="009A6D18">
              <w:rPr>
                <w:rFonts w:ascii="Times New Roman" w:hAnsi="Times New Roman" w:cs="Times New Roman"/>
                <w:sz w:val="20"/>
                <w:szCs w:val="20"/>
              </w:rPr>
              <w:t>A atualização do Plano de Contratações Anual para contemplar a presente demanda será promovida nos termos do Decreto Municipal nº 1.319/2024, de modo a assegurar a adequada compatibilização entre o planejamento institucional, a programação orçamentária e a execução dos recursos vinculados. O PCA vigente permanece disponível para consulta no sítio eletrônico oficial do Município.</w:t>
            </w:r>
          </w:p>
        </w:tc>
      </w:tr>
    </w:tbl>
    <w:p w14:paraId="19919687" w14:textId="77777777" w:rsidR="008F76F3" w:rsidRPr="009A6D18" w:rsidRDefault="008F76F3" w:rsidP="008257DA">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9A6D18" w14:paraId="555D9A9F" w14:textId="77777777" w:rsidTr="00C3667F">
        <w:tc>
          <w:tcPr>
            <w:tcW w:w="9209" w:type="dxa"/>
          </w:tcPr>
          <w:p w14:paraId="01487FDB" w14:textId="28C8C507" w:rsidR="008F76F3" w:rsidRPr="009A6D18" w:rsidRDefault="008F76F3"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3 – REQUISITOS DA CONTRATAÇÃO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1E721F9" w14:textId="77777777" w:rsidTr="00C3667F">
        <w:tc>
          <w:tcPr>
            <w:tcW w:w="9209" w:type="dxa"/>
            <w:shd w:val="clear" w:color="auto" w:fill="F2F2F2" w:themeFill="background1" w:themeFillShade="F2"/>
          </w:tcPr>
          <w:p w14:paraId="0301AA19" w14:textId="3013B864"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9A6D18">
              <w:rPr>
                <w:rFonts w:ascii="Times New Roman" w:eastAsia="Times New Roman" w:hAnsi="Times New Roman" w:cs="Times New Roman"/>
                <w:color w:val="000000"/>
                <w:sz w:val="20"/>
                <w:szCs w:val="20"/>
                <w:lang w:eastAsia="pt-BR"/>
              </w:rPr>
              <w:t>:</w:t>
            </w:r>
          </w:p>
        </w:tc>
      </w:tr>
      <w:tr w:rsidR="008F76F3" w:rsidRPr="009A6D18" w14:paraId="23A4E659" w14:textId="77777777" w:rsidTr="0042759D">
        <w:trPr>
          <w:trHeight w:val="70"/>
        </w:trPr>
        <w:tc>
          <w:tcPr>
            <w:tcW w:w="9209" w:type="dxa"/>
          </w:tcPr>
          <w:p w14:paraId="1BB3ACF6" w14:textId="4181C2A9" w:rsidR="00663852" w:rsidRPr="009A6D18" w:rsidRDefault="00663852" w:rsidP="006B076E">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A contratação deverá ser estruturada com base em critérios objetivos, parâmetros técnicos mínimos e requisitos funcionais que assegurem que os caminhões basculantes a serem adquiridos atendam plenamente às necessidades operacionais do Município, observando o interesse público, a eficiência administrativa, a economicidade e a adequada relação custo-benefício. Para tanto, estabelecem-se os seguintes requisitos:</w:t>
            </w:r>
          </w:p>
          <w:p w14:paraId="14ADD508" w14:textId="42F9005E"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3.1</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Natureza do objeto: O bem a ser adquirido possui natureza de bem comum, uma vez que seus padrões de desempenho e qualidade podem ser objetivamente definidos por meio de especificações usuais de mercado, conforme disposto no art. 6º, inciso XIII, da Lei Federal nº 14.133/2021, possibilitando a adoção de critérios objetivos de julgamento e ampla competitividade no certame.</w:t>
            </w:r>
          </w:p>
          <w:p w14:paraId="40A12A3F" w14:textId="658FE592"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3.2</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Disposições gerais: Os veículos deverão ser fornecidos por empresa fabricante ou por seu representante legalmente credenciado, devendo a contratada comprovar que dispõe de estrutura técnica e operacional apta a prestar assistência técnica completa, durante todo o período de garantia e suporte pós-venda.</w:t>
            </w:r>
          </w:p>
          <w:p w14:paraId="3906A413" w14:textId="69ECAC18"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 xml:space="preserve">3.3 Condições de entrega: </w:t>
            </w:r>
          </w:p>
          <w:p w14:paraId="4ED13150" w14:textId="737F75AA"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3.3.1</w:t>
            </w:r>
            <w:r w:rsidR="00396168">
              <w:rPr>
                <w:rFonts w:ascii="Times New Roman" w:hAnsi="Times New Roman" w:cs="Times New Roman"/>
                <w:color w:val="000000" w:themeColor="text1"/>
                <w:sz w:val="20"/>
                <w:szCs w:val="20"/>
              </w:rPr>
              <w:t xml:space="preserve">. </w:t>
            </w:r>
            <w:r w:rsidRPr="009A6D18">
              <w:rPr>
                <w:rFonts w:ascii="Times New Roman" w:hAnsi="Times New Roman" w:cs="Times New Roman"/>
                <w:color w:val="000000" w:themeColor="text1"/>
                <w:sz w:val="20"/>
                <w:szCs w:val="20"/>
              </w:rPr>
              <w:t>Os veículos deverão ser novos (0 km), de primeiro uso, integrantes da linha normal de produção do fabricante, atendendo integralmente às normas e exigências da legislação vigente, especialmente aquelas relativas ao Código de Trânsito Brasileiro, às normas do SENATRAN, do INMETRO e às disposições ambientais aplicáveis.</w:t>
            </w:r>
          </w:p>
          <w:p w14:paraId="04771154" w14:textId="234D7A1B"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3.3.2</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A entrega deverá ocorrer no prazo máximo de 60 (sessenta) dias corridos, contados do recebimento da Nota de Empenho, admitida uma única prorrogação, desde que formalmente solicitada, devidamente justificada pela contratada e aceita pela Administração.</w:t>
            </w:r>
          </w:p>
          <w:p w14:paraId="17843CE8" w14:textId="7BD1F749" w:rsidR="00951B20"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3.3.3</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O(s) veículo(s) deverá(</w:t>
            </w:r>
            <w:proofErr w:type="spellStart"/>
            <w:r w:rsidRPr="009A6D18">
              <w:rPr>
                <w:rFonts w:ascii="Times New Roman" w:hAnsi="Times New Roman" w:cs="Times New Roman"/>
                <w:color w:val="000000" w:themeColor="text1"/>
                <w:sz w:val="20"/>
                <w:szCs w:val="20"/>
              </w:rPr>
              <w:t>ão</w:t>
            </w:r>
            <w:proofErr w:type="spellEnd"/>
            <w:r w:rsidRPr="009A6D18">
              <w:rPr>
                <w:rFonts w:ascii="Times New Roman" w:hAnsi="Times New Roman" w:cs="Times New Roman"/>
                <w:color w:val="000000" w:themeColor="text1"/>
                <w:sz w:val="20"/>
                <w:szCs w:val="20"/>
              </w:rPr>
              <w:t>) ser entregue(s) devidamente emplacado(s) e licenciado(s) em nome do Município de Paverama/RS, sem quaisquer custos adicionais, diretamente na sede da Prefeitura Municipal ou em local previamente indicado no Termo de Referência, em data e horário agendados para realização da entrega técnica.</w:t>
            </w:r>
          </w:p>
          <w:p w14:paraId="0F44A4A1" w14:textId="4108A78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3.3.4</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O(s) veículo(s) deverá(</w:t>
            </w:r>
            <w:proofErr w:type="spellStart"/>
            <w:r w:rsidRPr="009A6D18">
              <w:rPr>
                <w:rFonts w:ascii="Times New Roman" w:hAnsi="Times New Roman" w:cs="Times New Roman"/>
                <w:color w:val="000000" w:themeColor="text1"/>
                <w:sz w:val="20"/>
                <w:szCs w:val="20"/>
              </w:rPr>
              <w:t>ão</w:t>
            </w:r>
            <w:proofErr w:type="spellEnd"/>
            <w:r w:rsidRPr="009A6D18">
              <w:rPr>
                <w:rFonts w:ascii="Times New Roman" w:hAnsi="Times New Roman" w:cs="Times New Roman"/>
                <w:color w:val="000000" w:themeColor="text1"/>
                <w:sz w:val="20"/>
                <w:szCs w:val="20"/>
              </w:rPr>
              <w:t>) ser entregue(s) com película protetora nos vidros laterais e traseiro (quando aplicável), em conformidade com as normas do DETRAN, bem como com jogo completo de tapetes, atendendo integralmente à legislação vigente quanto aos aspectos de segurança, iluminação, sinalização e proteção veicular.</w:t>
            </w:r>
          </w:p>
          <w:p w14:paraId="75A0B79B" w14:textId="040FB133"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Garantia, assistência técnica e substituição</w:t>
            </w:r>
            <w:r w:rsidR="00951B20" w:rsidRPr="009A6D18">
              <w:rPr>
                <w:rFonts w:ascii="Times New Roman" w:hAnsi="Times New Roman" w:cs="Times New Roman"/>
                <w:color w:val="000000" w:themeColor="text1"/>
                <w:sz w:val="20"/>
                <w:szCs w:val="20"/>
              </w:rPr>
              <w:t>:</w:t>
            </w:r>
          </w:p>
          <w:p w14:paraId="615E8949" w14:textId="690DAC1E"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3.4.1</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A garantia do veículo deverá ser total, abrangendo o veículo, o chassi, o conjunto motriz e a caçamba basculante, pelo período mínimo de 12 (doze) meses, contados a partir do efetivo recebimento definitivo, ou pelo prazo superior previsto no manual do fabricante, prevalecendo sempre o de maior duração, sem limite de quilometragem.</w:t>
            </w:r>
          </w:p>
          <w:p w14:paraId="7363C833" w14:textId="4C90FCC0" w:rsidR="00663852" w:rsidRPr="009A6D18" w:rsidRDefault="00663852" w:rsidP="00951B20">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3.4.2</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w:t>
            </w:r>
            <w:r w:rsidR="00951B20" w:rsidRPr="009A6D18">
              <w:rPr>
                <w:rFonts w:ascii="Times New Roman" w:hAnsi="Times New Roman" w:cs="Times New Roman"/>
                <w:color w:val="000000" w:themeColor="text1"/>
                <w:sz w:val="20"/>
                <w:szCs w:val="20"/>
              </w:rPr>
              <w:t xml:space="preserve">Durante o período de garantia, a assistência técnica, garantia manutenção e revisão para o veículo entregue, sendo que os mesmos deverão ser realizados na oficina própria ou referenciada da contratada, localizada </w:t>
            </w:r>
            <w:r w:rsidR="00951B20" w:rsidRPr="009A6D18">
              <w:rPr>
                <w:rFonts w:ascii="Times New Roman" w:hAnsi="Times New Roman" w:cs="Times New Roman"/>
                <w:color w:val="000000" w:themeColor="text1"/>
                <w:sz w:val="20"/>
                <w:szCs w:val="20"/>
              </w:rPr>
              <w:lastRenderedPageBreak/>
              <w:t xml:space="preserve">numa distância máxima de 100 quilômetros da sede do município de Paverama, sendo de responsabilidade da contratada, os custos referentes </w:t>
            </w:r>
            <w:proofErr w:type="spellStart"/>
            <w:r w:rsidR="00951B20" w:rsidRPr="009A6D18">
              <w:rPr>
                <w:rFonts w:ascii="Times New Roman" w:hAnsi="Times New Roman" w:cs="Times New Roman"/>
                <w:color w:val="000000" w:themeColor="text1"/>
                <w:sz w:val="20"/>
                <w:szCs w:val="20"/>
              </w:rPr>
              <w:t>á</w:t>
            </w:r>
            <w:proofErr w:type="spellEnd"/>
            <w:r w:rsidR="00951B20" w:rsidRPr="009A6D18">
              <w:rPr>
                <w:rFonts w:ascii="Times New Roman" w:hAnsi="Times New Roman" w:cs="Times New Roman"/>
                <w:color w:val="000000" w:themeColor="text1"/>
                <w:sz w:val="20"/>
                <w:szCs w:val="20"/>
              </w:rPr>
              <w:t xml:space="preserve"> mão de obra para a realização destes serviços, ficando a cargo do Município apenas os custos com óleos lubrificantes, filtros e outras peças com desgaste natural, no período de garantia. Para tanto o licitante deverá ser representante credenciado pelo fabricante, devendo comprovar tal situação, não podendo terceirizar tais serviços, mesmo no prazo de garantia do veículo.</w:t>
            </w:r>
          </w:p>
          <w:p w14:paraId="585DF9BD" w14:textId="713D2345" w:rsidR="00B078C9" w:rsidRPr="009A6D18" w:rsidRDefault="00B078C9" w:rsidP="00951B20">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3.4.2.1</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Tal exigência é fundamental para minimizar o tempo de veículo parado, assegurar continuidade dos serviços públicos e manter o desempenho operacional esperado de veículo. Esses requisitos, em conjunto, consolidam um padrão mínimo de confiabilidade e suporte técnico adequado ao interesse público.</w:t>
            </w:r>
          </w:p>
          <w:p w14:paraId="0723DCD5" w14:textId="24B7ADE9" w:rsidR="00951B20" w:rsidRPr="009A6D18" w:rsidRDefault="00951B20" w:rsidP="00951B20">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3.4.3</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Revisões incluídas: conforme termo de garantia d</w:t>
            </w:r>
            <w:r w:rsidR="00396168">
              <w:rPr>
                <w:rFonts w:ascii="Times New Roman" w:hAnsi="Times New Roman" w:cs="Times New Roman"/>
                <w:color w:val="000000" w:themeColor="text1"/>
                <w:sz w:val="20"/>
                <w:szCs w:val="20"/>
              </w:rPr>
              <w:t>a</w:t>
            </w:r>
            <w:r w:rsidRPr="009A6D18">
              <w:rPr>
                <w:rFonts w:ascii="Times New Roman" w:hAnsi="Times New Roman" w:cs="Times New Roman"/>
                <w:color w:val="000000" w:themeColor="text1"/>
                <w:sz w:val="20"/>
                <w:szCs w:val="20"/>
              </w:rPr>
              <w:t xml:space="preserve"> fábrica, com no mínimo 12 meses sem limite de quilometragem e para efeito da contagem do prazo de garantia, será considerada a data da entrega do veículo.</w:t>
            </w:r>
          </w:p>
          <w:p w14:paraId="7B34CAE2" w14:textId="102B57A6"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w:t>
            </w:r>
            <w:r w:rsidR="00951B20" w:rsidRPr="009A6D18">
              <w:rPr>
                <w:rFonts w:ascii="Times New Roman" w:hAnsi="Times New Roman" w:cs="Times New Roman"/>
                <w:color w:val="000000" w:themeColor="text1"/>
                <w:sz w:val="20"/>
                <w:szCs w:val="20"/>
              </w:rPr>
              <w:t>4</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O licitante deverá comprovar que é representante credenciado pelo fabricante, não sendo admitida a terceirização dos serviços de garantia, mesmo durante o prazo de cobertura.</w:t>
            </w:r>
          </w:p>
          <w:p w14:paraId="59D33716" w14:textId="64EC709D"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w:t>
            </w:r>
            <w:r w:rsidR="00951B20" w:rsidRPr="009A6D18">
              <w:rPr>
                <w:rFonts w:ascii="Times New Roman" w:hAnsi="Times New Roman" w:cs="Times New Roman"/>
                <w:color w:val="000000" w:themeColor="text1"/>
                <w:sz w:val="20"/>
                <w:szCs w:val="20"/>
              </w:rPr>
              <w:t>5</w:t>
            </w:r>
            <w:r w:rsidRPr="009A6D18">
              <w:rPr>
                <w:rFonts w:ascii="Times New Roman" w:hAnsi="Times New Roman" w:cs="Times New Roman"/>
                <w:color w:val="000000" w:themeColor="text1"/>
                <w:sz w:val="20"/>
                <w:szCs w:val="20"/>
              </w:rPr>
              <w:t xml:space="preserve"> O veículo poderá ser rejeitado quando entregue em desacordo com as especificações técnicas ou condições estabelecidas, devendo ser substituído no prazo máximo de 05 (cinco) dias úteis, às expensas da contratada, sem prejuízo da aplicação das penalidades cabíveis.</w:t>
            </w:r>
          </w:p>
          <w:p w14:paraId="57D65C12" w14:textId="3B82A23C"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w:t>
            </w:r>
            <w:r w:rsidR="00396168">
              <w:rPr>
                <w:rFonts w:ascii="Times New Roman" w:hAnsi="Times New Roman" w:cs="Times New Roman"/>
                <w:color w:val="000000" w:themeColor="text1"/>
                <w:sz w:val="20"/>
                <w:szCs w:val="20"/>
              </w:rPr>
              <w:t>6.</w:t>
            </w:r>
            <w:r w:rsidRPr="009A6D18">
              <w:rPr>
                <w:rFonts w:ascii="Times New Roman" w:hAnsi="Times New Roman" w:cs="Times New Roman"/>
                <w:color w:val="000000" w:themeColor="text1"/>
                <w:sz w:val="20"/>
                <w:szCs w:val="20"/>
              </w:rPr>
              <w:t xml:space="preserve"> Constatada qualquer falha, defeito ou irregularidade no fornecimento, será efetuado registro formal e a contratada será notificada para proceder à substituição ou reparo no prazo máximo de 05 (cinco) dias úteis, contados do recebimento da notificação.</w:t>
            </w:r>
          </w:p>
          <w:p w14:paraId="1F302B78" w14:textId="4ADBCEE3"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3.4.</w:t>
            </w:r>
            <w:r w:rsidR="00396168">
              <w:rPr>
                <w:rFonts w:ascii="Times New Roman" w:hAnsi="Times New Roman" w:cs="Times New Roman"/>
                <w:color w:val="000000" w:themeColor="text1"/>
                <w:sz w:val="20"/>
                <w:szCs w:val="20"/>
              </w:rPr>
              <w:t>7.</w:t>
            </w:r>
            <w:r w:rsidRPr="009A6D18">
              <w:rPr>
                <w:rFonts w:ascii="Times New Roman" w:hAnsi="Times New Roman" w:cs="Times New Roman"/>
                <w:color w:val="000000" w:themeColor="text1"/>
                <w:sz w:val="20"/>
                <w:szCs w:val="20"/>
              </w:rPr>
              <w:t xml:space="preserve"> A notificação para substituição ou reparo durante o período de garantia poderá ser realizada por telefone, correio eletrônico ou outro meio idôneo de comunicação, sem prejuízo da posterior formalização administrativa.</w:t>
            </w:r>
          </w:p>
          <w:p w14:paraId="260A6B57" w14:textId="6D9CAF6E"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3.5</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Obrigações da Contratante</w:t>
            </w:r>
            <w:r w:rsidR="00951B20" w:rsidRPr="009A6D18">
              <w:rPr>
                <w:rFonts w:ascii="Times New Roman" w:hAnsi="Times New Roman" w:cs="Times New Roman"/>
                <w:color w:val="000000" w:themeColor="text1"/>
                <w:sz w:val="20"/>
                <w:szCs w:val="20"/>
              </w:rPr>
              <w:t>:</w:t>
            </w:r>
          </w:p>
          <w:p w14:paraId="2D4AD945"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Compete ao Município de Paverama, na condição de Contratante:</w:t>
            </w:r>
          </w:p>
          <w:p w14:paraId="1D2861C8"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a) Fornecer, em tempo hábil, todas as informações necessárias ao fiel cumprimento das obrigações contratuais;</w:t>
            </w:r>
          </w:p>
          <w:p w14:paraId="313C03A8"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b) Receber o objeto por meio do setor responsável pelo acompanhamento e fiscalização;</w:t>
            </w:r>
          </w:p>
          <w:p w14:paraId="6665213D"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c) Notificar formalmente a contratada acerca de imperfeições, falhas ou irregularidades constatadas;</w:t>
            </w:r>
          </w:p>
          <w:p w14:paraId="50B91FDD"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d) Não permitir o recebimento de objeto em desacordo com as condições estabelecidas;</w:t>
            </w:r>
          </w:p>
          <w:p w14:paraId="6908410B" w14:textId="486146EC"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e) Efetuar o pagamento das notas fiscais após a efetiva entrega e o atesto do Fiscal do Contrato;</w:t>
            </w:r>
          </w:p>
          <w:p w14:paraId="7CB42214"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f) Manter a compatibilidade com as obrigações assumidas durante toda a execução contratual.</w:t>
            </w:r>
          </w:p>
          <w:p w14:paraId="1174233F" w14:textId="2F030E6A"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3.6</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Obrigações da Contratada</w:t>
            </w:r>
            <w:r w:rsidR="00951B20" w:rsidRPr="009A6D18">
              <w:rPr>
                <w:rFonts w:ascii="Times New Roman" w:hAnsi="Times New Roman" w:cs="Times New Roman"/>
                <w:color w:val="000000" w:themeColor="text1"/>
                <w:sz w:val="20"/>
                <w:szCs w:val="20"/>
              </w:rPr>
              <w:t>:</w:t>
            </w:r>
          </w:p>
          <w:p w14:paraId="4CB4D73D"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São obrigações da Contratada, além das demais previstas em lei:</w:t>
            </w:r>
          </w:p>
          <w:p w14:paraId="5BB243F4" w14:textId="4C615544" w:rsidR="00663852" w:rsidRPr="009A6D18" w:rsidRDefault="00663852" w:rsidP="00951B20">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 xml:space="preserve">a) </w:t>
            </w:r>
            <w:r w:rsidR="00951B20" w:rsidRPr="009A6D18">
              <w:rPr>
                <w:rFonts w:ascii="Times New Roman" w:hAnsi="Times New Roman" w:cs="Times New Roman"/>
                <w:color w:val="000000" w:themeColor="text1"/>
                <w:sz w:val="20"/>
                <w:szCs w:val="20"/>
              </w:rPr>
              <w:t>Arcar com todas as despesas e encargos, diretos ou indiretas, concernentes às legislações sociais, trabalhistas, fiscais, comerciais, securitárias e previdenciárias decorrentes do cumprimento das obrigações assumidas, sem qualquer ônus para o Município;</w:t>
            </w:r>
          </w:p>
          <w:p w14:paraId="60E5DD93"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b) Manter, durante toda a execução contratual, as condições de habilitação e qualificação exigidas;</w:t>
            </w:r>
          </w:p>
          <w:p w14:paraId="6D724CDB"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c) Responsabilizar-se pelos danos causados direta ou indiretamente à Administração ou a terceiros, decorrentes de culpa ou dolo, até a entrega definitiva do objeto;</w:t>
            </w:r>
          </w:p>
          <w:p w14:paraId="54FB6272"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d) Prestar todos os esclarecimentos solicitados pela Administração durante a execução da contratação.</w:t>
            </w:r>
          </w:p>
          <w:p w14:paraId="573B3C7D" w14:textId="234CD14D"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3.7</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Requisitos de habilitação</w:t>
            </w:r>
            <w:r w:rsidR="00951B20" w:rsidRPr="009A6D18">
              <w:rPr>
                <w:rFonts w:ascii="Times New Roman" w:hAnsi="Times New Roman" w:cs="Times New Roman"/>
                <w:color w:val="000000" w:themeColor="text1"/>
                <w:sz w:val="20"/>
                <w:szCs w:val="20"/>
              </w:rPr>
              <w:t>:</w:t>
            </w:r>
          </w:p>
          <w:p w14:paraId="23C3572E"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 xml:space="preserve">Para fornecimento dos bens, os licitantes deverão comprovar atuação em ramo de atividade compatível com o objeto, bem como apresentar os documentos de habilitação previstos nos </w:t>
            </w:r>
            <w:proofErr w:type="spellStart"/>
            <w:r w:rsidRPr="009A6D18">
              <w:rPr>
                <w:rFonts w:ascii="Times New Roman" w:hAnsi="Times New Roman" w:cs="Times New Roman"/>
                <w:color w:val="000000" w:themeColor="text1"/>
                <w:sz w:val="20"/>
                <w:szCs w:val="20"/>
              </w:rPr>
              <w:t>arts</w:t>
            </w:r>
            <w:proofErr w:type="spellEnd"/>
            <w:r w:rsidRPr="009A6D18">
              <w:rPr>
                <w:rFonts w:ascii="Times New Roman" w:hAnsi="Times New Roman" w:cs="Times New Roman"/>
                <w:color w:val="000000" w:themeColor="text1"/>
                <w:sz w:val="20"/>
                <w:szCs w:val="20"/>
              </w:rPr>
              <w:t>. 62 e 66 da Lei nº 14.133/2021, incluindo, entre outros:</w:t>
            </w:r>
          </w:p>
          <w:p w14:paraId="12A0D8F8"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a) Inscrição no CNPJ;</w:t>
            </w:r>
          </w:p>
          <w:p w14:paraId="3FB05C03" w14:textId="35ED5025" w:rsidR="00663852" w:rsidRPr="009A6D18" w:rsidRDefault="00663852" w:rsidP="00951B20">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 xml:space="preserve">b) </w:t>
            </w:r>
            <w:r w:rsidR="00951B20" w:rsidRPr="009A6D18">
              <w:rPr>
                <w:rFonts w:ascii="Times New Roman" w:hAnsi="Times New Roman" w:cs="Times New Roman"/>
                <w:color w:val="000000" w:themeColor="text1"/>
                <w:sz w:val="20"/>
                <w:szCs w:val="20"/>
              </w:rPr>
              <w:t>Contrato Social com todas as alterações ou a última consolidação e/ou equivalente, que comprove a aptidão da empresa para atendimento ora licitados</w:t>
            </w:r>
            <w:r w:rsidRPr="009A6D18">
              <w:rPr>
                <w:rFonts w:ascii="Times New Roman" w:hAnsi="Times New Roman" w:cs="Times New Roman"/>
                <w:color w:val="000000" w:themeColor="text1"/>
                <w:sz w:val="20"/>
                <w:szCs w:val="20"/>
              </w:rPr>
              <w:t>;</w:t>
            </w:r>
          </w:p>
          <w:p w14:paraId="6BC6C896"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c) Regularidade fiscal federal, estadual e municipal;</w:t>
            </w:r>
          </w:p>
          <w:p w14:paraId="440A191B"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d) Regularidade junto ao FGTS e à Seguridade Social;</w:t>
            </w:r>
          </w:p>
          <w:p w14:paraId="5271E8F7"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e) Certidão Negativa de Débitos Trabalhistas – CNDT;</w:t>
            </w:r>
          </w:p>
          <w:p w14:paraId="7703227F" w14:textId="77777777"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f) Declaração de cumprimento do disposto no art. 7º, XXXIII, da Constituição Federal;</w:t>
            </w:r>
          </w:p>
          <w:p w14:paraId="4E4F4903" w14:textId="65311375"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g) Certidão negativa de falência ou recuperação judicial, emitida nos prazos legais</w:t>
            </w:r>
            <w:r w:rsidR="00951B20" w:rsidRPr="009A6D18">
              <w:rPr>
                <w:rFonts w:ascii="Times New Roman" w:hAnsi="Times New Roman" w:cs="Times New Roman"/>
                <w:color w:val="000000" w:themeColor="text1"/>
                <w:sz w:val="20"/>
                <w:szCs w:val="20"/>
              </w:rPr>
              <w:t>;</w:t>
            </w:r>
          </w:p>
          <w:p w14:paraId="66B70F02" w14:textId="5BA8D245" w:rsidR="00663852" w:rsidRPr="009A6D18" w:rsidRDefault="00663852" w:rsidP="00663852">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3.8 Das sanções</w:t>
            </w:r>
            <w:r w:rsidR="00951B20" w:rsidRPr="009A6D18">
              <w:rPr>
                <w:rFonts w:ascii="Times New Roman" w:hAnsi="Times New Roman" w:cs="Times New Roman"/>
                <w:color w:val="000000" w:themeColor="text1"/>
                <w:sz w:val="20"/>
                <w:szCs w:val="20"/>
              </w:rPr>
              <w:t>:</w:t>
            </w:r>
          </w:p>
          <w:p w14:paraId="354292B5" w14:textId="550633D0" w:rsidR="00B078C9" w:rsidRPr="009A6D18" w:rsidRDefault="00B078C9" w:rsidP="00B078C9">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3.8.1</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A empresa licitante que deixar de entregar a documentação, entregar documentação falsa ou não mantiver sua proposta ficará passível da aplicação de multa pecuniária de até 10% sobre o valor total de sua proposta, assim como a decretação da suspensão temporária do direito de participar de licitações deflagradas pelo Município de Paverama, bem como o impedimento de contratar com o mesmo, pelo período de até 02 anos.</w:t>
            </w:r>
          </w:p>
          <w:p w14:paraId="36CC8D81" w14:textId="69FE9F48" w:rsidR="00B078C9" w:rsidRPr="009A6D18" w:rsidRDefault="00B078C9" w:rsidP="00B078C9">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3.8.2</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Aos fornecedores que cometerem infrações ou descumprirem total ou parcialmente as condições estabelecidas, ajustes ou acordos celebrados com a Administração Pública Municipal, poderão ser aplicadas penalidades como: notificação, advertência, multa, suspensão e/ou declaração de idoneidade.</w:t>
            </w:r>
          </w:p>
          <w:p w14:paraId="5D92017F" w14:textId="68317C7F" w:rsidR="00663852" w:rsidRPr="009A6D18" w:rsidRDefault="00B078C9" w:rsidP="00B078C9">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3.8.3</w:t>
            </w:r>
            <w:r w:rsidR="00396168">
              <w:rPr>
                <w:rFonts w:ascii="Times New Roman" w:hAnsi="Times New Roman" w:cs="Times New Roman"/>
                <w:color w:val="000000" w:themeColor="text1"/>
                <w:sz w:val="20"/>
                <w:szCs w:val="20"/>
              </w:rPr>
              <w:t>.</w:t>
            </w:r>
            <w:r w:rsidRPr="009A6D18">
              <w:rPr>
                <w:rFonts w:ascii="Times New Roman" w:hAnsi="Times New Roman" w:cs="Times New Roman"/>
                <w:color w:val="000000" w:themeColor="text1"/>
                <w:sz w:val="20"/>
                <w:szCs w:val="20"/>
              </w:rPr>
              <w:t xml:space="preserve"> Poderá a Administração Municipal promover processo administrativo de rescisão unilateral do Registro, conforme Decreto Municipal nº 1.319/2024.</w:t>
            </w:r>
          </w:p>
          <w:p w14:paraId="4ABE7CED" w14:textId="5D04624C" w:rsidR="00CA3DD2" w:rsidRPr="009A6D18" w:rsidRDefault="00671CD4" w:rsidP="008257DA">
            <w:pPr>
              <w:spacing w:after="0" w:line="276" w:lineRule="auto"/>
              <w:ind w:firstLine="596"/>
              <w:rPr>
                <w:rFonts w:ascii="Times New Roman" w:hAnsi="Times New Roman" w:cs="Times New Roman"/>
                <w:b/>
                <w:bCs/>
                <w:color w:val="000000" w:themeColor="text1"/>
                <w:sz w:val="20"/>
                <w:szCs w:val="20"/>
              </w:rPr>
            </w:pPr>
            <w:r w:rsidRPr="009A6D18">
              <w:rPr>
                <w:rFonts w:ascii="Times New Roman" w:hAnsi="Times New Roman" w:cs="Times New Roman"/>
                <w:b/>
                <w:bCs/>
                <w:color w:val="000000" w:themeColor="text1"/>
                <w:sz w:val="20"/>
                <w:szCs w:val="20"/>
              </w:rPr>
              <w:t xml:space="preserve">A observância desses requisitos é essencial para garantir a eficácia da aquisição, assegurando a continuidade das atividades </w:t>
            </w:r>
            <w:r w:rsidR="00B078C9" w:rsidRPr="009A6D18">
              <w:rPr>
                <w:rFonts w:ascii="Times New Roman" w:hAnsi="Times New Roman" w:cs="Times New Roman"/>
                <w:b/>
                <w:bCs/>
                <w:color w:val="000000" w:themeColor="text1"/>
                <w:sz w:val="20"/>
                <w:szCs w:val="20"/>
              </w:rPr>
              <w:t>operacionais</w:t>
            </w:r>
            <w:r w:rsidRPr="009A6D18">
              <w:rPr>
                <w:rFonts w:ascii="Times New Roman" w:hAnsi="Times New Roman" w:cs="Times New Roman"/>
                <w:b/>
                <w:bCs/>
                <w:color w:val="000000" w:themeColor="text1"/>
                <w:sz w:val="20"/>
                <w:szCs w:val="20"/>
              </w:rPr>
              <w:t xml:space="preserve">, a adequada aplicação dos recursos públicos e a segurança dos usuários dos </w:t>
            </w:r>
            <w:r w:rsidR="00B078C9" w:rsidRPr="009A6D18">
              <w:rPr>
                <w:rFonts w:ascii="Times New Roman" w:hAnsi="Times New Roman" w:cs="Times New Roman"/>
                <w:b/>
                <w:bCs/>
                <w:color w:val="000000" w:themeColor="text1"/>
                <w:sz w:val="20"/>
                <w:szCs w:val="20"/>
              </w:rPr>
              <w:t>veículos</w:t>
            </w:r>
            <w:r w:rsidRPr="009A6D18">
              <w:rPr>
                <w:rFonts w:ascii="Times New Roman" w:hAnsi="Times New Roman" w:cs="Times New Roman"/>
                <w:b/>
                <w:bCs/>
                <w:color w:val="000000" w:themeColor="text1"/>
                <w:sz w:val="20"/>
                <w:szCs w:val="20"/>
              </w:rPr>
              <w:t>.</w:t>
            </w:r>
            <w:r w:rsidR="00CA3DD2" w:rsidRPr="009A6D18">
              <w:rPr>
                <w:rFonts w:ascii="Times New Roman" w:hAnsi="Times New Roman" w:cs="Times New Roman"/>
                <w:b/>
                <w:bCs/>
                <w:color w:val="000000" w:themeColor="text1"/>
                <w:sz w:val="20"/>
                <w:szCs w:val="20"/>
              </w:rPr>
              <w:t xml:space="preserve"> </w:t>
            </w:r>
          </w:p>
          <w:p w14:paraId="0E45BB28" w14:textId="22B311CC" w:rsidR="00F82D22" w:rsidRPr="009A6D18" w:rsidRDefault="00F82D22" w:rsidP="008257DA">
            <w:pPr>
              <w:spacing w:after="0" w:line="276" w:lineRule="auto"/>
              <w:ind w:firstLine="596"/>
              <w:rPr>
                <w:rFonts w:ascii="Times New Roman" w:hAnsi="Times New Roman" w:cs="Times New Roman"/>
                <w:b/>
                <w:bCs/>
                <w:color w:val="000000" w:themeColor="text1"/>
                <w:sz w:val="20"/>
                <w:szCs w:val="20"/>
              </w:rPr>
            </w:pPr>
            <w:r w:rsidRPr="009A6D18">
              <w:rPr>
                <w:rFonts w:ascii="Times New Roman" w:hAnsi="Times New Roman" w:cs="Times New Roman"/>
                <w:b/>
                <w:bCs/>
                <w:color w:val="000000" w:themeColor="text1"/>
                <w:sz w:val="20"/>
                <w:szCs w:val="20"/>
              </w:rPr>
              <w:t>Todas as especificações foram definidas com base em necessidade real, observando o art. 20 da Lei nº 14.133/2021, que veda exigências excessivas ou que caracterizem artigos de luxo. As características técnicas descritas refletem apenas o desempenho mínimo necessário para adequada execução dos serviços.</w:t>
            </w:r>
          </w:p>
          <w:p w14:paraId="4B0F43B2" w14:textId="193E8374" w:rsidR="002E13EA" w:rsidRPr="009A6D18" w:rsidRDefault="00857427" w:rsidP="008257DA">
            <w:pPr>
              <w:spacing w:after="0" w:line="276" w:lineRule="auto"/>
              <w:ind w:firstLine="596"/>
              <w:rPr>
                <w:rFonts w:ascii="Times New Roman" w:hAnsi="Times New Roman" w:cs="Times New Roman"/>
                <w:color w:val="000000" w:themeColor="text1"/>
                <w:sz w:val="20"/>
                <w:szCs w:val="20"/>
              </w:rPr>
            </w:pPr>
            <w:r w:rsidRPr="009A6D18">
              <w:rPr>
                <w:rFonts w:ascii="Times New Roman" w:hAnsi="Times New Roman" w:cs="Times New Roman"/>
                <w:b/>
                <w:bCs/>
                <w:color w:val="000000" w:themeColor="text1"/>
                <w:sz w:val="20"/>
                <w:szCs w:val="20"/>
              </w:rPr>
              <w:t>Qualquer dúvida ou necessidade de esclarecimento adicional deve ser encaminhada ao Setor de</w:t>
            </w:r>
            <w:r w:rsidR="00671CD4" w:rsidRPr="009A6D18">
              <w:rPr>
                <w:rFonts w:ascii="Times New Roman" w:hAnsi="Times New Roman" w:cs="Times New Roman"/>
                <w:b/>
                <w:bCs/>
                <w:color w:val="000000" w:themeColor="text1"/>
                <w:sz w:val="20"/>
                <w:szCs w:val="20"/>
              </w:rPr>
              <w:t xml:space="preserve"> Licitações e Contratos</w:t>
            </w:r>
            <w:r w:rsidRPr="009A6D18">
              <w:rPr>
                <w:rFonts w:ascii="Times New Roman" w:hAnsi="Times New Roman" w:cs="Times New Roman"/>
                <w:b/>
                <w:bCs/>
                <w:color w:val="000000" w:themeColor="text1"/>
                <w:sz w:val="20"/>
                <w:szCs w:val="20"/>
              </w:rPr>
              <w:t>, responsável pelo processo licitatório, para garantir a correta interpretação das especificações e o adequado atendimento às necessidades do órgão público.</w:t>
            </w:r>
          </w:p>
        </w:tc>
      </w:tr>
    </w:tbl>
    <w:p w14:paraId="2DFBE378" w14:textId="72C75A47" w:rsidR="005A5CBF" w:rsidRPr="009A6D18" w:rsidRDefault="008F76F3" w:rsidP="008257DA">
      <w:pPr>
        <w:pStyle w:val="Default"/>
        <w:spacing w:line="276" w:lineRule="auto"/>
        <w:jc w:val="both"/>
        <w:rPr>
          <w:rFonts w:eastAsia="Times New Roman"/>
          <w:i/>
          <w:color w:val="auto"/>
          <w:sz w:val="20"/>
          <w:szCs w:val="20"/>
          <w:lang w:eastAsia="pt-BR"/>
        </w:rPr>
      </w:pPr>
      <w:r w:rsidRPr="009A6D18">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671CD4" w:rsidRPr="009A6D18" w14:paraId="69E22E35" w14:textId="77777777" w:rsidTr="004539D1">
        <w:tc>
          <w:tcPr>
            <w:tcW w:w="9209" w:type="dxa"/>
          </w:tcPr>
          <w:p w14:paraId="0ACCB255" w14:textId="30B74750" w:rsidR="00671CD4" w:rsidRPr="009A6D18" w:rsidRDefault="00671CD4"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 xml:space="preserve">4 – </w:t>
            </w:r>
            <w:r w:rsidR="00E82C00" w:rsidRPr="009A6D18">
              <w:rPr>
                <w:rFonts w:ascii="Times New Roman" w:eastAsia="Times New Roman" w:hAnsi="Times New Roman" w:cs="Times New Roman"/>
                <w:b/>
                <w:bCs/>
                <w:color w:val="000000"/>
                <w:sz w:val="20"/>
                <w:szCs w:val="20"/>
                <w:lang w:eastAsia="pt-BR"/>
              </w:rPr>
              <w:t>ANÁLISE DA CONTRATAÇÃO ANTERIOR:</w:t>
            </w:r>
          </w:p>
        </w:tc>
      </w:tr>
      <w:tr w:rsidR="00671CD4" w:rsidRPr="009A6D18" w14:paraId="7D990A58" w14:textId="77777777" w:rsidTr="00F00E89">
        <w:trPr>
          <w:trHeight w:val="477"/>
        </w:trPr>
        <w:tc>
          <w:tcPr>
            <w:tcW w:w="9209" w:type="dxa"/>
            <w:shd w:val="clear" w:color="auto" w:fill="F2F2F2" w:themeFill="background1" w:themeFillShade="F2"/>
          </w:tcPr>
          <w:p w14:paraId="2513A476" w14:textId="5A6FB316" w:rsidR="00671CD4" w:rsidRPr="009A6D18" w:rsidRDefault="00671CD4"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00E82C00" w:rsidRPr="009A6D18">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671CD4" w:rsidRPr="009A6D18" w14:paraId="0470445F" w14:textId="77777777" w:rsidTr="004539D1">
        <w:trPr>
          <w:trHeight w:val="249"/>
        </w:trPr>
        <w:tc>
          <w:tcPr>
            <w:tcW w:w="9209" w:type="dxa"/>
          </w:tcPr>
          <w:p w14:paraId="09DA68E2" w14:textId="77777777" w:rsidR="00FB0426" w:rsidRPr="009A6D18" w:rsidRDefault="00FB0426" w:rsidP="00FB0426">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As aquisições realizadas por meio dos Pregões Eletrônicos nº 005/2022 e nº 008/2022, destinadas à renovação e ampliação da frota municipal, apresentaram resultado satisfatório, uma vez que os veículos incorporados vêm atendendo de forma regular, contínua e eficiente às demandas operacionais da Administração Municipal, especialmente nas atividades relacionadas à execução de obras públicas, manutenção de vias urbanas e rurais e transporte de materiais.</w:t>
            </w:r>
          </w:p>
          <w:p w14:paraId="7A6C76B0" w14:textId="77777777" w:rsidR="00FB0426" w:rsidRPr="009A6D18" w:rsidRDefault="00FB0426" w:rsidP="00FB0426">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A experiência decorrente da utilização desses veículos permitiu identificar lições relevantes que orientam a presente contratação. Dentre os principais aprendizados, destaca-se a adequação do porte, da tração e da capacidade de carga dos veículos às condições do território municipal, caracterizado por vias não pavimentadas, aclives acentuados e uso intensivo. Verificou-se, ainda, que a padronização de especificações técnicas facilita a operação, reduz a curva de aprendizado dos servidores e contribui para maior eficiência na alocação da frota.</w:t>
            </w:r>
          </w:p>
          <w:p w14:paraId="0E84AA35" w14:textId="77777777" w:rsidR="00FB0426" w:rsidRPr="009A6D18" w:rsidRDefault="00FB0426" w:rsidP="00FB0426">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Outro aspecto relevante observado refere-se à importância da confiabilidade mecânica e da disponibilidade de assistência técnica regional, fatores que impactam diretamente o tempo de indisponibilidade dos veículos e os custos de manutenção. Os modelos adquiridos nos certames anteriores apresentaram desempenho satisfatório nesse aspecto, com manutenção regular e previsível, o que reforça a necessidade de manter requisitos mínimos de garantia, suporte técnico e disponibilidade de peças na presente contratação.</w:t>
            </w:r>
          </w:p>
          <w:p w14:paraId="2DF41965" w14:textId="77777777" w:rsidR="00FB0426" w:rsidRPr="009A6D18" w:rsidRDefault="00FB0426" w:rsidP="00FB0426">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Também se constatou que a definição de especificações técnicas compatíveis com padrões usuais de mercado, aliada a critérios objetivos de julgamento, contribuiu para a competitividade do certame e para a obtenção de propostas vantajosas, sem prejuízo da qualidade do objeto. Tal experiência orienta a adoção de requisitos atualizados, porém equivalentes em desempenho e funcionalidade, considerando a evolução tecnológica e as versões mais recentes dos modelos atualmente disponíveis.</w:t>
            </w:r>
          </w:p>
          <w:p w14:paraId="703D8DA7" w14:textId="0A80663C" w:rsidR="00671CD4" w:rsidRPr="009A6D18" w:rsidRDefault="00FB0426" w:rsidP="00FB0426">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Dessa forma, as contratações anteriores servem como parâmetro técnico e operacional para a presente aquisição, permitindo à Administração aprimorar o planejamento, ajustar especificações e mitigar riscos, sem caracterizar direcionamento, assegurando a seleção de veículos adequados às necessidades atuais do Município e alinhados ao interesse público, à eficiência administrativa e à boa gestão dos recursos públicos.</w:t>
            </w:r>
          </w:p>
        </w:tc>
      </w:tr>
    </w:tbl>
    <w:p w14:paraId="3CA115C3" w14:textId="77777777" w:rsidR="00671CD4" w:rsidRPr="009A6D18" w:rsidRDefault="00671CD4"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77F24F0B" w14:textId="77777777" w:rsidTr="00C3667F">
        <w:tc>
          <w:tcPr>
            <w:tcW w:w="9209" w:type="dxa"/>
          </w:tcPr>
          <w:p w14:paraId="26828342" w14:textId="7728EBC2" w:rsidR="008F76F3" w:rsidRPr="009A6D18" w:rsidRDefault="00E82C00" w:rsidP="008257DA">
            <w:pPr>
              <w:spacing w:after="0" w:line="276" w:lineRule="auto"/>
              <w:ind w:firstLine="0"/>
              <w:rPr>
                <w:rFonts w:ascii="Times New Roman" w:eastAsia="Times New Roman" w:hAnsi="Times New Roman" w:cs="Times New Roman"/>
                <w:b/>
                <w:bCs/>
                <w:color w:val="000000" w:themeColor="text1"/>
                <w:sz w:val="20"/>
                <w:szCs w:val="20"/>
                <w:lang w:eastAsia="pt-BR"/>
              </w:rPr>
            </w:pPr>
            <w:r w:rsidRPr="009A6D18">
              <w:rPr>
                <w:rFonts w:ascii="Times New Roman" w:eastAsia="Times New Roman" w:hAnsi="Times New Roman" w:cs="Times New Roman"/>
                <w:b/>
                <w:bCs/>
                <w:color w:val="000000" w:themeColor="text1"/>
                <w:sz w:val="20"/>
                <w:szCs w:val="20"/>
                <w:lang w:eastAsia="pt-BR"/>
              </w:rPr>
              <w:t>5</w:t>
            </w:r>
            <w:r w:rsidR="008F76F3" w:rsidRPr="009A6D18">
              <w:rPr>
                <w:rFonts w:ascii="Times New Roman" w:eastAsia="Times New Roman" w:hAnsi="Times New Roman" w:cs="Times New Roman"/>
                <w:b/>
                <w:bCs/>
                <w:color w:val="000000" w:themeColor="text1"/>
                <w:sz w:val="20"/>
                <w:szCs w:val="20"/>
                <w:lang w:eastAsia="pt-BR"/>
              </w:rPr>
              <w:t xml:space="preserve"> – ESTIMATIVA DAS QUANTIDADES</w:t>
            </w:r>
            <w:r w:rsidR="00FC4923" w:rsidRPr="009A6D18">
              <w:rPr>
                <w:rFonts w:ascii="Times New Roman" w:eastAsia="Times New Roman" w:hAnsi="Times New Roman" w:cs="Times New Roman"/>
                <w:b/>
                <w:bCs/>
                <w:color w:val="000000" w:themeColor="text1"/>
                <w:sz w:val="20"/>
                <w:szCs w:val="20"/>
                <w:lang w:eastAsia="pt-BR"/>
              </w:rPr>
              <w:t>:</w:t>
            </w:r>
          </w:p>
        </w:tc>
      </w:tr>
      <w:tr w:rsidR="008F76F3" w:rsidRPr="009A6D18" w14:paraId="1D789878" w14:textId="77777777" w:rsidTr="00C3667F">
        <w:tc>
          <w:tcPr>
            <w:tcW w:w="9209" w:type="dxa"/>
            <w:shd w:val="clear" w:color="auto" w:fill="F2F2F2" w:themeFill="background1" w:themeFillShade="F2"/>
          </w:tcPr>
          <w:p w14:paraId="25CF518F" w14:textId="593C0B7D" w:rsidR="008F76F3" w:rsidRPr="009A6D18" w:rsidRDefault="008F76F3" w:rsidP="008257DA">
            <w:pPr>
              <w:spacing w:after="0" w:line="276" w:lineRule="auto"/>
              <w:ind w:firstLine="0"/>
              <w:rPr>
                <w:rFonts w:ascii="Times New Roman" w:eastAsia="Times New Roman" w:hAnsi="Times New Roman" w:cs="Times New Roman"/>
                <w:color w:val="000000" w:themeColor="text1"/>
                <w:sz w:val="20"/>
                <w:szCs w:val="20"/>
                <w:lang w:eastAsia="pt-BR"/>
              </w:rPr>
            </w:pPr>
            <w:r w:rsidRPr="009A6D18">
              <w:rPr>
                <w:rFonts w:ascii="Times New Roman" w:eastAsia="Times New Roman" w:hAnsi="Times New Roman" w:cs="Times New Roman"/>
                <w:bCs/>
                <w:color w:val="000000" w:themeColor="text1"/>
                <w:sz w:val="20"/>
                <w:szCs w:val="20"/>
                <w:lang w:eastAsia="pt-BR"/>
              </w:rPr>
              <w:t xml:space="preserve">Fundamentação: </w:t>
            </w:r>
            <w:r w:rsidRPr="009A6D18">
              <w:rPr>
                <w:rFonts w:ascii="Times New Roman" w:eastAsia="Times New Roman" w:hAnsi="Times New Roman" w:cs="Times New Roman"/>
                <w:color w:val="000000" w:themeColor="text1"/>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9A6D18">
              <w:rPr>
                <w:rFonts w:ascii="Times New Roman" w:eastAsia="Times New Roman" w:hAnsi="Times New Roman" w:cs="Times New Roman"/>
                <w:color w:val="000000" w:themeColor="text1"/>
                <w:sz w:val="20"/>
                <w:szCs w:val="20"/>
                <w:lang w:eastAsia="pt-BR"/>
              </w:rPr>
              <w:t>:</w:t>
            </w:r>
          </w:p>
        </w:tc>
      </w:tr>
      <w:tr w:rsidR="008F76F3" w:rsidRPr="009A6D18" w14:paraId="47CF1596" w14:textId="77777777" w:rsidTr="00C3667F">
        <w:trPr>
          <w:trHeight w:val="249"/>
        </w:trPr>
        <w:tc>
          <w:tcPr>
            <w:tcW w:w="9209" w:type="dxa"/>
          </w:tcPr>
          <w:p w14:paraId="0049B507" w14:textId="77777777" w:rsidR="005A621E" w:rsidRPr="009A6D18" w:rsidRDefault="005A621E" w:rsidP="005A621E">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A Administração Municipal, por meio de suas equipes técnicas e operacionais, realizou levantamento detalhado das necessidades atuais da Secretaria Municipal de Obras, Infraestrutura e Mobilidade, considerando o volume de serviços executados, a extensão da malha viária urbana e rural, a demanda por transporte de materiais e a capacidade operacional da frota existente.</w:t>
            </w:r>
          </w:p>
          <w:p w14:paraId="29D8854F" w14:textId="77777777" w:rsidR="005A621E" w:rsidRPr="009A6D18" w:rsidRDefault="005A621E" w:rsidP="005A621E">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A análise evidenciou que a disponibilidade atual de veículos basculantes é insuficiente para atender, de forma simultânea e contínua, as frentes de trabalho mantidas pelo Município, especialmente aquelas relacionadas à manutenção de vias, execução de obras públicas, limpeza urbana e atendimento a demandas emergenciais. Verificou-se, ainda, que a utilização intensiva de um único veículo gera sobrecarga operacional, maior desgaste mecânico e risco de descontinuidade dos serviços em caso de manutenção corretiva ou indisponibilidade.</w:t>
            </w:r>
          </w:p>
          <w:p w14:paraId="0BE6CE44" w14:textId="77777777" w:rsidR="005A621E" w:rsidRPr="009A6D18" w:rsidRDefault="005A621E" w:rsidP="005A621E">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Diante desse cenário, concluiu-se pela necessidade de aquisição de 2 (dois) caminhões basculantes, quantidade mínima capaz de assegurar a continuidade dos serviços essenciais, permitir a atuação simultânea em diferentes frentes de trabalho e garantir redundância operacional, reduzindo riscos de paralisação e otimizando a alocação da frota.</w:t>
            </w:r>
          </w:p>
          <w:p w14:paraId="4B5EA7CB" w14:textId="77777777" w:rsidR="005A621E" w:rsidRPr="009A6D18" w:rsidRDefault="005A621E" w:rsidP="005A621E">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A estimativa das quantidades considerou, ainda, a complementaridade com os veículos já existentes, evitando duplicidade de funções, bem como a possibilidade de ganho de eficiência e economia de escala na contratação conjunta, seja na aquisição propriamente dita, seja nos custos de manutenção, operação e gestão da frota.</w:t>
            </w:r>
          </w:p>
          <w:p w14:paraId="0D3CC199" w14:textId="77777777" w:rsidR="005A621E" w:rsidRPr="009A6D18" w:rsidRDefault="005A621E" w:rsidP="005A621E">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Dessa forma, a definição da quantidade de 2 (dois) veículos revela-se necessária, adequada e proporcional às demandas atuais do Município de Paverama, assegurando atendimento eficaz às necessidades da Secretaria requisitante, melhoria da eficiência operacional e uso racional dos recursos públicos.</w:t>
            </w:r>
          </w:p>
          <w:p w14:paraId="0F2CE162" w14:textId="4BE0CD83" w:rsidR="00CC7762" w:rsidRPr="009A6D18" w:rsidRDefault="005A621E" w:rsidP="005A621E">
            <w:pPr>
              <w:spacing w:after="0" w:line="276" w:lineRule="auto"/>
              <w:ind w:firstLine="596"/>
              <w:rPr>
                <w:rFonts w:ascii="Times New Roman" w:eastAsia="Times New Roman" w:hAnsi="Times New Roman" w:cs="Times New Roman"/>
                <w:iCs/>
                <w:sz w:val="20"/>
                <w:szCs w:val="20"/>
                <w:lang w:eastAsia="pt-BR"/>
              </w:rPr>
            </w:pPr>
            <w:r w:rsidRPr="009A6D18">
              <w:rPr>
                <w:rFonts w:ascii="Times New Roman" w:eastAsia="Times New Roman" w:hAnsi="Times New Roman" w:cs="Times New Roman"/>
                <w:iCs/>
                <w:sz w:val="20"/>
                <w:szCs w:val="20"/>
                <w:lang w:eastAsia="pt-BR"/>
              </w:rPr>
              <w:t>As quantidades estimadas e as especificações mínimas que fundamentam esta estimativa encontram-se devidamente detalhadas nos documentos técnicos que instruem o presente Estudo Técnico Preliminar.</w:t>
            </w:r>
          </w:p>
        </w:tc>
      </w:tr>
    </w:tbl>
    <w:p w14:paraId="6E7C030A" w14:textId="77777777" w:rsidR="008F76F3" w:rsidRPr="009A6D18" w:rsidRDefault="008F76F3"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21089FAE" w14:textId="77777777" w:rsidTr="00C3667F">
        <w:tc>
          <w:tcPr>
            <w:tcW w:w="9209" w:type="dxa"/>
          </w:tcPr>
          <w:p w14:paraId="268D97E3" w14:textId="44298FCB" w:rsidR="008F76F3" w:rsidRPr="009A6D18" w:rsidRDefault="00E82C00"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6</w:t>
            </w:r>
            <w:r w:rsidR="008F76F3" w:rsidRPr="009A6D18">
              <w:rPr>
                <w:rFonts w:ascii="Times New Roman" w:hAnsi="Times New Roman" w:cs="Times New Roman"/>
                <w:b/>
                <w:sz w:val="20"/>
                <w:szCs w:val="20"/>
              </w:rPr>
              <w:t xml:space="preserve"> – LEVANTAMENTO DE MERCADO</w:t>
            </w:r>
            <w:r w:rsidR="00FC4923" w:rsidRPr="009A6D18">
              <w:rPr>
                <w:rFonts w:ascii="Times New Roman" w:hAnsi="Times New Roman" w:cs="Times New Roman"/>
                <w:b/>
                <w:sz w:val="20"/>
                <w:szCs w:val="20"/>
              </w:rPr>
              <w:t>:</w:t>
            </w:r>
          </w:p>
        </w:tc>
      </w:tr>
      <w:tr w:rsidR="008F76F3" w:rsidRPr="009A6D18" w14:paraId="2B9D2A83" w14:textId="77777777" w:rsidTr="009A6D18">
        <w:tc>
          <w:tcPr>
            <w:tcW w:w="9209" w:type="dxa"/>
            <w:tcBorders>
              <w:bottom w:val="single" w:sz="4" w:space="0" w:color="auto"/>
            </w:tcBorders>
            <w:shd w:val="clear" w:color="auto" w:fill="F2F2F2" w:themeFill="background1" w:themeFillShade="F2"/>
          </w:tcPr>
          <w:p w14:paraId="62E2A33C" w14:textId="5EF28DD9"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9A6D18">
              <w:rPr>
                <w:rFonts w:ascii="Times New Roman" w:eastAsia="Times New Roman" w:hAnsi="Times New Roman" w:cs="Times New Roman"/>
                <w:color w:val="000000"/>
                <w:sz w:val="20"/>
                <w:szCs w:val="20"/>
                <w:lang w:eastAsia="pt-BR"/>
              </w:rPr>
              <w:t>inciso V do § 1° do art. 18 da Lei 14.133/2021)</w:t>
            </w:r>
            <w:r w:rsidR="00E776F1" w:rsidRPr="009A6D18">
              <w:rPr>
                <w:rFonts w:ascii="Times New Roman" w:eastAsia="Times New Roman" w:hAnsi="Times New Roman" w:cs="Times New Roman"/>
                <w:color w:val="000000"/>
                <w:sz w:val="20"/>
                <w:szCs w:val="20"/>
                <w:lang w:eastAsia="pt-BR"/>
              </w:rPr>
              <w:t>:</w:t>
            </w:r>
          </w:p>
        </w:tc>
      </w:tr>
      <w:tr w:rsidR="008F76F3" w:rsidRPr="009A6D18" w14:paraId="60E2412E" w14:textId="77777777" w:rsidTr="009A6D18">
        <w:trPr>
          <w:trHeight w:val="983"/>
        </w:trPr>
        <w:tc>
          <w:tcPr>
            <w:tcW w:w="9209" w:type="dxa"/>
          </w:tcPr>
          <w:p w14:paraId="16AEA17C" w14:textId="77777777" w:rsidR="005A621E" w:rsidRPr="009A6D18" w:rsidRDefault="005A621E" w:rsidP="005A621E">
            <w:pPr>
              <w:spacing w:after="0" w:line="276" w:lineRule="auto"/>
              <w:ind w:firstLine="598"/>
              <w:rPr>
                <w:rFonts w:ascii="Times New Roman" w:hAnsi="Times New Roman" w:cs="Times New Roman"/>
                <w:sz w:val="20"/>
                <w:szCs w:val="20"/>
              </w:rPr>
            </w:pPr>
            <w:r w:rsidRPr="009A6D18">
              <w:rPr>
                <w:rFonts w:ascii="Times New Roman" w:hAnsi="Times New Roman" w:cs="Times New Roman"/>
                <w:sz w:val="20"/>
                <w:szCs w:val="20"/>
              </w:rPr>
              <w:t>Nos termos da legislação vigente, foi realizado levantamento de mercado com o objetivo de identificar as alternativas disponíveis para atendimento da demanda por caminhões basculantes, considerando as necessidades operacionais da Secretaria Municipal de Obras, Infraestrutura e Mobilidade, bem como o suporte às demais secretarias municipais. A análise abrangeu a disponibilidade de fornecedores, modalidades de contratação existentes, características técnicas dos veículos ofertados, custos envolvidos, prazos, condições de garantia, assistência técnica e impactos operacionais de cada solução.</w:t>
            </w:r>
          </w:p>
          <w:p w14:paraId="777A7C94" w14:textId="77777777" w:rsidR="005A621E" w:rsidRPr="009A6D18" w:rsidRDefault="005A621E" w:rsidP="005A621E">
            <w:pPr>
              <w:spacing w:after="0" w:line="276" w:lineRule="auto"/>
              <w:ind w:firstLine="598"/>
              <w:rPr>
                <w:rFonts w:ascii="Times New Roman" w:hAnsi="Times New Roman" w:cs="Times New Roman"/>
                <w:sz w:val="20"/>
                <w:szCs w:val="20"/>
              </w:rPr>
            </w:pPr>
            <w:r w:rsidRPr="009A6D18">
              <w:rPr>
                <w:rFonts w:ascii="Times New Roman" w:hAnsi="Times New Roman" w:cs="Times New Roman"/>
                <w:sz w:val="20"/>
                <w:szCs w:val="20"/>
              </w:rPr>
              <w:t>Os caminhões basculantes constituem equipamentos essenciais e de uso contínuo, empregados no transporte de materiais, execução de obras públicas, manutenção de vias urbanas e rurais, limpeza urbana e atendimento a situações emergenciais. Trata-se, portanto, de bem estratégico para a Administração Municipal, cuja indisponibilidade impacta diretamente a continuidade e a eficiência dos serviços públicos.</w:t>
            </w:r>
          </w:p>
          <w:p w14:paraId="6EF1A130" w14:textId="77777777" w:rsidR="005A621E" w:rsidRPr="009A6D18" w:rsidRDefault="005A621E" w:rsidP="005A621E">
            <w:pPr>
              <w:spacing w:after="0" w:line="276" w:lineRule="auto"/>
              <w:ind w:firstLine="598"/>
              <w:rPr>
                <w:rFonts w:ascii="Times New Roman" w:hAnsi="Times New Roman" w:cs="Times New Roman"/>
                <w:sz w:val="20"/>
                <w:szCs w:val="20"/>
              </w:rPr>
            </w:pPr>
            <w:r w:rsidRPr="009A6D18">
              <w:rPr>
                <w:rFonts w:ascii="Times New Roman" w:hAnsi="Times New Roman" w:cs="Times New Roman"/>
                <w:sz w:val="20"/>
                <w:szCs w:val="20"/>
              </w:rPr>
              <w:t>Foram analisadas as seguintes alternativas de solução:</w:t>
            </w:r>
          </w:p>
          <w:p w14:paraId="16C76244" w14:textId="05B2953C" w:rsidR="005A621E" w:rsidRPr="009A6D18" w:rsidRDefault="005A621E" w:rsidP="005A621E">
            <w:pPr>
              <w:spacing w:after="0" w:line="276" w:lineRule="auto"/>
              <w:ind w:firstLine="598"/>
              <w:rPr>
                <w:rFonts w:ascii="Times New Roman" w:hAnsi="Times New Roman" w:cs="Times New Roman"/>
                <w:sz w:val="20"/>
                <w:szCs w:val="20"/>
              </w:rPr>
            </w:pPr>
            <w:r w:rsidRPr="009A6D18">
              <w:rPr>
                <w:rFonts w:ascii="Times New Roman" w:hAnsi="Times New Roman" w:cs="Times New Roman"/>
                <w:sz w:val="20"/>
                <w:szCs w:val="20"/>
              </w:rPr>
              <w:t>1) Aquisição direta por meio de Pregão Eletrônico</w:t>
            </w:r>
            <w:r w:rsidR="00396168">
              <w:rPr>
                <w:rFonts w:ascii="Times New Roman" w:hAnsi="Times New Roman" w:cs="Times New Roman"/>
                <w:sz w:val="20"/>
                <w:szCs w:val="20"/>
              </w:rPr>
              <w:t xml:space="preserve">: </w:t>
            </w:r>
            <w:r w:rsidRPr="009A6D18">
              <w:rPr>
                <w:rFonts w:ascii="Times New Roman" w:hAnsi="Times New Roman" w:cs="Times New Roman"/>
                <w:sz w:val="20"/>
                <w:szCs w:val="20"/>
              </w:rPr>
              <w:t>Consiste na aquisição definitiva dos veículos, assegurando incorporação permanente à frota municipal. Essa alternativa permite ampla competitividade, transparência e obtenção de preços mais vantajosos, além de possibilitar padronização da frota, maior controle patrimonial e redução de custos a médio e longo prazo. Mostra-se especialmente adequada quando se trata de equipamento de uso contínuo e prolongado, como é o caso dos caminhões basculantes.</w:t>
            </w:r>
          </w:p>
          <w:p w14:paraId="119B42E8" w14:textId="62414F34" w:rsidR="005A621E" w:rsidRPr="009A6D18" w:rsidRDefault="005A621E" w:rsidP="005A621E">
            <w:pPr>
              <w:spacing w:after="0" w:line="276" w:lineRule="auto"/>
              <w:ind w:firstLine="598"/>
              <w:rPr>
                <w:rFonts w:ascii="Times New Roman" w:hAnsi="Times New Roman" w:cs="Times New Roman"/>
                <w:sz w:val="20"/>
                <w:szCs w:val="20"/>
              </w:rPr>
            </w:pPr>
            <w:r w:rsidRPr="009A6D18">
              <w:rPr>
                <w:rFonts w:ascii="Times New Roman" w:hAnsi="Times New Roman" w:cs="Times New Roman"/>
                <w:sz w:val="20"/>
                <w:szCs w:val="20"/>
              </w:rPr>
              <w:t>2) Pregão Eletrônico com Sistema de Registro de Preços (SRP)</w:t>
            </w:r>
            <w:r w:rsidR="00396168">
              <w:rPr>
                <w:rFonts w:ascii="Times New Roman" w:hAnsi="Times New Roman" w:cs="Times New Roman"/>
                <w:sz w:val="20"/>
                <w:szCs w:val="20"/>
              </w:rPr>
              <w:t xml:space="preserve">: </w:t>
            </w:r>
            <w:r w:rsidRPr="009A6D18">
              <w:rPr>
                <w:rFonts w:ascii="Times New Roman" w:hAnsi="Times New Roman" w:cs="Times New Roman"/>
                <w:sz w:val="20"/>
                <w:szCs w:val="20"/>
              </w:rPr>
              <w:t>Permite a contratação futura dos veículos conforme a demanda e a disponibilidade financeira, garantindo flexibilidade administrativa e previsibilidade de preços durante a vigência da ata. Embora a necessidade imediata identifique a aquisição mínima de 2 (dois) veículos, o SRP possibilita eventual ampliação da frota sem necessidade de novo certame, o que representa ganho de eficiência administrativa e redução de custos processuais.</w:t>
            </w:r>
          </w:p>
          <w:p w14:paraId="5507B36E" w14:textId="4929D99D" w:rsidR="005A621E" w:rsidRPr="009A6D18" w:rsidRDefault="005A621E" w:rsidP="005A621E">
            <w:pPr>
              <w:spacing w:after="0" w:line="276" w:lineRule="auto"/>
              <w:ind w:firstLine="598"/>
              <w:rPr>
                <w:rFonts w:ascii="Times New Roman" w:hAnsi="Times New Roman" w:cs="Times New Roman"/>
                <w:sz w:val="20"/>
                <w:szCs w:val="20"/>
              </w:rPr>
            </w:pPr>
            <w:r w:rsidRPr="009A6D18">
              <w:rPr>
                <w:rFonts w:ascii="Times New Roman" w:hAnsi="Times New Roman" w:cs="Times New Roman"/>
                <w:sz w:val="20"/>
                <w:szCs w:val="20"/>
              </w:rPr>
              <w:t>3) Adesão a atas de registro de preços vigentes</w:t>
            </w:r>
            <w:r w:rsidR="00396168">
              <w:rPr>
                <w:rFonts w:ascii="Times New Roman" w:hAnsi="Times New Roman" w:cs="Times New Roman"/>
                <w:sz w:val="20"/>
                <w:szCs w:val="20"/>
              </w:rPr>
              <w:t xml:space="preserve">: </w:t>
            </w:r>
            <w:r w:rsidRPr="009A6D18">
              <w:rPr>
                <w:rFonts w:ascii="Times New Roman" w:hAnsi="Times New Roman" w:cs="Times New Roman"/>
                <w:sz w:val="20"/>
                <w:szCs w:val="20"/>
              </w:rPr>
              <w:t>A adesão a atas existentes poderia reduzir prazos, porém apresenta riscos relevantes de inadequação técnica, uma vez que os veículos registrados podem não atender plenamente às especificações necessárias ao Município, além de limitações quanto a quantitativos, prazos e condições de entrega. Tal alternativa, portanto, revela-se menos aderente ao interesse público no caso concreto.</w:t>
            </w:r>
          </w:p>
          <w:p w14:paraId="622D9EDD" w14:textId="74D207AC" w:rsidR="00522921" w:rsidRPr="009A6D18" w:rsidRDefault="005A621E" w:rsidP="005A621E">
            <w:pPr>
              <w:spacing w:after="0" w:line="276" w:lineRule="auto"/>
              <w:ind w:firstLine="598"/>
              <w:rPr>
                <w:rFonts w:ascii="Times New Roman" w:hAnsi="Times New Roman" w:cs="Times New Roman"/>
                <w:b/>
                <w:bCs/>
                <w:sz w:val="20"/>
                <w:szCs w:val="20"/>
              </w:rPr>
            </w:pPr>
            <w:r w:rsidRPr="009A6D18">
              <w:rPr>
                <w:rFonts w:ascii="Times New Roman" w:hAnsi="Times New Roman" w:cs="Times New Roman"/>
                <w:sz w:val="20"/>
                <w:szCs w:val="20"/>
              </w:rPr>
              <w:t>4) Locação de caminhões basculantes</w:t>
            </w:r>
            <w:r w:rsidR="00396168">
              <w:rPr>
                <w:rFonts w:ascii="Times New Roman" w:hAnsi="Times New Roman" w:cs="Times New Roman"/>
                <w:sz w:val="20"/>
                <w:szCs w:val="20"/>
              </w:rPr>
              <w:t xml:space="preserve">: </w:t>
            </w:r>
            <w:r w:rsidRPr="009A6D18">
              <w:rPr>
                <w:rFonts w:ascii="Times New Roman" w:hAnsi="Times New Roman" w:cs="Times New Roman"/>
                <w:sz w:val="20"/>
                <w:szCs w:val="20"/>
              </w:rPr>
              <w:t>A locação de veículos foi analisada como alternativa possível para atendimento da demanda. Todavia, constatou-se que essa modalidade apresenta custo global significativamente superior quando considerada a necessidade de uso contínuo e permanente, além de restringir a disponibilidade dos veículos conforme contratos de curto prazo. Soma-se a isso a menor flexibilidade operacional, a dependência de terceiros para manutenção da frota e a ausência de incorporação patrimonial, fatores que tornam a locação menos vantajosa para a Administração Municipal no médio e longo prazo. A locação mostra-se mais adequada apenas para demandas temporárias ou excepcionais, o que não se verifica no presente caso.</w:t>
            </w:r>
          </w:p>
          <w:p w14:paraId="5A5A35EA" w14:textId="1716D672" w:rsidR="008257DA" w:rsidRPr="009A6D18" w:rsidRDefault="008257DA" w:rsidP="00134F09">
            <w:pPr>
              <w:spacing w:after="0" w:line="276" w:lineRule="auto"/>
              <w:ind w:firstLine="0"/>
              <w:jc w:val="center"/>
              <w:rPr>
                <w:rFonts w:ascii="Times New Roman" w:hAnsi="Times New Roman" w:cs="Times New Roman"/>
                <w:b/>
                <w:bCs/>
                <w:sz w:val="20"/>
                <w:szCs w:val="20"/>
              </w:rPr>
            </w:pPr>
            <w:r w:rsidRPr="009A6D18">
              <w:rPr>
                <w:rFonts w:ascii="Times New Roman" w:hAnsi="Times New Roman" w:cs="Times New Roman"/>
                <w:b/>
                <w:bCs/>
                <w:sz w:val="20"/>
                <w:szCs w:val="20"/>
              </w:rPr>
              <w:t>QUADRO COMPARATIVO DE ALTERNATIVAS: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1"/>
              <w:gridCol w:w="1638"/>
              <w:gridCol w:w="1638"/>
              <w:gridCol w:w="1638"/>
              <w:gridCol w:w="1638"/>
            </w:tblGrid>
            <w:tr w:rsidR="009A6D18" w:rsidRPr="005A621E" w14:paraId="14A3CC21" w14:textId="77777777" w:rsidTr="009A6D18">
              <w:trPr>
                <w:tblHeader/>
                <w:tblCellSpacing w:w="15" w:type="dxa"/>
              </w:trPr>
              <w:tc>
                <w:tcPr>
                  <w:tcW w:w="0" w:type="auto"/>
                  <w:vAlign w:val="center"/>
                  <w:hideMark/>
                </w:tcPr>
                <w:p w14:paraId="2A2DD975" w14:textId="77777777" w:rsidR="005A621E" w:rsidRPr="005A621E" w:rsidRDefault="005A621E" w:rsidP="005A621E">
                  <w:pPr>
                    <w:spacing w:after="0"/>
                    <w:ind w:firstLine="0"/>
                    <w:contextualSpacing w:val="0"/>
                    <w:jc w:val="center"/>
                    <w:rPr>
                      <w:rFonts w:ascii="Times New Roman" w:eastAsia="Times New Roman" w:hAnsi="Times New Roman" w:cs="Times New Roman"/>
                      <w:b/>
                      <w:bCs/>
                      <w:sz w:val="20"/>
                      <w:szCs w:val="20"/>
                      <w:lang w:eastAsia="pt-BR"/>
                    </w:rPr>
                  </w:pPr>
                  <w:r w:rsidRPr="005A621E">
                    <w:rPr>
                      <w:rFonts w:ascii="Times New Roman" w:eastAsia="Times New Roman" w:hAnsi="Times New Roman" w:cs="Times New Roman"/>
                      <w:b/>
                      <w:bCs/>
                      <w:sz w:val="20"/>
                      <w:szCs w:val="20"/>
                      <w:lang w:eastAsia="pt-BR"/>
                    </w:rPr>
                    <w:t>Critérios</w:t>
                  </w:r>
                </w:p>
              </w:tc>
              <w:tc>
                <w:tcPr>
                  <w:tcW w:w="1608" w:type="dxa"/>
                  <w:vAlign w:val="center"/>
                  <w:hideMark/>
                </w:tcPr>
                <w:p w14:paraId="3BFC2390" w14:textId="77777777" w:rsidR="005A621E" w:rsidRPr="005A621E" w:rsidRDefault="005A621E" w:rsidP="005A621E">
                  <w:pPr>
                    <w:spacing w:after="0"/>
                    <w:ind w:firstLine="0"/>
                    <w:contextualSpacing w:val="0"/>
                    <w:jc w:val="center"/>
                    <w:rPr>
                      <w:rFonts w:ascii="Times New Roman" w:eastAsia="Times New Roman" w:hAnsi="Times New Roman" w:cs="Times New Roman"/>
                      <w:b/>
                      <w:bCs/>
                      <w:sz w:val="20"/>
                      <w:szCs w:val="20"/>
                      <w:lang w:eastAsia="pt-BR"/>
                    </w:rPr>
                  </w:pPr>
                  <w:r w:rsidRPr="005A621E">
                    <w:rPr>
                      <w:rFonts w:ascii="Times New Roman" w:eastAsia="Times New Roman" w:hAnsi="Times New Roman" w:cs="Times New Roman"/>
                      <w:b/>
                      <w:bCs/>
                      <w:sz w:val="20"/>
                      <w:szCs w:val="20"/>
                      <w:lang w:eastAsia="pt-BR"/>
                    </w:rPr>
                    <w:t>Aquisição Direta</w:t>
                  </w:r>
                </w:p>
              </w:tc>
              <w:tc>
                <w:tcPr>
                  <w:tcW w:w="1608" w:type="dxa"/>
                  <w:vAlign w:val="center"/>
                  <w:hideMark/>
                </w:tcPr>
                <w:p w14:paraId="52ED1EC8" w14:textId="77777777" w:rsidR="005A621E" w:rsidRPr="005A621E" w:rsidRDefault="005A621E" w:rsidP="005A621E">
                  <w:pPr>
                    <w:spacing w:after="0"/>
                    <w:ind w:firstLine="0"/>
                    <w:contextualSpacing w:val="0"/>
                    <w:jc w:val="center"/>
                    <w:rPr>
                      <w:rFonts w:ascii="Times New Roman" w:eastAsia="Times New Roman" w:hAnsi="Times New Roman" w:cs="Times New Roman"/>
                      <w:b/>
                      <w:bCs/>
                      <w:sz w:val="20"/>
                      <w:szCs w:val="20"/>
                      <w:lang w:eastAsia="pt-BR"/>
                    </w:rPr>
                  </w:pPr>
                  <w:r w:rsidRPr="005A621E">
                    <w:rPr>
                      <w:rFonts w:ascii="Times New Roman" w:eastAsia="Times New Roman" w:hAnsi="Times New Roman" w:cs="Times New Roman"/>
                      <w:b/>
                      <w:bCs/>
                      <w:sz w:val="20"/>
                      <w:szCs w:val="20"/>
                      <w:lang w:eastAsia="pt-BR"/>
                    </w:rPr>
                    <w:t>SRP</w:t>
                  </w:r>
                </w:p>
              </w:tc>
              <w:tc>
                <w:tcPr>
                  <w:tcW w:w="1608" w:type="dxa"/>
                  <w:vAlign w:val="center"/>
                  <w:hideMark/>
                </w:tcPr>
                <w:p w14:paraId="6DC2C5D4" w14:textId="77777777" w:rsidR="005A621E" w:rsidRPr="005A621E" w:rsidRDefault="005A621E" w:rsidP="005A621E">
                  <w:pPr>
                    <w:spacing w:after="0"/>
                    <w:ind w:firstLine="0"/>
                    <w:contextualSpacing w:val="0"/>
                    <w:jc w:val="center"/>
                    <w:rPr>
                      <w:rFonts w:ascii="Times New Roman" w:eastAsia="Times New Roman" w:hAnsi="Times New Roman" w:cs="Times New Roman"/>
                      <w:b/>
                      <w:bCs/>
                      <w:sz w:val="20"/>
                      <w:szCs w:val="20"/>
                      <w:lang w:eastAsia="pt-BR"/>
                    </w:rPr>
                  </w:pPr>
                  <w:r w:rsidRPr="005A621E">
                    <w:rPr>
                      <w:rFonts w:ascii="Times New Roman" w:eastAsia="Times New Roman" w:hAnsi="Times New Roman" w:cs="Times New Roman"/>
                      <w:b/>
                      <w:bCs/>
                      <w:sz w:val="20"/>
                      <w:szCs w:val="20"/>
                      <w:lang w:eastAsia="pt-BR"/>
                    </w:rPr>
                    <w:t>Atas Existentes</w:t>
                  </w:r>
                </w:p>
              </w:tc>
              <w:tc>
                <w:tcPr>
                  <w:tcW w:w="1593" w:type="dxa"/>
                  <w:vAlign w:val="center"/>
                  <w:hideMark/>
                </w:tcPr>
                <w:p w14:paraId="642C5AC9" w14:textId="77777777" w:rsidR="005A621E" w:rsidRPr="005A621E" w:rsidRDefault="005A621E" w:rsidP="005A621E">
                  <w:pPr>
                    <w:spacing w:after="0"/>
                    <w:ind w:firstLine="0"/>
                    <w:contextualSpacing w:val="0"/>
                    <w:jc w:val="center"/>
                    <w:rPr>
                      <w:rFonts w:ascii="Times New Roman" w:eastAsia="Times New Roman" w:hAnsi="Times New Roman" w:cs="Times New Roman"/>
                      <w:b/>
                      <w:bCs/>
                      <w:sz w:val="20"/>
                      <w:szCs w:val="20"/>
                      <w:lang w:eastAsia="pt-BR"/>
                    </w:rPr>
                  </w:pPr>
                  <w:r w:rsidRPr="005A621E">
                    <w:rPr>
                      <w:rFonts w:ascii="Times New Roman" w:eastAsia="Times New Roman" w:hAnsi="Times New Roman" w:cs="Times New Roman"/>
                      <w:b/>
                      <w:bCs/>
                      <w:sz w:val="20"/>
                      <w:szCs w:val="20"/>
                      <w:lang w:eastAsia="pt-BR"/>
                    </w:rPr>
                    <w:t>Locação</w:t>
                  </w:r>
                </w:p>
              </w:tc>
            </w:tr>
            <w:tr w:rsidR="009A6D18" w:rsidRPr="005A621E" w14:paraId="3A370C83" w14:textId="77777777" w:rsidTr="009A6D18">
              <w:trPr>
                <w:tblCellSpacing w:w="15" w:type="dxa"/>
              </w:trPr>
              <w:tc>
                <w:tcPr>
                  <w:tcW w:w="0" w:type="auto"/>
                  <w:vAlign w:val="center"/>
                  <w:hideMark/>
                </w:tcPr>
                <w:p w14:paraId="6ADAD22C" w14:textId="77777777" w:rsidR="005A621E" w:rsidRPr="005A621E" w:rsidRDefault="005A621E" w:rsidP="005A621E">
                  <w:pPr>
                    <w:spacing w:after="0"/>
                    <w:ind w:firstLine="0"/>
                    <w:contextualSpacing w:val="0"/>
                    <w:jc w:val="left"/>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Custo Global</w:t>
                  </w:r>
                </w:p>
              </w:tc>
              <w:tc>
                <w:tcPr>
                  <w:tcW w:w="1608" w:type="dxa"/>
                  <w:vAlign w:val="center"/>
                  <w:hideMark/>
                </w:tcPr>
                <w:p w14:paraId="67BDC710"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Baixo</w:t>
                  </w:r>
                </w:p>
              </w:tc>
              <w:tc>
                <w:tcPr>
                  <w:tcW w:w="1608" w:type="dxa"/>
                  <w:vAlign w:val="center"/>
                  <w:hideMark/>
                </w:tcPr>
                <w:p w14:paraId="768A8BFF"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Baixo</w:t>
                  </w:r>
                </w:p>
              </w:tc>
              <w:tc>
                <w:tcPr>
                  <w:tcW w:w="1608" w:type="dxa"/>
                  <w:vAlign w:val="center"/>
                  <w:hideMark/>
                </w:tcPr>
                <w:p w14:paraId="3C29B803"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Médio</w:t>
                  </w:r>
                </w:p>
              </w:tc>
              <w:tc>
                <w:tcPr>
                  <w:tcW w:w="1593" w:type="dxa"/>
                  <w:vAlign w:val="center"/>
                  <w:hideMark/>
                </w:tcPr>
                <w:p w14:paraId="27852707"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Alto</w:t>
                  </w:r>
                </w:p>
              </w:tc>
            </w:tr>
            <w:tr w:rsidR="009A6D18" w:rsidRPr="005A621E" w14:paraId="78F890C6" w14:textId="77777777" w:rsidTr="009A6D18">
              <w:trPr>
                <w:tblCellSpacing w:w="15" w:type="dxa"/>
              </w:trPr>
              <w:tc>
                <w:tcPr>
                  <w:tcW w:w="0" w:type="auto"/>
                  <w:vAlign w:val="center"/>
                  <w:hideMark/>
                </w:tcPr>
                <w:p w14:paraId="6CE7D6AD" w14:textId="77777777" w:rsidR="005A621E" w:rsidRPr="005A621E" w:rsidRDefault="005A621E" w:rsidP="005A621E">
                  <w:pPr>
                    <w:spacing w:after="0"/>
                    <w:ind w:firstLine="0"/>
                    <w:contextualSpacing w:val="0"/>
                    <w:jc w:val="left"/>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Eficiência Operacional</w:t>
                  </w:r>
                </w:p>
              </w:tc>
              <w:tc>
                <w:tcPr>
                  <w:tcW w:w="1608" w:type="dxa"/>
                  <w:vAlign w:val="center"/>
                  <w:hideMark/>
                </w:tcPr>
                <w:p w14:paraId="1523A9EE"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Alta</w:t>
                  </w:r>
                </w:p>
              </w:tc>
              <w:tc>
                <w:tcPr>
                  <w:tcW w:w="1608" w:type="dxa"/>
                  <w:vAlign w:val="center"/>
                  <w:hideMark/>
                </w:tcPr>
                <w:p w14:paraId="143AC556"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Alta</w:t>
                  </w:r>
                </w:p>
              </w:tc>
              <w:tc>
                <w:tcPr>
                  <w:tcW w:w="1608" w:type="dxa"/>
                  <w:vAlign w:val="center"/>
                  <w:hideMark/>
                </w:tcPr>
                <w:p w14:paraId="2DB13EB9"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Média</w:t>
                  </w:r>
                </w:p>
              </w:tc>
              <w:tc>
                <w:tcPr>
                  <w:tcW w:w="1593" w:type="dxa"/>
                  <w:vAlign w:val="center"/>
                  <w:hideMark/>
                </w:tcPr>
                <w:p w14:paraId="03C007D1"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Média</w:t>
                  </w:r>
                </w:p>
              </w:tc>
            </w:tr>
            <w:tr w:rsidR="009A6D18" w:rsidRPr="005A621E" w14:paraId="7C44BAA5" w14:textId="77777777" w:rsidTr="009A6D18">
              <w:trPr>
                <w:tblCellSpacing w:w="15" w:type="dxa"/>
              </w:trPr>
              <w:tc>
                <w:tcPr>
                  <w:tcW w:w="0" w:type="auto"/>
                  <w:vAlign w:val="center"/>
                  <w:hideMark/>
                </w:tcPr>
                <w:p w14:paraId="72D6F071" w14:textId="77777777" w:rsidR="005A621E" w:rsidRPr="005A621E" w:rsidRDefault="005A621E" w:rsidP="005A621E">
                  <w:pPr>
                    <w:spacing w:after="0"/>
                    <w:ind w:firstLine="0"/>
                    <w:contextualSpacing w:val="0"/>
                    <w:jc w:val="left"/>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Continuidade do Serviço</w:t>
                  </w:r>
                </w:p>
              </w:tc>
              <w:tc>
                <w:tcPr>
                  <w:tcW w:w="1608" w:type="dxa"/>
                  <w:vAlign w:val="center"/>
                  <w:hideMark/>
                </w:tcPr>
                <w:p w14:paraId="3AD30A46"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Alta</w:t>
                  </w:r>
                </w:p>
              </w:tc>
              <w:tc>
                <w:tcPr>
                  <w:tcW w:w="1608" w:type="dxa"/>
                  <w:vAlign w:val="center"/>
                  <w:hideMark/>
                </w:tcPr>
                <w:p w14:paraId="4D3DF692"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Alta</w:t>
                  </w:r>
                </w:p>
              </w:tc>
              <w:tc>
                <w:tcPr>
                  <w:tcW w:w="1608" w:type="dxa"/>
                  <w:vAlign w:val="center"/>
                  <w:hideMark/>
                </w:tcPr>
                <w:p w14:paraId="5D292264"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Média</w:t>
                  </w:r>
                </w:p>
              </w:tc>
              <w:tc>
                <w:tcPr>
                  <w:tcW w:w="1593" w:type="dxa"/>
                  <w:vAlign w:val="center"/>
                  <w:hideMark/>
                </w:tcPr>
                <w:p w14:paraId="0E1950FD"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Baixa</w:t>
                  </w:r>
                </w:p>
              </w:tc>
            </w:tr>
            <w:tr w:rsidR="009A6D18" w:rsidRPr="005A621E" w14:paraId="371D69D3" w14:textId="77777777" w:rsidTr="009A6D18">
              <w:trPr>
                <w:tblCellSpacing w:w="15" w:type="dxa"/>
              </w:trPr>
              <w:tc>
                <w:tcPr>
                  <w:tcW w:w="0" w:type="auto"/>
                  <w:vAlign w:val="center"/>
                  <w:hideMark/>
                </w:tcPr>
                <w:p w14:paraId="73B949BE" w14:textId="77777777" w:rsidR="005A621E" w:rsidRPr="005A621E" w:rsidRDefault="005A621E" w:rsidP="005A621E">
                  <w:pPr>
                    <w:spacing w:after="0"/>
                    <w:ind w:firstLine="0"/>
                    <w:contextualSpacing w:val="0"/>
                    <w:jc w:val="left"/>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Flexibilidade Administrativa</w:t>
                  </w:r>
                </w:p>
              </w:tc>
              <w:tc>
                <w:tcPr>
                  <w:tcW w:w="1608" w:type="dxa"/>
                  <w:vAlign w:val="center"/>
                  <w:hideMark/>
                </w:tcPr>
                <w:p w14:paraId="264EFD54"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Média</w:t>
                  </w:r>
                </w:p>
              </w:tc>
              <w:tc>
                <w:tcPr>
                  <w:tcW w:w="1608" w:type="dxa"/>
                  <w:vAlign w:val="center"/>
                  <w:hideMark/>
                </w:tcPr>
                <w:p w14:paraId="3F594A5F"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Alta</w:t>
                  </w:r>
                </w:p>
              </w:tc>
              <w:tc>
                <w:tcPr>
                  <w:tcW w:w="1608" w:type="dxa"/>
                  <w:vAlign w:val="center"/>
                  <w:hideMark/>
                </w:tcPr>
                <w:p w14:paraId="5F86E398"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Baixa</w:t>
                  </w:r>
                </w:p>
              </w:tc>
              <w:tc>
                <w:tcPr>
                  <w:tcW w:w="1593" w:type="dxa"/>
                  <w:vAlign w:val="center"/>
                  <w:hideMark/>
                </w:tcPr>
                <w:p w14:paraId="54D62A31"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Média</w:t>
                  </w:r>
                </w:p>
              </w:tc>
            </w:tr>
            <w:tr w:rsidR="009A6D18" w:rsidRPr="005A621E" w14:paraId="4AD6DF6F" w14:textId="77777777" w:rsidTr="009A6D18">
              <w:trPr>
                <w:tblCellSpacing w:w="15" w:type="dxa"/>
              </w:trPr>
              <w:tc>
                <w:tcPr>
                  <w:tcW w:w="0" w:type="auto"/>
                  <w:vAlign w:val="center"/>
                  <w:hideMark/>
                </w:tcPr>
                <w:p w14:paraId="7E719D30" w14:textId="77777777" w:rsidR="005A621E" w:rsidRPr="005A621E" w:rsidRDefault="005A621E" w:rsidP="005A621E">
                  <w:pPr>
                    <w:spacing w:after="0"/>
                    <w:ind w:firstLine="0"/>
                    <w:contextualSpacing w:val="0"/>
                    <w:jc w:val="left"/>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Adequação às Necessidades</w:t>
                  </w:r>
                </w:p>
              </w:tc>
              <w:tc>
                <w:tcPr>
                  <w:tcW w:w="1608" w:type="dxa"/>
                  <w:vAlign w:val="center"/>
                  <w:hideMark/>
                </w:tcPr>
                <w:p w14:paraId="67A83CF6"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Alta</w:t>
                  </w:r>
                </w:p>
              </w:tc>
              <w:tc>
                <w:tcPr>
                  <w:tcW w:w="1608" w:type="dxa"/>
                  <w:vAlign w:val="center"/>
                  <w:hideMark/>
                </w:tcPr>
                <w:p w14:paraId="3C379364"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Alta</w:t>
                  </w:r>
                </w:p>
              </w:tc>
              <w:tc>
                <w:tcPr>
                  <w:tcW w:w="1608" w:type="dxa"/>
                  <w:vAlign w:val="center"/>
                  <w:hideMark/>
                </w:tcPr>
                <w:p w14:paraId="3B1E3DFE"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Média</w:t>
                  </w:r>
                </w:p>
              </w:tc>
              <w:tc>
                <w:tcPr>
                  <w:tcW w:w="1593" w:type="dxa"/>
                  <w:vAlign w:val="center"/>
                  <w:hideMark/>
                </w:tcPr>
                <w:p w14:paraId="123D0AE0"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Baixa</w:t>
                  </w:r>
                </w:p>
              </w:tc>
            </w:tr>
            <w:tr w:rsidR="009A6D18" w:rsidRPr="005A621E" w14:paraId="249C643F" w14:textId="77777777" w:rsidTr="009A6D18">
              <w:trPr>
                <w:tblCellSpacing w:w="15" w:type="dxa"/>
              </w:trPr>
              <w:tc>
                <w:tcPr>
                  <w:tcW w:w="0" w:type="auto"/>
                  <w:vAlign w:val="center"/>
                  <w:hideMark/>
                </w:tcPr>
                <w:p w14:paraId="304677AC" w14:textId="77777777" w:rsidR="005A621E" w:rsidRPr="005A621E" w:rsidRDefault="005A621E" w:rsidP="005A621E">
                  <w:pPr>
                    <w:spacing w:after="0"/>
                    <w:ind w:firstLine="0"/>
                    <w:contextualSpacing w:val="0"/>
                    <w:jc w:val="left"/>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Incorporação ao Patrimônio</w:t>
                  </w:r>
                </w:p>
              </w:tc>
              <w:tc>
                <w:tcPr>
                  <w:tcW w:w="1608" w:type="dxa"/>
                  <w:vAlign w:val="center"/>
                  <w:hideMark/>
                </w:tcPr>
                <w:p w14:paraId="1A69CCDD"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Sim</w:t>
                  </w:r>
                </w:p>
              </w:tc>
              <w:tc>
                <w:tcPr>
                  <w:tcW w:w="1608" w:type="dxa"/>
                  <w:vAlign w:val="center"/>
                  <w:hideMark/>
                </w:tcPr>
                <w:p w14:paraId="67E509C8"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Sim</w:t>
                  </w:r>
                </w:p>
              </w:tc>
              <w:tc>
                <w:tcPr>
                  <w:tcW w:w="1608" w:type="dxa"/>
                  <w:vAlign w:val="center"/>
                  <w:hideMark/>
                </w:tcPr>
                <w:p w14:paraId="58B53325"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Sim</w:t>
                  </w:r>
                </w:p>
              </w:tc>
              <w:tc>
                <w:tcPr>
                  <w:tcW w:w="1593" w:type="dxa"/>
                  <w:vAlign w:val="center"/>
                  <w:hideMark/>
                </w:tcPr>
                <w:p w14:paraId="3A77E517" w14:textId="77777777" w:rsidR="005A621E" w:rsidRPr="005A621E" w:rsidRDefault="005A621E" w:rsidP="005A621E">
                  <w:pPr>
                    <w:spacing w:after="0"/>
                    <w:ind w:firstLine="0"/>
                    <w:contextualSpacing w:val="0"/>
                    <w:jc w:val="center"/>
                    <w:rPr>
                      <w:rFonts w:ascii="Times New Roman" w:eastAsia="Times New Roman" w:hAnsi="Times New Roman" w:cs="Times New Roman"/>
                      <w:sz w:val="20"/>
                      <w:szCs w:val="20"/>
                      <w:lang w:eastAsia="pt-BR"/>
                    </w:rPr>
                  </w:pPr>
                  <w:r w:rsidRPr="005A621E">
                    <w:rPr>
                      <w:rFonts w:ascii="Times New Roman" w:eastAsia="Times New Roman" w:hAnsi="Times New Roman" w:cs="Times New Roman"/>
                      <w:sz w:val="20"/>
                      <w:szCs w:val="20"/>
                      <w:lang w:eastAsia="pt-BR"/>
                    </w:rPr>
                    <w:t>Não</w:t>
                  </w:r>
                </w:p>
              </w:tc>
            </w:tr>
          </w:tbl>
          <w:p w14:paraId="67C4461A" w14:textId="77777777" w:rsidR="005A621E" w:rsidRPr="009A6D18" w:rsidRDefault="005A621E" w:rsidP="00134F09">
            <w:pPr>
              <w:spacing w:after="0" w:line="276" w:lineRule="auto"/>
              <w:ind w:firstLine="0"/>
              <w:jc w:val="center"/>
              <w:rPr>
                <w:rFonts w:ascii="Times New Roman" w:hAnsi="Times New Roman" w:cs="Times New Roman"/>
                <w:b/>
                <w:bCs/>
                <w:sz w:val="20"/>
                <w:szCs w:val="20"/>
              </w:rPr>
            </w:pPr>
          </w:p>
          <w:p w14:paraId="444C7C80" w14:textId="77777777" w:rsidR="009A6D18" w:rsidRP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Como parte do levantamento de mercado, e sem caráter vinculante ou restritivo à competitividade, procedeu-se também à identificação de potenciais fornecedores atuantes no segmento de veículos pesados, com experiência comprovada no fornecimento de caminhões basculantes e capacidade técnica e operacional compatível com o objeto da contratação. Foram identificadas, a título meramente referencial, as seguintes empresas:</w:t>
            </w:r>
          </w:p>
          <w:p w14:paraId="51162FD5" w14:textId="31351CA6" w:rsidR="009A6D18" w:rsidRP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 MONDIAL VEÍCULOS LTDA – CNPJ nº 72.090.939/0001-03</w:t>
            </w:r>
          </w:p>
          <w:p w14:paraId="3A337F59" w14:textId="4D99ACEC" w:rsidR="009A6D18" w:rsidRP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 SULPASSO COMÉRCIO DE CAMINHÕES LTDA – CNPJ nº 34.098.668/0001-35</w:t>
            </w:r>
          </w:p>
          <w:p w14:paraId="01841747" w14:textId="77777777" w:rsidR="009A6D18" w:rsidRP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 FORZA DISTRIBUIDORA LTDA – CNPJ nº 46.135.499/0002-26</w:t>
            </w:r>
          </w:p>
          <w:p w14:paraId="21873B63" w14:textId="7209EADD" w:rsidR="009A6D18" w:rsidRP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 APOMEDIL SA VEICULOS – CNPJ nº 91.157.859/0001-64</w:t>
            </w:r>
          </w:p>
          <w:p w14:paraId="24AF9E88" w14:textId="77777777" w:rsid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As referências foram obtidas por meio de pesquisa de mercado,</w:t>
            </w:r>
            <w:r>
              <w:rPr>
                <w:rFonts w:ascii="Times New Roman" w:hAnsi="Times New Roman" w:cs="Times New Roman"/>
                <w:sz w:val="20"/>
                <w:szCs w:val="20"/>
              </w:rPr>
              <w:t xml:space="preserve"> </w:t>
            </w:r>
            <w:r w:rsidRPr="009A6D18">
              <w:rPr>
                <w:rFonts w:ascii="Times New Roman" w:hAnsi="Times New Roman" w:cs="Times New Roman"/>
                <w:sz w:val="20"/>
                <w:szCs w:val="20"/>
              </w:rPr>
              <w:t>bem como a partir da análise de licitações realizadas recentemente por municípios da região, nas quais tais empresas participaram ou foram adjudicatárias de objetos de natureza equivalente.</w:t>
            </w:r>
          </w:p>
          <w:p w14:paraId="57252050" w14:textId="49A04624" w:rsidR="009A6D18" w:rsidRP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Ressalta-se que a indicação de potenciais fornecedores não configura direcionamento ou restrição à competitividade, servindo exclusivamente para demonstrar a existência de mercado fornecedor apto e competitivo, capaz de atender às especificações técnicas do objeto, reforçando a viabilidade da contratação e a expectativa de obtenção de propostas vantajosas.</w:t>
            </w:r>
          </w:p>
          <w:p w14:paraId="4305FC74" w14:textId="77777777" w:rsidR="009A6D18" w:rsidRP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Após análise técnica e econômica das alternativas disponíveis, conclui-se que a aquisição de caminhões basculantes por meio de Pregão Eletrônico, preferencialmente com adoção do Sistema de Registro de Preços (SRP), configura a solução mais vantajosa ao interesse público, por assegurar ampla competitividade, transparência, segurança jurídica, flexibilidade administrativa e melhor relação custo-benefício ao longo da vida útil do bem.</w:t>
            </w:r>
          </w:p>
          <w:p w14:paraId="4774A4C7" w14:textId="00DCB7CA" w:rsidR="00CD6018" w:rsidRPr="009A6D18" w:rsidRDefault="009A6D18" w:rsidP="009A6D18">
            <w:pPr>
              <w:spacing w:after="0" w:line="276" w:lineRule="auto"/>
              <w:ind w:firstLine="731"/>
              <w:rPr>
                <w:rFonts w:ascii="Times New Roman" w:hAnsi="Times New Roman" w:cs="Times New Roman"/>
                <w:sz w:val="20"/>
                <w:szCs w:val="20"/>
              </w:rPr>
            </w:pPr>
            <w:r w:rsidRPr="009A6D18">
              <w:rPr>
                <w:rFonts w:ascii="Times New Roman" w:hAnsi="Times New Roman" w:cs="Times New Roman"/>
                <w:sz w:val="20"/>
                <w:szCs w:val="20"/>
              </w:rPr>
              <w:t>A opção pela aquisição, em detrimento da locação, fundamenta-se na natureza permanente da demanda, na necessidade de disponibilidade contínua dos veículos e na redução do custo global da contratação, com a consequente incorporação definitiva dos bens ao patrimônio público municipal, em consonância com os princípios da eficiência, economicidade e planejamento previstos na Lei nº 14.133/2021.</w:t>
            </w:r>
          </w:p>
        </w:tc>
      </w:tr>
    </w:tbl>
    <w:p w14:paraId="62EB6836" w14:textId="77777777" w:rsidR="008F76F3" w:rsidRPr="009A6D18" w:rsidRDefault="008F76F3" w:rsidP="008257DA">
      <w:pPr>
        <w:spacing w:after="0" w:line="276" w:lineRule="auto"/>
        <w:rPr>
          <w:rFonts w:ascii="Times New Roman" w:eastAsia="Times New Roman" w:hAnsi="Times New Roman" w:cs="Times New Roman"/>
          <w:i/>
          <w:sz w:val="20"/>
          <w:szCs w:val="20"/>
          <w:lang w:eastAsia="pt-BR"/>
        </w:rPr>
      </w:pPr>
      <w:r w:rsidRPr="009A6D18">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42759D" w:rsidRPr="009A6D18" w14:paraId="1EE56F1B" w14:textId="77777777" w:rsidTr="00C3667F">
        <w:tc>
          <w:tcPr>
            <w:tcW w:w="9209" w:type="dxa"/>
          </w:tcPr>
          <w:p w14:paraId="7C09CC09" w14:textId="67249060" w:rsidR="008F76F3" w:rsidRPr="009A6D18" w:rsidRDefault="00D529A4" w:rsidP="008257DA">
            <w:pPr>
              <w:spacing w:after="0" w:line="276" w:lineRule="auto"/>
              <w:ind w:firstLine="0"/>
              <w:rPr>
                <w:rFonts w:ascii="Times New Roman" w:eastAsia="Times New Roman" w:hAnsi="Times New Roman" w:cs="Times New Roman"/>
                <w:b/>
                <w:bCs/>
                <w:color w:val="000000" w:themeColor="text1"/>
                <w:sz w:val="20"/>
                <w:szCs w:val="20"/>
                <w:lang w:eastAsia="pt-BR"/>
              </w:rPr>
            </w:pPr>
            <w:r w:rsidRPr="009A6D18">
              <w:rPr>
                <w:rFonts w:ascii="Times New Roman" w:eastAsia="Times New Roman" w:hAnsi="Times New Roman" w:cs="Times New Roman"/>
                <w:b/>
                <w:bCs/>
                <w:color w:val="000000" w:themeColor="text1"/>
                <w:sz w:val="20"/>
                <w:szCs w:val="20"/>
                <w:lang w:eastAsia="pt-BR"/>
              </w:rPr>
              <w:t>7</w:t>
            </w:r>
            <w:r w:rsidR="008F76F3" w:rsidRPr="009A6D18">
              <w:rPr>
                <w:rFonts w:ascii="Times New Roman" w:eastAsia="Times New Roman" w:hAnsi="Times New Roman" w:cs="Times New Roman"/>
                <w:b/>
                <w:bCs/>
                <w:color w:val="000000" w:themeColor="text1"/>
                <w:sz w:val="20"/>
                <w:szCs w:val="20"/>
                <w:lang w:eastAsia="pt-BR"/>
              </w:rPr>
              <w:t xml:space="preserve"> – ESTIMATIVA DO VALOR DA CONTRATAÇÃO</w:t>
            </w:r>
            <w:r w:rsidR="00FC4923" w:rsidRPr="009A6D18">
              <w:rPr>
                <w:rFonts w:ascii="Times New Roman" w:eastAsia="Times New Roman" w:hAnsi="Times New Roman" w:cs="Times New Roman"/>
                <w:b/>
                <w:bCs/>
                <w:color w:val="000000" w:themeColor="text1"/>
                <w:sz w:val="20"/>
                <w:szCs w:val="20"/>
                <w:lang w:eastAsia="pt-BR"/>
              </w:rPr>
              <w:t>:</w:t>
            </w:r>
          </w:p>
        </w:tc>
      </w:tr>
      <w:tr w:rsidR="0042759D" w:rsidRPr="009A6D18" w14:paraId="64A3B4E9" w14:textId="77777777" w:rsidTr="00C3667F">
        <w:tc>
          <w:tcPr>
            <w:tcW w:w="9209" w:type="dxa"/>
            <w:shd w:val="clear" w:color="auto" w:fill="F2F2F2" w:themeFill="background1" w:themeFillShade="F2"/>
          </w:tcPr>
          <w:p w14:paraId="62E41FC5" w14:textId="40F0567C" w:rsidR="008F76F3" w:rsidRPr="009A6D18" w:rsidRDefault="008F76F3" w:rsidP="008257DA">
            <w:pPr>
              <w:spacing w:after="0" w:line="276" w:lineRule="auto"/>
              <w:ind w:firstLine="0"/>
              <w:rPr>
                <w:rFonts w:ascii="Times New Roman" w:eastAsia="Times New Roman" w:hAnsi="Times New Roman" w:cs="Times New Roman"/>
                <w:color w:val="000000" w:themeColor="text1"/>
                <w:sz w:val="20"/>
                <w:szCs w:val="20"/>
                <w:lang w:eastAsia="pt-BR"/>
              </w:rPr>
            </w:pPr>
            <w:r w:rsidRPr="009A6D18">
              <w:rPr>
                <w:rFonts w:ascii="Times New Roman" w:eastAsia="Times New Roman" w:hAnsi="Times New Roman" w:cs="Times New Roman"/>
                <w:color w:val="000000" w:themeColor="text1"/>
                <w:sz w:val="20"/>
                <w:szCs w:val="20"/>
                <w:lang w:eastAsia="pt-BR"/>
              </w:rPr>
              <w:t>Fundamentação: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9A6D18">
              <w:rPr>
                <w:rFonts w:ascii="Times New Roman" w:eastAsia="Times New Roman" w:hAnsi="Times New Roman" w:cs="Times New Roman"/>
                <w:color w:val="000000" w:themeColor="text1"/>
                <w:sz w:val="20"/>
                <w:szCs w:val="20"/>
                <w:lang w:eastAsia="pt-BR"/>
              </w:rPr>
              <w:t>:</w:t>
            </w:r>
          </w:p>
        </w:tc>
      </w:tr>
      <w:tr w:rsidR="0042759D" w:rsidRPr="009A6D18" w14:paraId="42BE0386" w14:textId="77777777" w:rsidTr="00C3667F">
        <w:tc>
          <w:tcPr>
            <w:tcW w:w="9209" w:type="dxa"/>
          </w:tcPr>
          <w:p w14:paraId="5D8DC59B" w14:textId="5B06C8B3" w:rsidR="009A6D18" w:rsidRPr="009A6D18" w:rsidRDefault="009A6D18" w:rsidP="009A6D18">
            <w:pPr>
              <w:spacing w:after="0" w:line="276" w:lineRule="auto"/>
              <w:ind w:firstLine="597"/>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Para a definição do valor estimado da contratação, foi realizada pesquisa prévia de preços, a qual serviu de base para a solicitação de emenda parlamentar federal que viabiliza o presente procedimento licitatório. Posteriormente, os dados foram atualizados e consolidados pelo Setor de Compras do Município, a fim de adequá-los ao objeto específico desta contratação.</w:t>
            </w:r>
          </w:p>
          <w:p w14:paraId="703642D0" w14:textId="6D685C47" w:rsidR="009A6D18" w:rsidRPr="009A6D18" w:rsidRDefault="009A6D18" w:rsidP="009A6D18">
            <w:pPr>
              <w:spacing w:after="0" w:line="276" w:lineRule="auto"/>
              <w:ind w:firstLine="597"/>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 xml:space="preserve">A pesquisa contemplou consultas ao Portal </w:t>
            </w:r>
            <w:proofErr w:type="spellStart"/>
            <w:r w:rsidR="001F57E8">
              <w:rPr>
                <w:rFonts w:ascii="Times New Roman" w:hAnsi="Times New Roman" w:cs="Times New Roman"/>
                <w:color w:val="000000" w:themeColor="text1"/>
                <w:sz w:val="20"/>
                <w:szCs w:val="20"/>
              </w:rPr>
              <w:t>Licitacon</w:t>
            </w:r>
            <w:proofErr w:type="spellEnd"/>
            <w:r w:rsidR="001F57E8">
              <w:rPr>
                <w:rFonts w:ascii="Times New Roman" w:hAnsi="Times New Roman" w:cs="Times New Roman"/>
                <w:color w:val="000000" w:themeColor="text1"/>
                <w:sz w:val="20"/>
                <w:szCs w:val="20"/>
              </w:rPr>
              <w:t xml:space="preserve"> – TCE RS</w:t>
            </w:r>
            <w:r w:rsidRPr="009A6D18">
              <w:rPr>
                <w:rFonts w:ascii="Times New Roman" w:hAnsi="Times New Roman" w:cs="Times New Roman"/>
                <w:color w:val="000000" w:themeColor="text1"/>
                <w:sz w:val="20"/>
                <w:szCs w:val="20"/>
              </w:rPr>
              <w:t>, com levantamento de contratações similares realizadas por municípios do Estado do Rio Grande do Sul. Os valores coletados refletem as condições atuais de mercado, considerando as especificações técnicas mínimas exigidas, a capacidade operacional dos veículos, os prazos de entrega, as condições de garantia e a assistência técnica ofertada.</w:t>
            </w:r>
          </w:p>
          <w:p w14:paraId="6E6A7347" w14:textId="77777777" w:rsidR="009A6D18" w:rsidRPr="009A6D18" w:rsidRDefault="009A6D18" w:rsidP="009A6D18">
            <w:pPr>
              <w:spacing w:after="0" w:line="276" w:lineRule="auto"/>
              <w:ind w:firstLine="597"/>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Ressalta-se que os parâmetros utilizados não guardam relação direta com processos licitatórios anteriores, uma vez que o objeto ora estimado possui natureza própria, especificações técnicas atualizadas e planejamento autônomo. Assim, os valores anteriormente praticados não podem ser simplesmente replicados, sob pena de comprometer a adequada estimativa do custo real da contratação.</w:t>
            </w:r>
          </w:p>
          <w:p w14:paraId="07F86719" w14:textId="7EAE9E62" w:rsidR="009A6D18" w:rsidRPr="009A6D18" w:rsidRDefault="009A6D18" w:rsidP="009A6D18">
            <w:pPr>
              <w:spacing w:after="0" w:line="276" w:lineRule="auto"/>
              <w:ind w:firstLine="597"/>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 xml:space="preserve">Com base na consolidação das pesquisas realizadas, apurou-se um valor unitário estimado aproximado de </w:t>
            </w:r>
            <w:r w:rsidRPr="00396168">
              <w:rPr>
                <w:rFonts w:ascii="Times New Roman" w:hAnsi="Times New Roman" w:cs="Times New Roman"/>
                <w:color w:val="000000" w:themeColor="text1"/>
                <w:sz w:val="20"/>
                <w:szCs w:val="20"/>
              </w:rPr>
              <w:t xml:space="preserve">R$ </w:t>
            </w:r>
            <w:r w:rsidR="001F57E8" w:rsidRPr="00396168">
              <w:rPr>
                <w:rFonts w:ascii="Times New Roman" w:hAnsi="Times New Roman" w:cs="Times New Roman"/>
                <w:color w:val="000000" w:themeColor="text1"/>
                <w:sz w:val="20"/>
                <w:szCs w:val="20"/>
              </w:rPr>
              <w:t>735</w:t>
            </w:r>
            <w:r w:rsidRPr="00396168">
              <w:rPr>
                <w:rFonts w:ascii="Times New Roman" w:hAnsi="Times New Roman" w:cs="Times New Roman"/>
                <w:color w:val="000000" w:themeColor="text1"/>
                <w:sz w:val="20"/>
                <w:szCs w:val="20"/>
              </w:rPr>
              <w:t>.</w:t>
            </w:r>
            <w:r w:rsidR="001F57E8" w:rsidRPr="00396168">
              <w:rPr>
                <w:rFonts w:ascii="Times New Roman" w:hAnsi="Times New Roman" w:cs="Times New Roman"/>
                <w:color w:val="000000" w:themeColor="text1"/>
                <w:sz w:val="20"/>
                <w:szCs w:val="20"/>
              </w:rPr>
              <w:t>00</w:t>
            </w:r>
            <w:r w:rsidRPr="00396168">
              <w:rPr>
                <w:rFonts w:ascii="Times New Roman" w:hAnsi="Times New Roman" w:cs="Times New Roman"/>
                <w:color w:val="000000" w:themeColor="text1"/>
                <w:sz w:val="20"/>
                <w:szCs w:val="20"/>
              </w:rPr>
              <w:t>0,00 (</w:t>
            </w:r>
            <w:r w:rsidR="001F57E8" w:rsidRPr="00396168">
              <w:rPr>
                <w:rFonts w:ascii="Times New Roman" w:hAnsi="Times New Roman" w:cs="Times New Roman"/>
                <w:color w:val="000000" w:themeColor="text1"/>
                <w:sz w:val="20"/>
                <w:szCs w:val="20"/>
              </w:rPr>
              <w:t>setecentos e trinta e cinco mil reais</w:t>
            </w:r>
            <w:r w:rsidRPr="00396168">
              <w:rPr>
                <w:rFonts w:ascii="Times New Roman" w:hAnsi="Times New Roman" w:cs="Times New Roman"/>
                <w:color w:val="000000" w:themeColor="text1"/>
                <w:sz w:val="20"/>
                <w:szCs w:val="20"/>
              </w:rPr>
              <w:t xml:space="preserve">) </w:t>
            </w:r>
            <w:r w:rsidRPr="009A6D18">
              <w:rPr>
                <w:rFonts w:ascii="Times New Roman" w:hAnsi="Times New Roman" w:cs="Times New Roman"/>
                <w:color w:val="000000" w:themeColor="text1"/>
                <w:sz w:val="20"/>
                <w:szCs w:val="20"/>
              </w:rPr>
              <w:t xml:space="preserve">por caminhão basculante, resultando em um valor total estimado de </w:t>
            </w:r>
            <w:r w:rsidRPr="00396168">
              <w:rPr>
                <w:rFonts w:ascii="Times New Roman" w:hAnsi="Times New Roman" w:cs="Times New Roman"/>
                <w:color w:val="000000" w:themeColor="text1"/>
                <w:sz w:val="20"/>
                <w:szCs w:val="20"/>
              </w:rPr>
              <w:t xml:space="preserve">R$ </w:t>
            </w:r>
            <w:r w:rsidR="001F57E8" w:rsidRPr="00396168">
              <w:rPr>
                <w:rFonts w:ascii="Times New Roman" w:hAnsi="Times New Roman" w:cs="Times New Roman"/>
                <w:color w:val="000000" w:themeColor="text1"/>
                <w:sz w:val="20"/>
                <w:szCs w:val="20"/>
              </w:rPr>
              <w:t>1.47</w:t>
            </w:r>
            <w:r w:rsidRPr="00396168">
              <w:rPr>
                <w:rFonts w:ascii="Times New Roman" w:hAnsi="Times New Roman" w:cs="Times New Roman"/>
                <w:color w:val="000000" w:themeColor="text1"/>
                <w:sz w:val="20"/>
                <w:szCs w:val="20"/>
              </w:rPr>
              <w:t>5.</w:t>
            </w:r>
            <w:r w:rsidR="001F57E8" w:rsidRPr="00396168">
              <w:rPr>
                <w:rFonts w:ascii="Times New Roman" w:hAnsi="Times New Roman" w:cs="Times New Roman"/>
                <w:color w:val="000000" w:themeColor="text1"/>
                <w:sz w:val="20"/>
                <w:szCs w:val="20"/>
              </w:rPr>
              <w:t>000</w:t>
            </w:r>
            <w:r w:rsidRPr="00396168">
              <w:rPr>
                <w:rFonts w:ascii="Times New Roman" w:hAnsi="Times New Roman" w:cs="Times New Roman"/>
                <w:color w:val="000000" w:themeColor="text1"/>
                <w:sz w:val="20"/>
                <w:szCs w:val="20"/>
              </w:rPr>
              <w:t xml:space="preserve">,00 </w:t>
            </w:r>
            <w:r w:rsidRPr="009A6D18">
              <w:rPr>
                <w:rFonts w:ascii="Times New Roman" w:hAnsi="Times New Roman" w:cs="Times New Roman"/>
                <w:color w:val="000000" w:themeColor="text1"/>
                <w:sz w:val="20"/>
                <w:szCs w:val="20"/>
              </w:rPr>
              <w:t>para a aquisição de 2 (dois) veículos, quantidade considerada necessária para atendimento pleno das demandas operacionais do Município.</w:t>
            </w:r>
          </w:p>
          <w:p w14:paraId="60356775" w14:textId="77777777" w:rsidR="009A6D18" w:rsidRPr="009A6D18" w:rsidRDefault="009A6D18" w:rsidP="009A6D18">
            <w:pPr>
              <w:spacing w:after="0" w:line="276" w:lineRule="auto"/>
              <w:ind w:firstLine="597"/>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Entende-se que o valor estimado é compatível com os preços praticados pelo mercado, conforme pesquisa de mercado realizada pelo Setor de Compras, que utilizou como referência contratações similares promovidas pela Administração Pública, em conformidade com o disposto no art. 23 da Lei Federal nº 14.133/2021.</w:t>
            </w:r>
          </w:p>
          <w:p w14:paraId="47C81938" w14:textId="327FC4A9" w:rsidR="009A6D18" w:rsidRPr="009A6D18" w:rsidRDefault="009A6D18" w:rsidP="009A6D18">
            <w:pPr>
              <w:spacing w:after="0" w:line="276" w:lineRule="auto"/>
              <w:ind w:firstLine="597"/>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 xml:space="preserve">A pesquisa de preços observou, ainda, os procedimentos administrativos definidos no Decreto Municipal nº </w:t>
            </w:r>
            <w:r w:rsidR="001F57E8">
              <w:rPr>
                <w:rFonts w:ascii="Times New Roman" w:hAnsi="Times New Roman" w:cs="Times New Roman"/>
                <w:color w:val="000000" w:themeColor="text1"/>
                <w:sz w:val="20"/>
                <w:szCs w:val="20"/>
              </w:rPr>
              <w:t>1</w:t>
            </w:r>
            <w:r w:rsidRPr="009A6D18">
              <w:rPr>
                <w:rFonts w:ascii="Times New Roman" w:hAnsi="Times New Roman" w:cs="Times New Roman"/>
                <w:color w:val="000000" w:themeColor="text1"/>
                <w:sz w:val="20"/>
                <w:szCs w:val="20"/>
              </w:rPr>
              <w:t>.</w:t>
            </w:r>
            <w:r w:rsidR="001F57E8">
              <w:rPr>
                <w:rFonts w:ascii="Times New Roman" w:hAnsi="Times New Roman" w:cs="Times New Roman"/>
                <w:color w:val="000000" w:themeColor="text1"/>
                <w:sz w:val="20"/>
                <w:szCs w:val="20"/>
              </w:rPr>
              <w:t>319/</w:t>
            </w:r>
            <w:r w:rsidRPr="009A6D18">
              <w:rPr>
                <w:rFonts w:ascii="Times New Roman" w:hAnsi="Times New Roman" w:cs="Times New Roman"/>
                <w:color w:val="000000" w:themeColor="text1"/>
                <w:sz w:val="20"/>
                <w:szCs w:val="20"/>
              </w:rPr>
              <w:t>202</w:t>
            </w:r>
            <w:r w:rsidR="001F57E8">
              <w:rPr>
                <w:rFonts w:ascii="Times New Roman" w:hAnsi="Times New Roman" w:cs="Times New Roman"/>
                <w:color w:val="000000" w:themeColor="text1"/>
                <w:sz w:val="20"/>
                <w:szCs w:val="20"/>
              </w:rPr>
              <w:t>4</w:t>
            </w:r>
            <w:r w:rsidRPr="009A6D18">
              <w:rPr>
                <w:rFonts w:ascii="Times New Roman" w:hAnsi="Times New Roman" w:cs="Times New Roman"/>
                <w:color w:val="000000" w:themeColor="text1"/>
                <w:sz w:val="20"/>
                <w:szCs w:val="20"/>
              </w:rPr>
              <w:t>, que estabelece as diretrizes para a realização de pesquisa de preços no âmbito da Administração Municipal, assegurando método adequado, pluralidade de fontes e confiabilidade dos dados coletados.</w:t>
            </w:r>
          </w:p>
          <w:p w14:paraId="5576506B" w14:textId="77777777" w:rsidR="009A6D18" w:rsidRPr="009A6D18" w:rsidRDefault="009A6D18" w:rsidP="009A6D18">
            <w:pPr>
              <w:spacing w:after="0" w:line="276" w:lineRule="auto"/>
              <w:ind w:firstLine="597"/>
              <w:rPr>
                <w:rFonts w:ascii="Times New Roman" w:hAnsi="Times New Roman" w:cs="Times New Roman"/>
                <w:color w:val="000000" w:themeColor="text1"/>
                <w:sz w:val="20"/>
                <w:szCs w:val="20"/>
              </w:rPr>
            </w:pPr>
            <w:r w:rsidRPr="009A6D18">
              <w:rPr>
                <w:rFonts w:ascii="Times New Roman" w:hAnsi="Times New Roman" w:cs="Times New Roman"/>
                <w:color w:val="000000" w:themeColor="text1"/>
                <w:sz w:val="20"/>
                <w:szCs w:val="20"/>
              </w:rPr>
              <w:t>Não se vislumbra a necessidade de manutenção de sigilo quanto ao valor estimado, uma vez que se trata de bem comum, com preços amplamente verificáveis no mercado, cuja divulgação não compromete a competitividade do certame, atendendo aos princípios da transparência, publicidade e eficiência administrativa.</w:t>
            </w:r>
          </w:p>
          <w:p w14:paraId="77604182" w14:textId="24C2CA32" w:rsidR="009A6D18" w:rsidRPr="001F57E8" w:rsidRDefault="001F57E8" w:rsidP="001F57E8">
            <w:pPr>
              <w:spacing w:after="0" w:line="276" w:lineRule="auto"/>
              <w:ind w:firstLine="59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Os d</w:t>
            </w:r>
            <w:r w:rsidR="009A6D18" w:rsidRPr="009A6D18">
              <w:rPr>
                <w:rFonts w:ascii="Times New Roman" w:hAnsi="Times New Roman" w:cs="Times New Roman"/>
                <w:color w:val="000000" w:themeColor="text1"/>
                <w:sz w:val="20"/>
                <w:szCs w:val="20"/>
              </w:rPr>
              <w:t>ocumentos comprobatórios encontram-se devidamente anexados ao presente Estudo Técnico Preliminar, assegurando rastreabilidade, clareza e plena conformidade com a Lei nº 14.133/2021.</w:t>
            </w:r>
          </w:p>
        </w:tc>
      </w:tr>
    </w:tbl>
    <w:p w14:paraId="2959EE08" w14:textId="77777777" w:rsidR="00A000C9" w:rsidRPr="009A6D18" w:rsidRDefault="00A000C9"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A6D18" w14:paraId="59783D2D" w14:textId="77777777" w:rsidTr="00C3667F">
        <w:tc>
          <w:tcPr>
            <w:tcW w:w="9209" w:type="dxa"/>
          </w:tcPr>
          <w:p w14:paraId="467389BF" w14:textId="6AEB63C7" w:rsidR="008F76F3" w:rsidRPr="009A6D18" w:rsidRDefault="00D529A4" w:rsidP="008257DA">
            <w:pPr>
              <w:spacing w:after="0" w:line="276" w:lineRule="auto"/>
              <w:ind w:firstLine="0"/>
              <w:rPr>
                <w:rFonts w:ascii="Times New Roman" w:hAnsi="Times New Roman" w:cs="Times New Roman"/>
                <w:b/>
                <w:bCs/>
                <w:sz w:val="20"/>
                <w:szCs w:val="20"/>
              </w:rPr>
            </w:pPr>
            <w:r w:rsidRPr="009A6D18">
              <w:rPr>
                <w:rFonts w:ascii="Times New Roman" w:hAnsi="Times New Roman" w:cs="Times New Roman"/>
                <w:b/>
                <w:bCs/>
                <w:sz w:val="20"/>
                <w:szCs w:val="20"/>
              </w:rPr>
              <w:t>8</w:t>
            </w:r>
            <w:r w:rsidR="008F76F3" w:rsidRPr="009A6D18">
              <w:rPr>
                <w:rFonts w:ascii="Times New Roman" w:hAnsi="Times New Roman" w:cs="Times New Roman"/>
                <w:b/>
                <w:bCs/>
                <w:sz w:val="20"/>
                <w:szCs w:val="20"/>
              </w:rPr>
              <w:t xml:space="preserve"> </w:t>
            </w:r>
            <w:r w:rsidR="00D36563" w:rsidRPr="009A6D18">
              <w:rPr>
                <w:rFonts w:ascii="Times New Roman" w:hAnsi="Times New Roman" w:cs="Times New Roman"/>
                <w:b/>
                <w:bCs/>
                <w:sz w:val="20"/>
                <w:szCs w:val="20"/>
              </w:rPr>
              <w:t>–</w:t>
            </w:r>
            <w:r w:rsidR="008F76F3" w:rsidRPr="009A6D18">
              <w:rPr>
                <w:rFonts w:ascii="Times New Roman" w:hAnsi="Times New Roman" w:cs="Times New Roman"/>
                <w:b/>
                <w:bCs/>
                <w:sz w:val="20"/>
                <w:szCs w:val="20"/>
              </w:rPr>
              <w:t xml:space="preserve"> DESCRIÇÃO DA SOLUÇÃO COMO UM TODO</w:t>
            </w:r>
            <w:r w:rsidR="00FC4923" w:rsidRPr="009A6D18">
              <w:rPr>
                <w:rFonts w:ascii="Times New Roman" w:hAnsi="Times New Roman" w:cs="Times New Roman"/>
                <w:b/>
                <w:bCs/>
                <w:sz w:val="20"/>
                <w:szCs w:val="20"/>
              </w:rPr>
              <w:t>:</w:t>
            </w:r>
          </w:p>
        </w:tc>
      </w:tr>
      <w:tr w:rsidR="008F76F3" w:rsidRPr="009A6D18" w14:paraId="629A6FF1" w14:textId="77777777" w:rsidTr="00C3667F">
        <w:tc>
          <w:tcPr>
            <w:tcW w:w="9209" w:type="dxa"/>
            <w:shd w:val="clear" w:color="auto" w:fill="F2F2F2" w:themeFill="background1" w:themeFillShade="F2"/>
          </w:tcPr>
          <w:p w14:paraId="74CFCA8D" w14:textId="304DD61F"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9A6D18">
              <w:rPr>
                <w:rFonts w:ascii="Times New Roman" w:eastAsia="Times New Roman" w:hAnsi="Times New Roman" w:cs="Times New Roman"/>
                <w:color w:val="000000"/>
                <w:sz w:val="20"/>
                <w:szCs w:val="20"/>
                <w:lang w:eastAsia="pt-BR"/>
              </w:rPr>
              <w:t>:</w:t>
            </w:r>
          </w:p>
        </w:tc>
      </w:tr>
      <w:tr w:rsidR="008F76F3" w:rsidRPr="009A6D18" w14:paraId="03FF8AC2" w14:textId="77777777" w:rsidTr="00C3667F">
        <w:tc>
          <w:tcPr>
            <w:tcW w:w="9209" w:type="dxa"/>
          </w:tcPr>
          <w:p w14:paraId="28D28668"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A solução proposta consiste na aquisição de caminhões basculantes novos (0 km), do tipo trucado e traçado (6x4), por meio de Pregão Eletrônico, preferencialmente com adoção do Sistema de Registro de Preços, destinados ao atendimento das demandas operacionais permanentes da Secretaria Municipal de Obras, Infraestrutura e Mobilidade, bem como ao suporte logístico de outras secretarias municipais. Trata-se de bem essencial para a execução de obras públicas, manutenção de vias urbanas e rurais, transporte de materiais, limpeza urbana e atendimento a situações emergenciais, suprindo lacuna operacional identificada na frota municipal.</w:t>
            </w:r>
          </w:p>
          <w:p w14:paraId="1BBA0D29"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A utilização do Sistema de Registro de Preços possibilita a aquisição conforme a demanda, dentro da vigência da ata, conferindo maior flexibilidade administrativa e permitindo eventual reforço operacional, sem a necessidade de instauração de novo procedimento licitatório, caso surjam necessidades supervenientes devidamente justificadas.</w:t>
            </w:r>
          </w:p>
          <w:p w14:paraId="1132155E"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A entrega técnica dos veículos será de responsabilidade integral do fornecedor, devendo contemplar o fornecimento do bem devidamente emplacado, licenciado e apto à circulação, bem como a realização de conferência técnica no ato do recebimento, testes funcionais básicos e orientações iniciais aos servidores designados, garantindo condições adequadas de operação desde o primeiro dia de utilização.</w:t>
            </w:r>
          </w:p>
          <w:p w14:paraId="136C6395"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Os veículos deverão atender plenamente às normas técnicas e legais vigentes, incluindo o Código de Trânsito Brasileiro, as normas do SENATRAN, do INMETRO e as exigências ambientais aplicáveis, apresentando robustez estrutural, desempenho compatível com uso severo e confiabilidade mecânica adequada às condições do território municipal. O fornecedor deverá entregar toda a documentação necessária à comprovação de conformidade, tais como manuais do veículo e da caçamba, certificados, catálogos técnicos e demais documentos exigidos no edital e no Termo de Referência, assegurando rastreabilidade e transparência.</w:t>
            </w:r>
          </w:p>
          <w:p w14:paraId="4EFB10BE" w14:textId="47D7414C" w:rsidR="001F57E8" w:rsidRPr="001F57E8" w:rsidRDefault="001F57E8" w:rsidP="001F57E8">
            <w:pPr>
              <w:spacing w:after="0" w:line="276" w:lineRule="auto"/>
              <w:ind w:firstLine="596"/>
              <w:rPr>
                <w:rFonts w:ascii="Times New Roman" w:hAnsi="Times New Roman" w:cs="Times New Roman"/>
                <w:sz w:val="20"/>
                <w:szCs w:val="20"/>
              </w:rPr>
            </w:pPr>
            <w:r w:rsidRPr="00396168">
              <w:rPr>
                <w:rFonts w:ascii="Times New Roman" w:hAnsi="Times New Roman" w:cs="Times New Roman"/>
                <w:sz w:val="20"/>
                <w:szCs w:val="20"/>
              </w:rPr>
              <w:t>Elemento central da solução é a assistência técnica regionalizada, devendo a contratada dispor de estrutura de suporte autorizada localizada no Estado do Rio Grande do Sul, em raio máximo de 100 quilômetros da sede do município de Paverama, Tal exigência visa minimizar o tempo de indisponibilidade dos veículos, assegurar a continuidade dos serviços públicos essenciais e preservar a eficiência operacional da frota.</w:t>
            </w:r>
          </w:p>
          <w:p w14:paraId="6B7CD0BC"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A solução contempla, ainda, a concessão de garantia mínima legal, acrescida da garantia contratual ofertada pelo fabricante ou fornecedor, abrangendo integralmente o veículo, o conjunto motriz e a caçamba basculante, cobrindo vícios de fabricação, falhas estruturais e defeitos de funcionamento. Toda a manutenção prevista em garantia deverá ser realizada sem ônus ao Município, por equipe técnica autorizada, assegurando a proteção do investimento público e a adequada vida útil dos bens.</w:t>
            </w:r>
          </w:p>
          <w:p w14:paraId="5068A975"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O pagamento ficará condicionado ao recebimento definitivo do objeto, ao atesto de conformidade técnica e à conferência documental pelo setor competente da Administração. A habilitação das empresas exigirá a comprovação de regularidade jurídica, fiscal, trabalhista e econômico-financeira, bem como capacidade técnica compatível com o objeto, nos termos da Lei nº 14.133/2021 e do Termo de Referência.</w:t>
            </w:r>
          </w:p>
          <w:p w14:paraId="59C55FF8" w14:textId="74177E5B" w:rsidR="008F76F3" w:rsidRPr="009A6D1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Com a implementação dessa solução, o Município de Paverama passará a contar com veículos modernos, seguros e duráveis, aliados a um modelo de contratação planejado, sustentável e juridicamente seguro. A contratação fortalece a capacidade operacional da Administração, assegura a adequada aplicação de recursos públicos — inclusive aqueles oriundos de emendas parlamentares — e promove maior eficiência, continuidade e qualidade na prestação dos serviços públicos à população.</w:t>
            </w:r>
          </w:p>
        </w:tc>
      </w:tr>
    </w:tbl>
    <w:p w14:paraId="7D7AE9E6" w14:textId="77777777" w:rsidR="008F76F3" w:rsidRPr="009A6D18" w:rsidRDefault="008F76F3"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9A6D18" w14:paraId="1EC6909D" w14:textId="77777777" w:rsidTr="00C3667F">
        <w:tc>
          <w:tcPr>
            <w:tcW w:w="9209" w:type="dxa"/>
          </w:tcPr>
          <w:p w14:paraId="6F6C09F3" w14:textId="695531CA" w:rsidR="008F76F3" w:rsidRPr="009A6D18" w:rsidRDefault="00D529A4" w:rsidP="008257DA">
            <w:pPr>
              <w:spacing w:after="0" w:line="276" w:lineRule="auto"/>
              <w:ind w:firstLine="0"/>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9</w:t>
            </w:r>
            <w:r w:rsidR="008F76F3" w:rsidRPr="009A6D18">
              <w:rPr>
                <w:rFonts w:ascii="Times New Roman" w:eastAsia="Times New Roman" w:hAnsi="Times New Roman" w:cs="Times New Roman"/>
                <w:b/>
                <w:bCs/>
                <w:color w:val="000000"/>
                <w:sz w:val="20"/>
                <w:szCs w:val="20"/>
                <w:lang w:eastAsia="pt-BR"/>
              </w:rPr>
              <w:t xml:space="preserve"> – JUSTIFICATIVA PARA PARCELAMENTO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09D7985E" w14:textId="77777777" w:rsidTr="00C3667F">
        <w:tc>
          <w:tcPr>
            <w:tcW w:w="9209" w:type="dxa"/>
            <w:shd w:val="clear" w:color="auto" w:fill="F2F2F2" w:themeFill="background1" w:themeFillShade="F2"/>
          </w:tcPr>
          <w:p w14:paraId="42A688B6" w14:textId="0B3D3D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9A6D18">
              <w:rPr>
                <w:rFonts w:ascii="Times New Roman" w:eastAsia="Times New Roman" w:hAnsi="Times New Roman" w:cs="Times New Roman"/>
                <w:color w:val="000000"/>
                <w:sz w:val="20"/>
                <w:szCs w:val="20"/>
                <w:lang w:eastAsia="pt-BR"/>
              </w:rPr>
              <w:t>:</w:t>
            </w:r>
          </w:p>
        </w:tc>
      </w:tr>
      <w:tr w:rsidR="008F76F3" w:rsidRPr="009A6D18" w14:paraId="3E75C34B" w14:textId="77777777" w:rsidTr="00C3667F">
        <w:tc>
          <w:tcPr>
            <w:tcW w:w="9209" w:type="dxa"/>
          </w:tcPr>
          <w:p w14:paraId="4A14CCBB"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A contratação proposta adota o parcelamento do objeto em item único, uma vez que o objeto desta etapa consiste na aquisição de caminhões basculantes novos (0 km), do tipo trucado e traçado (6x4), os quais possuem natureza homogênea, especificações técnicas uniformes e finalidade operacional comum. Não há, portanto, pluralidade de bens distintos ou divisíveis que justifique a criação de múltiplos itens ou lotes, tampouco viabilidade técnica para fracionamento interno do objeto sem prejuízo à padronização e à eficiência da frota.</w:t>
            </w:r>
          </w:p>
          <w:p w14:paraId="45FECAB8"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O parcelamento previsto restringe-se ao modo de fornecimento, especialmente em razão da adoção do Sistema de Registro de Preços, que possibilita a aquisição conforme a demanda e a disponibilidade financeira da Administração, sem a obrigatoriedade de entrega simultânea de todas as unidades. Trata-se, assim, de parcelamento funcional, voltado à execução contratual, e não de fracionamento indevido do objeto, preservando-se a unidade técnica, a padronização operacional e a adequada gestão patrimonial.</w:t>
            </w:r>
          </w:p>
          <w:p w14:paraId="3E26EB98" w14:textId="77777777" w:rsidR="001F57E8" w:rsidRPr="001F57E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A opção pelo item único contribui para a coerência do planejamento, facilita a fiscalização contratual, reduz riscos de incompatibilidade técnica entre veículos e assegura maior competitividade no certame, ao permitir a participação de fornecedores capazes de atender integralmente às especificações estabelecidas.</w:t>
            </w:r>
          </w:p>
          <w:p w14:paraId="2EFD175B" w14:textId="1B8CECCD" w:rsidR="008F76F3" w:rsidRPr="009A6D18" w:rsidRDefault="001F57E8" w:rsidP="001F57E8">
            <w:pPr>
              <w:spacing w:after="0" w:line="276" w:lineRule="auto"/>
              <w:ind w:firstLine="596"/>
              <w:rPr>
                <w:rFonts w:ascii="Times New Roman" w:hAnsi="Times New Roman" w:cs="Times New Roman"/>
                <w:sz w:val="20"/>
                <w:szCs w:val="20"/>
              </w:rPr>
            </w:pPr>
            <w:r w:rsidRPr="001F57E8">
              <w:rPr>
                <w:rFonts w:ascii="Times New Roman" w:hAnsi="Times New Roman" w:cs="Times New Roman"/>
                <w:sz w:val="20"/>
                <w:szCs w:val="20"/>
              </w:rPr>
              <w:t>Dessa forma, o parcelamento adotado revela-se tecnicamente adequado, juridicamente regular e alinhado ao interesse público, atendendo aos princípios da eficiência, da economicidade, da padronização e da isonomia, bem como às diretrizes estabelecidas na Lei nº 14.133/2021.</w:t>
            </w:r>
          </w:p>
        </w:tc>
      </w:tr>
    </w:tbl>
    <w:p w14:paraId="46D1E7CB" w14:textId="77777777" w:rsidR="008F76F3" w:rsidRPr="009A6D18" w:rsidRDefault="008F76F3" w:rsidP="008257DA">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9A6D18" w14:paraId="4EBDFB55" w14:textId="77777777" w:rsidTr="00C3667F">
        <w:tc>
          <w:tcPr>
            <w:tcW w:w="9209" w:type="dxa"/>
          </w:tcPr>
          <w:p w14:paraId="7DB61E86" w14:textId="39419011" w:rsidR="008F76F3" w:rsidRPr="009A6D18" w:rsidRDefault="00D529A4" w:rsidP="008257DA">
            <w:pPr>
              <w:spacing w:after="0" w:line="276" w:lineRule="auto"/>
              <w:ind w:firstLine="0"/>
              <w:rPr>
                <w:rFonts w:ascii="Times New Roman" w:hAnsi="Times New Roman" w:cs="Times New Roman"/>
                <w:b/>
                <w:sz w:val="20"/>
                <w:szCs w:val="20"/>
              </w:rPr>
            </w:pPr>
            <w:r w:rsidRPr="009A6D18">
              <w:rPr>
                <w:rFonts w:ascii="Times New Roman" w:hAnsi="Times New Roman" w:cs="Times New Roman"/>
                <w:b/>
                <w:sz w:val="20"/>
                <w:szCs w:val="20"/>
              </w:rPr>
              <w:t>10</w:t>
            </w:r>
            <w:r w:rsidR="008F76F3" w:rsidRPr="009A6D18">
              <w:rPr>
                <w:rFonts w:ascii="Times New Roman" w:hAnsi="Times New Roman" w:cs="Times New Roman"/>
                <w:b/>
                <w:sz w:val="20"/>
                <w:szCs w:val="20"/>
              </w:rPr>
              <w:t xml:space="preserve"> - DEMONSTRATIVO DOS RESULTADOS PRETENDIDOS</w:t>
            </w:r>
            <w:r w:rsidR="00FC4923" w:rsidRPr="009A6D18">
              <w:rPr>
                <w:rFonts w:ascii="Times New Roman" w:hAnsi="Times New Roman" w:cs="Times New Roman"/>
                <w:b/>
                <w:sz w:val="20"/>
                <w:szCs w:val="20"/>
              </w:rPr>
              <w:t>:</w:t>
            </w:r>
          </w:p>
        </w:tc>
      </w:tr>
      <w:tr w:rsidR="008F76F3" w:rsidRPr="009A6D18" w14:paraId="197EBD89" w14:textId="77777777" w:rsidTr="00C3667F">
        <w:tc>
          <w:tcPr>
            <w:tcW w:w="9209" w:type="dxa"/>
            <w:shd w:val="clear" w:color="auto" w:fill="F2F2F2" w:themeFill="background1" w:themeFillShade="F2"/>
          </w:tcPr>
          <w:p w14:paraId="695FC112" w14:textId="08A850CC"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9A6D18">
              <w:rPr>
                <w:rFonts w:ascii="Times New Roman" w:eastAsia="Times New Roman" w:hAnsi="Times New Roman" w:cs="Times New Roman"/>
                <w:color w:val="000000"/>
                <w:sz w:val="20"/>
                <w:szCs w:val="20"/>
                <w:lang w:eastAsia="pt-BR"/>
              </w:rPr>
              <w:t>inciso IX do § 1° do art. 18 da Lei 14.133/21)</w:t>
            </w:r>
            <w:r w:rsidR="00E776F1" w:rsidRPr="009A6D18">
              <w:rPr>
                <w:rFonts w:ascii="Times New Roman" w:eastAsia="Times New Roman" w:hAnsi="Times New Roman" w:cs="Times New Roman"/>
                <w:color w:val="000000"/>
                <w:sz w:val="20"/>
                <w:szCs w:val="20"/>
                <w:lang w:eastAsia="pt-BR"/>
              </w:rPr>
              <w:t>:</w:t>
            </w:r>
          </w:p>
        </w:tc>
      </w:tr>
      <w:tr w:rsidR="00A42A6B" w:rsidRPr="009A6D18" w14:paraId="01B06BA0" w14:textId="77777777" w:rsidTr="00C3667F">
        <w:tc>
          <w:tcPr>
            <w:tcW w:w="9209" w:type="dxa"/>
          </w:tcPr>
          <w:p w14:paraId="38197A84"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A contratação de caminhões basculantes novos (0 km), do tipo trucado e traçado (6x4), por meio de Pregão Eletrônico, preferencialmente com a adoção do Sistema de Registro de Preços, visa promover ganhos concretos de economicidade, eficiência operacional e racionalização do uso dos recursos públicos disponíveis, atendendo às demandas permanentes da Secretaria Municipal de Obras, Infraestrutura e Mobilidade e ao suporte às demais áreas da Administração Municipal.</w:t>
            </w:r>
          </w:p>
          <w:p w14:paraId="300CB843"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Do ponto de vista da economicidade, a escolha do Pregão Eletrônico amplia a competitividade, assegura transparência e favorece a obtenção de propostas mais vantajosas, ao passo que o Sistema de Registro de Preços permite que as aquisições ocorram conforme a efetiva necessidade administrativa e a disponibilidade orçamentária. Tal modelo reduz riscos de compras antecipadas desnecessárias, evita despesas decorrentes de locações ou terceirizações pontuais e contribui para a diminuição de custos indiretos relacionados à manutenção excessiva de veículos obsoletos, garantindo melhor relação custo-benefício ao longo da vida útil dos bens.</w:t>
            </w:r>
          </w:p>
          <w:p w14:paraId="3D7009A0"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Quanto ao aproveitamento dos recursos humanos, a incorporação de veículos modernos, confiáveis e adequados às condições operacionais do Município resulta em maior produtividade das equipes, redução do tempo de execução dos serviços e menor incidência de retrabalhos. A padronização da frota e a simplicidade da gestão contratual permitem fiscalização mais eficiente e direcionamento dos servidores para atividades finalísticas, enquanto as orientações técnicas fornecidas no momento da entrega contribuem para o uso adequado dos veículos e para o aprimoramento das competências práticas dos operadores.</w:t>
            </w:r>
          </w:p>
          <w:p w14:paraId="198C0CE3"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No que se refere aos recursos materiais, a aquisição de caminhões basculantes novos, dotados de especificações técnicas compatíveis com uso severo e acompanhados de assistência técnica regionalizada, assegura maior disponibilidade da frota, menor índice de falhas mecânicas e ampliação da vida útil dos bens. Esses veículos fortalecem a capacidade operacional do Município no transporte de materiais, na execução de obras públicas, na manutenção de vias urbanas e rurais e no atendimento a situações emergenciais, promovendo uso mais eficiente e racional do patrimônio público.</w:t>
            </w:r>
          </w:p>
          <w:p w14:paraId="555AF13C"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Sob a ótica financeira, a contratação possibilita alocação precisa e planejada dos recursos públicos, inclusive daqueles oriundos de emendas parlamentares, direcionando o investimento a uma demanda prioritária e permanente da Administração. A previsibilidade dos custos e a redução de despesas indiretas contribuem para maior controle orçamentário e financeiro, assegurando sustentabilidade da despesa e melhor aproveitamento dos recursos disponíveis.</w:t>
            </w:r>
          </w:p>
          <w:p w14:paraId="2E39FD1F" w14:textId="28D9814D" w:rsidR="00A42A6B" w:rsidRPr="009A6D1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Dessa forma, a solução adotada proporciona ganhos estruturais à Administração Municipal, traduzidos em maior eficiência operacional, redução de custos, melhoria da qualidade dos serviços públicos e racionalização do uso dos recursos humanos, materiais e financeiros, fortalecendo a capacidade do Município de Paverama em atender às demandas cotidianas e emergenciais da infraestrutura urbana e rural, em estrita observância aos princípios da boa gestão pública e às disposições da Lei nº 14.133/2021.</w:t>
            </w:r>
          </w:p>
        </w:tc>
      </w:tr>
    </w:tbl>
    <w:p w14:paraId="5284EC27" w14:textId="77777777" w:rsidR="008F76F3" w:rsidRPr="009A6D18" w:rsidRDefault="008F76F3" w:rsidP="008257DA">
      <w:pPr>
        <w:spacing w:after="0" w:line="276" w:lineRule="auto"/>
        <w:rPr>
          <w:rFonts w:ascii="Times New Roman" w:eastAsia="Times New Roman" w:hAnsi="Times New Roman" w:cs="Times New Roman"/>
          <w:i/>
          <w:sz w:val="20"/>
          <w:szCs w:val="20"/>
          <w:lang w:eastAsia="pt-BR"/>
        </w:rPr>
      </w:pPr>
      <w:r w:rsidRPr="009A6D18">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9A6D18" w14:paraId="3675C491" w14:textId="77777777" w:rsidTr="00C3667F">
        <w:tc>
          <w:tcPr>
            <w:tcW w:w="9209" w:type="dxa"/>
          </w:tcPr>
          <w:p w14:paraId="506464A4" w14:textId="00AB3622"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1</w:t>
            </w:r>
            <w:r w:rsidRPr="009A6D18">
              <w:rPr>
                <w:rFonts w:ascii="Times New Roman" w:eastAsia="Times New Roman" w:hAnsi="Times New Roman" w:cs="Times New Roman"/>
                <w:b/>
                <w:bCs/>
                <w:color w:val="000000"/>
                <w:sz w:val="20"/>
                <w:szCs w:val="20"/>
                <w:lang w:eastAsia="pt-BR"/>
              </w:rPr>
              <w:t xml:space="preserve"> – PROVIDÊNCIAS PRÉVIAS AO CONTRATO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0577C84C" w14:textId="77777777" w:rsidTr="00C3667F">
        <w:tc>
          <w:tcPr>
            <w:tcW w:w="9209" w:type="dxa"/>
            <w:shd w:val="clear" w:color="auto" w:fill="F2F2F2" w:themeFill="background1" w:themeFillShade="F2"/>
          </w:tcPr>
          <w:p w14:paraId="5F02B21C"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bookmarkStart w:id="0" w:name="_Hlk190197186"/>
            <w:r w:rsidRPr="009A6D18">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9A6D18">
              <w:rPr>
                <w:rFonts w:ascii="Times New Roman" w:eastAsia="Times New Roman" w:hAnsi="Times New Roman" w:cs="Times New Roman"/>
                <w:color w:val="000000"/>
                <w:sz w:val="20"/>
                <w:szCs w:val="20"/>
                <w:lang w:eastAsia="pt-BR"/>
              </w:rPr>
              <w:t xml:space="preserve"> (inciso X do § 1° do art. 18 da Lei 14.133/21); </w:t>
            </w:r>
          </w:p>
        </w:tc>
      </w:tr>
      <w:tr w:rsidR="008F76F3" w:rsidRPr="009A6D18" w14:paraId="788C998C" w14:textId="77777777" w:rsidTr="00C3667F">
        <w:tc>
          <w:tcPr>
            <w:tcW w:w="9209" w:type="dxa"/>
          </w:tcPr>
          <w:p w14:paraId="0A41B632" w14:textId="77777777" w:rsidR="004B7578" w:rsidRPr="004B757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Para assegurar a adequada execução da aquisição eventual e parcelada de caminhões basculantes, destinados ao atendimento das demandas da Secretaria Municipal de Obras, Infraestrutura e Mobilidade, bem como ao suporte às demais secretarias municipais, a Administração adotará, previamente à formalização da contratação, as seguintes providências:</w:t>
            </w:r>
          </w:p>
          <w:p w14:paraId="340738DE" w14:textId="708386D3" w:rsidR="004B7578" w:rsidRPr="004B757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1) Elaboração do Edital e do Termo de Referência:</w:t>
            </w:r>
            <w:r w:rsidR="00396168">
              <w:rPr>
                <w:rFonts w:ascii="Times New Roman" w:hAnsi="Times New Roman" w:cs="Times New Roman"/>
                <w:sz w:val="20"/>
                <w:szCs w:val="20"/>
              </w:rPr>
              <w:t xml:space="preserve"> </w:t>
            </w:r>
            <w:r w:rsidRPr="004B7578">
              <w:rPr>
                <w:rFonts w:ascii="Times New Roman" w:hAnsi="Times New Roman" w:cs="Times New Roman"/>
                <w:sz w:val="20"/>
                <w:szCs w:val="20"/>
              </w:rPr>
              <w:t>Com base neste Estudo Técnico Preliminar, será elaborado o Termo de Referência e o respectivo Edital, contendo especificações técnicas claras e objetivas, critérios de julgamento compatíveis com a natureza do objeto, exigências legais proporcionais e parâmetros mínimos de qualidade e desempenho, assegurando isonomia entre os licitantes e adequada execução da contratação.</w:t>
            </w:r>
          </w:p>
          <w:p w14:paraId="6CBB8211" w14:textId="035CF2A7" w:rsidR="004B7578" w:rsidRPr="004B757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2) Publicação e divulgação do certame:</w:t>
            </w:r>
            <w:r w:rsidR="00396168">
              <w:rPr>
                <w:rFonts w:ascii="Times New Roman" w:hAnsi="Times New Roman" w:cs="Times New Roman"/>
                <w:sz w:val="20"/>
                <w:szCs w:val="20"/>
              </w:rPr>
              <w:t xml:space="preserve"> </w:t>
            </w:r>
            <w:r w:rsidRPr="004B7578">
              <w:rPr>
                <w:rFonts w:ascii="Times New Roman" w:hAnsi="Times New Roman" w:cs="Times New Roman"/>
                <w:sz w:val="20"/>
                <w:szCs w:val="20"/>
              </w:rPr>
              <w:t>O procedimento licitatório será amplamente divulgado por meio do Portal Nacional de Contratações Públicas (PNCP), do Portal da Transparência do Município e dos demais meios oficiais previstos em lei, garantindo publicidade, legalidade, competitividade e amplo acesso aos potenciais interessados.</w:t>
            </w:r>
          </w:p>
          <w:p w14:paraId="21F91B29" w14:textId="641504F1" w:rsidR="004B7578" w:rsidRPr="004B757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3) Designação da equipe de gestão e fiscalização contratual:</w:t>
            </w:r>
            <w:r w:rsidR="00396168">
              <w:rPr>
                <w:rFonts w:ascii="Times New Roman" w:hAnsi="Times New Roman" w:cs="Times New Roman"/>
                <w:sz w:val="20"/>
                <w:szCs w:val="20"/>
              </w:rPr>
              <w:t xml:space="preserve"> </w:t>
            </w:r>
            <w:r w:rsidRPr="004B7578">
              <w:rPr>
                <w:rFonts w:ascii="Times New Roman" w:hAnsi="Times New Roman" w:cs="Times New Roman"/>
                <w:sz w:val="20"/>
                <w:szCs w:val="20"/>
              </w:rPr>
              <w:t>A autoridade competente designará formalmente os servidores responsáveis pela gestão e fiscalização da contratação, em observância à Lei nº 14.133/2021, às orientações do Tribunal de Contas do Estado do Rio Grande do Sul e aos princípios da segregação de funções, da responsabilidade técnica e do controle da execução contratual.</w:t>
            </w:r>
          </w:p>
          <w:p w14:paraId="77F39849" w14:textId="57F63B03" w:rsidR="004B7578" w:rsidRPr="004B757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4) Capacitação dos agentes designados:</w:t>
            </w:r>
            <w:r w:rsidR="00396168">
              <w:rPr>
                <w:rFonts w:ascii="Times New Roman" w:hAnsi="Times New Roman" w:cs="Times New Roman"/>
                <w:sz w:val="20"/>
                <w:szCs w:val="20"/>
              </w:rPr>
              <w:t xml:space="preserve"> </w:t>
            </w:r>
            <w:r w:rsidRPr="004B7578">
              <w:rPr>
                <w:rFonts w:ascii="Times New Roman" w:hAnsi="Times New Roman" w:cs="Times New Roman"/>
                <w:sz w:val="20"/>
                <w:szCs w:val="20"/>
              </w:rPr>
              <w:t>Os servidores designados para a gestão e fiscalização receberão orientações e, quando necessário, capacitação específica quanto aos aspectos técnicos, administrativos e legais relacionados ao objeto, incluindo procedimentos de recebimento provisório e definitivo, conferência documental, controle de prazos, registro de ocorrências e aplicação de sanções.</w:t>
            </w:r>
          </w:p>
          <w:p w14:paraId="2B871955" w14:textId="4B357CD5" w:rsidR="004B7578" w:rsidRPr="004B757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5) Definição prévia dos locais de entrega e da logística:</w:t>
            </w:r>
            <w:r w:rsidR="00396168">
              <w:rPr>
                <w:rFonts w:ascii="Times New Roman" w:hAnsi="Times New Roman" w:cs="Times New Roman"/>
                <w:sz w:val="20"/>
                <w:szCs w:val="20"/>
              </w:rPr>
              <w:t xml:space="preserve"> </w:t>
            </w:r>
            <w:r w:rsidRPr="004B7578">
              <w:rPr>
                <w:rFonts w:ascii="Times New Roman" w:hAnsi="Times New Roman" w:cs="Times New Roman"/>
                <w:sz w:val="20"/>
                <w:szCs w:val="20"/>
              </w:rPr>
              <w:t>Serão previamente definidos os locais de entrega dos veículos, bem como as condições logísticas necessárias para o recebimento, inspeção técnica, conferência de documentação, emplacamento e aceitação definitiva, observando-se o cronograma operacional da Secretaria requisitante.</w:t>
            </w:r>
          </w:p>
          <w:p w14:paraId="71884B2B" w14:textId="302EFFD7" w:rsidR="004B7578" w:rsidRPr="004B757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6) Planejamento e padronização da fiscalização:</w:t>
            </w:r>
            <w:r w:rsidR="00396168">
              <w:rPr>
                <w:rFonts w:ascii="Times New Roman" w:hAnsi="Times New Roman" w:cs="Times New Roman"/>
                <w:sz w:val="20"/>
                <w:szCs w:val="20"/>
              </w:rPr>
              <w:t xml:space="preserve"> </w:t>
            </w:r>
            <w:r w:rsidRPr="004B7578">
              <w:rPr>
                <w:rFonts w:ascii="Times New Roman" w:hAnsi="Times New Roman" w:cs="Times New Roman"/>
                <w:sz w:val="20"/>
                <w:szCs w:val="20"/>
              </w:rPr>
              <w:t>Serão estabelecidos procedimentos padronizados de fiscalização, contemplando a verificação da conformidade dos veículos com as especificações do Termo de Referência, o acompanhamento das entregas, a identificação de eventuais não conformidades e a adoção das medidas corretivas e sancionatórias cabíveis, quando necessário.</w:t>
            </w:r>
          </w:p>
          <w:p w14:paraId="6E73A952" w14:textId="71EC48D8" w:rsidR="004B7578" w:rsidRPr="004B757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7) Verificação prévia da documentação dos licitantes:</w:t>
            </w:r>
            <w:r w:rsidR="00396168">
              <w:rPr>
                <w:rFonts w:ascii="Times New Roman" w:hAnsi="Times New Roman" w:cs="Times New Roman"/>
                <w:sz w:val="20"/>
                <w:szCs w:val="20"/>
              </w:rPr>
              <w:t xml:space="preserve"> </w:t>
            </w:r>
            <w:r w:rsidRPr="004B7578">
              <w:rPr>
                <w:rFonts w:ascii="Times New Roman" w:hAnsi="Times New Roman" w:cs="Times New Roman"/>
                <w:sz w:val="20"/>
                <w:szCs w:val="20"/>
              </w:rPr>
              <w:t>Na fase de habilitação, será realizada análise criteriosa da regularidade jurídica, fiscal, trabalhista, econômico-financeira e técnica dos licitantes, assegurando que apenas empresas devidamente qualificadas e aptas participem da contratação, em conformidade com as exigências legais e editalícias.</w:t>
            </w:r>
          </w:p>
          <w:p w14:paraId="5F4BC334" w14:textId="670F608E" w:rsidR="007E6D7D" w:rsidRPr="009A6D18" w:rsidRDefault="004B7578" w:rsidP="004B7578">
            <w:pPr>
              <w:spacing w:after="0" w:line="276" w:lineRule="auto"/>
              <w:ind w:firstLine="598"/>
              <w:rPr>
                <w:rFonts w:ascii="Times New Roman" w:hAnsi="Times New Roman" w:cs="Times New Roman"/>
                <w:sz w:val="20"/>
                <w:szCs w:val="20"/>
              </w:rPr>
            </w:pPr>
            <w:r w:rsidRPr="004B7578">
              <w:rPr>
                <w:rFonts w:ascii="Times New Roman" w:hAnsi="Times New Roman" w:cs="Times New Roman"/>
                <w:sz w:val="20"/>
                <w:szCs w:val="20"/>
              </w:rPr>
              <w:t>A adoção dessas providências visa assegurar a legalidade, eficiência, rastreabilidade e efetivo controle da execução contratual, promovendo a correta aplicação dos recursos públicos, a adequada incorporação dos veículos à frota municipal e o fortalecimento da capacidade operacional da Administração Municipal de Paverama, em consonância com os princípios da boa governança e da Lei nº 14.133/2021.</w:t>
            </w:r>
          </w:p>
        </w:tc>
      </w:tr>
    </w:tbl>
    <w:p w14:paraId="44EB9322" w14:textId="77777777" w:rsidR="008F76F3" w:rsidRPr="009A6D18" w:rsidRDefault="008F76F3" w:rsidP="008257DA">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9A6D18" w14:paraId="515B6EF4" w14:textId="77777777" w:rsidTr="00C3667F">
        <w:tc>
          <w:tcPr>
            <w:tcW w:w="9209" w:type="dxa"/>
          </w:tcPr>
          <w:p w14:paraId="1C78622F" w14:textId="4E32E31E" w:rsidR="008F76F3" w:rsidRPr="009A6D18"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2</w:t>
            </w:r>
            <w:r w:rsidRPr="009A6D18">
              <w:rPr>
                <w:rFonts w:ascii="Times New Roman" w:eastAsia="Times New Roman" w:hAnsi="Times New Roman" w:cs="Times New Roman"/>
                <w:b/>
                <w:bCs/>
                <w:color w:val="000000"/>
                <w:sz w:val="20"/>
                <w:szCs w:val="20"/>
                <w:lang w:eastAsia="pt-BR"/>
              </w:rPr>
              <w:t xml:space="preserve"> – CONTRATAÇÕES CORRELATAS/INTERDEPENDENTES</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455DD9E4" w14:textId="77777777" w:rsidTr="00C3667F">
        <w:tc>
          <w:tcPr>
            <w:tcW w:w="9209" w:type="dxa"/>
            <w:shd w:val="clear" w:color="auto" w:fill="F2F2F2" w:themeFill="background1" w:themeFillShade="F2"/>
          </w:tcPr>
          <w:p w14:paraId="3BBC643A"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9A6D18" w14:paraId="1A83E025" w14:textId="77777777" w:rsidTr="00C3667F">
        <w:tc>
          <w:tcPr>
            <w:tcW w:w="9209" w:type="dxa"/>
          </w:tcPr>
          <w:p w14:paraId="567B8F09"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Para assegurar a efetividade, segurança, durabilidade e continuidade do uso dos caminhões basculantes a serem adquiridos, faz-se necessária a análise das contratações correlatas ou interdependentes que, direta ou indiretamente, complementam a aquisição principal e garantem o pleno aproveitamento dos recursos públicos investidos. Tais contratações estão relacionadas à operação, manutenção, gestão da frota e suporte logístico, indispensáveis para que os veículos cumpram adequadamente sua função no âmbito da infraestrutura urbana e rural do Município de Paverama.</w:t>
            </w:r>
          </w:p>
          <w:p w14:paraId="5BB24E39"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Nesse contexto, identificam-se como contratações correlatas e/ou interdependentes as seguintes:</w:t>
            </w:r>
          </w:p>
          <w:p w14:paraId="37FB3DE4" w14:textId="28F0F59C"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1) Serviços de manutenção preventiva e corretiva da frota</w:t>
            </w:r>
            <w:r>
              <w:rPr>
                <w:rFonts w:ascii="Times New Roman" w:hAnsi="Times New Roman" w:cs="Times New Roman"/>
                <w:sz w:val="20"/>
                <w:szCs w:val="20"/>
              </w:rPr>
              <w:t xml:space="preserve"> - </w:t>
            </w:r>
            <w:r w:rsidRPr="004B7578">
              <w:rPr>
                <w:rFonts w:ascii="Times New Roman" w:hAnsi="Times New Roman" w:cs="Times New Roman"/>
                <w:sz w:val="20"/>
                <w:szCs w:val="20"/>
              </w:rPr>
              <w:t>Ainda que os veículos contem com garantia de fábrica, é necessária a previsão de futuras contratações para manutenção preventiva e corretiva após o término da garantia, incluindo fornecimento de peças, serviços mecânicos, elétricos e hidráulicos. Essas contratações são essenciais para preservar a vida útil dos veículos, reduzir riscos de paralisação e assegurar a continuidade dos serviços públicos.</w:t>
            </w:r>
          </w:p>
          <w:p w14:paraId="7D3A4570" w14:textId="54E53AF0"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2) Fornecimento contínuo de insumos operacionais</w:t>
            </w:r>
            <w:r>
              <w:rPr>
                <w:rFonts w:ascii="Times New Roman" w:hAnsi="Times New Roman" w:cs="Times New Roman"/>
                <w:sz w:val="20"/>
                <w:szCs w:val="20"/>
              </w:rPr>
              <w:t xml:space="preserve"> - </w:t>
            </w:r>
            <w:r w:rsidRPr="004B7578">
              <w:rPr>
                <w:rFonts w:ascii="Times New Roman" w:hAnsi="Times New Roman" w:cs="Times New Roman"/>
                <w:sz w:val="20"/>
                <w:szCs w:val="20"/>
              </w:rPr>
              <w:t>Contratações relativas ao fornecimento de combustíveis, lubrificantes, filtros, pneus e demais insumos necessários à operação regular dos caminhões basculantes constituem interdependência direta com a aquisição principal, sendo indispensáveis para a utilização plena e contínua dos veículos.</w:t>
            </w:r>
          </w:p>
          <w:p w14:paraId="3F267F66" w14:textId="2B7A33C5"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3) Serviços de seguros veiculares</w:t>
            </w:r>
            <w:r>
              <w:rPr>
                <w:rFonts w:ascii="Times New Roman" w:hAnsi="Times New Roman" w:cs="Times New Roman"/>
                <w:sz w:val="20"/>
                <w:szCs w:val="20"/>
              </w:rPr>
              <w:t xml:space="preserve"> - </w:t>
            </w:r>
            <w:r w:rsidRPr="004B7578">
              <w:rPr>
                <w:rFonts w:ascii="Times New Roman" w:hAnsi="Times New Roman" w:cs="Times New Roman"/>
                <w:sz w:val="20"/>
                <w:szCs w:val="20"/>
              </w:rPr>
              <w:t>A contratação de seguros para a frota, abrangendo cobertura contra danos, sinistros, furtos, roubos e responsabilidade civil, configura medida complementar relevante para mitigação de riscos patrimoniais e financeiros, protegendo o investimento público e assegurando maior segurança na operação dos veículos.</w:t>
            </w:r>
          </w:p>
          <w:p w14:paraId="7DDDA635" w14:textId="00821B3D"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4) Capacitação e orientação de servidores municipais</w:t>
            </w:r>
            <w:r>
              <w:rPr>
                <w:rFonts w:ascii="Times New Roman" w:hAnsi="Times New Roman" w:cs="Times New Roman"/>
                <w:sz w:val="20"/>
                <w:szCs w:val="20"/>
              </w:rPr>
              <w:t xml:space="preserve"> - </w:t>
            </w:r>
            <w:r w:rsidRPr="004B7578">
              <w:rPr>
                <w:rFonts w:ascii="Times New Roman" w:hAnsi="Times New Roman" w:cs="Times New Roman"/>
                <w:sz w:val="20"/>
                <w:szCs w:val="20"/>
              </w:rPr>
              <w:t>Embora a operação dos caminhões basculantes seja realizada por servidores já habilitados, pode ser necessária capacitação complementar ou orientação técnica específica, especialmente quanto ao uso adequado do sistema basculante, condução em condições severas, manutenção preventiva básica e boas práticas de segurança, contribuindo para redução de falhas operacionais e acidentes.</w:t>
            </w:r>
          </w:p>
          <w:p w14:paraId="27306116" w14:textId="5996E565"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5) Serviços de gestão e controle da frota</w:t>
            </w:r>
            <w:r>
              <w:rPr>
                <w:rFonts w:ascii="Times New Roman" w:hAnsi="Times New Roman" w:cs="Times New Roman"/>
                <w:sz w:val="20"/>
                <w:szCs w:val="20"/>
              </w:rPr>
              <w:t xml:space="preserve"> - </w:t>
            </w:r>
            <w:r w:rsidRPr="004B7578">
              <w:rPr>
                <w:rFonts w:ascii="Times New Roman" w:hAnsi="Times New Roman" w:cs="Times New Roman"/>
                <w:sz w:val="20"/>
                <w:szCs w:val="20"/>
              </w:rPr>
              <w:t>Eventuais contratações ou ferramentas de apoio à gestão da frota, como sistemas de controle de manutenção, consumo de combustível e uso dos veículos, contribuem para maior eficiência administrativa, rastreabilidade das operações e melhor planejamento das intervenções mecânicas e operacionais.</w:t>
            </w:r>
          </w:p>
          <w:p w14:paraId="619EF522" w14:textId="390F53F3"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6) Serviços de apoio logístico e operacional</w:t>
            </w:r>
            <w:r>
              <w:rPr>
                <w:rFonts w:ascii="Times New Roman" w:hAnsi="Times New Roman" w:cs="Times New Roman"/>
                <w:sz w:val="20"/>
                <w:szCs w:val="20"/>
              </w:rPr>
              <w:t xml:space="preserve"> - </w:t>
            </w:r>
            <w:r w:rsidRPr="004B7578">
              <w:rPr>
                <w:rFonts w:ascii="Times New Roman" w:hAnsi="Times New Roman" w:cs="Times New Roman"/>
                <w:sz w:val="20"/>
                <w:szCs w:val="20"/>
              </w:rPr>
              <w:t>Em situações específicas, poderá haver interdependência com serviços de apoio logístico, tais como transporte de materiais em conjunto com outros equipamentos, utilização de maquinário complementar e coordenação de frentes de trabalho, especialmente em obras de maior complexidade ou em atendimentos emergenciais.</w:t>
            </w:r>
          </w:p>
          <w:p w14:paraId="3C7CCAFB" w14:textId="685977C5" w:rsidR="008F76F3" w:rsidRPr="009A6D1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A identificação dessas contratações correlatas ou interdependentes permite à Administração planejar de forma integrada a gestão da frota, evitando descontinuidade dos serviços, reduzindo custos operacionais e assegurando maior eficiência no uso dos caminhões basculantes. Ademais, tal análise contribui para a correta alocação dos recursos públicos, para o fortalecimento da infraestrutura municipal e para a melhoria da qualidade dos serviços prestados à população, em consonância com os princípios da eficiência, economicidade, planejamento e interesse público.</w:t>
            </w:r>
          </w:p>
        </w:tc>
      </w:tr>
    </w:tbl>
    <w:p w14:paraId="503AA091" w14:textId="77777777" w:rsidR="008F76F3" w:rsidRPr="009A6D18"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3D90EBFB" w14:textId="77777777" w:rsidTr="000F458C">
        <w:tc>
          <w:tcPr>
            <w:tcW w:w="9209" w:type="dxa"/>
          </w:tcPr>
          <w:p w14:paraId="742EAC32" w14:textId="6DFC7695" w:rsidR="008F76F3" w:rsidRPr="009A6D18"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9A6D18">
              <w:rPr>
                <w:rFonts w:ascii="Times New Roman" w:eastAsia="Times New Roman" w:hAnsi="Times New Roman" w:cs="Times New Roman"/>
                <w:b/>
                <w:bCs/>
                <w:color w:val="000000"/>
                <w:sz w:val="20"/>
                <w:szCs w:val="20"/>
                <w:lang w:eastAsia="pt-BR"/>
              </w:rPr>
              <w:t>1</w:t>
            </w:r>
            <w:r w:rsidR="00D529A4" w:rsidRPr="009A6D18">
              <w:rPr>
                <w:rFonts w:ascii="Times New Roman" w:eastAsia="Times New Roman" w:hAnsi="Times New Roman" w:cs="Times New Roman"/>
                <w:b/>
                <w:bCs/>
                <w:color w:val="000000"/>
                <w:sz w:val="20"/>
                <w:szCs w:val="20"/>
                <w:lang w:eastAsia="pt-BR"/>
              </w:rPr>
              <w:t>3</w:t>
            </w:r>
            <w:r w:rsidRPr="009A6D18">
              <w:rPr>
                <w:rFonts w:ascii="Times New Roman" w:eastAsia="Times New Roman" w:hAnsi="Times New Roman" w:cs="Times New Roman"/>
                <w:b/>
                <w:bCs/>
                <w:color w:val="000000"/>
                <w:sz w:val="20"/>
                <w:szCs w:val="20"/>
                <w:lang w:eastAsia="pt-BR"/>
              </w:rPr>
              <w:t xml:space="preserve"> – IMPACTOS AMBIENTAIS</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22D5FB8B" w14:textId="77777777" w:rsidTr="000F458C">
        <w:tc>
          <w:tcPr>
            <w:tcW w:w="9209" w:type="dxa"/>
            <w:shd w:val="clear" w:color="auto" w:fill="F2F2F2" w:themeFill="background1" w:themeFillShade="F2"/>
          </w:tcPr>
          <w:p w14:paraId="7BB9D2B9" w14:textId="3A87AFF2"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9A6D18">
              <w:rPr>
                <w:rFonts w:ascii="Times New Roman" w:eastAsia="Times New Roman" w:hAnsi="Times New Roman" w:cs="Times New Roman"/>
                <w:color w:val="000000"/>
                <w:sz w:val="20"/>
                <w:szCs w:val="20"/>
                <w:lang w:eastAsia="pt-BR"/>
              </w:rPr>
              <w:t>inciso XII do § 1° do art. 18 da Lei 14.133/21)</w:t>
            </w:r>
            <w:r w:rsidR="00B62DC3" w:rsidRPr="009A6D18">
              <w:rPr>
                <w:rFonts w:ascii="Times New Roman" w:eastAsia="Times New Roman" w:hAnsi="Times New Roman" w:cs="Times New Roman"/>
                <w:color w:val="000000"/>
                <w:sz w:val="20"/>
                <w:szCs w:val="20"/>
                <w:lang w:eastAsia="pt-BR"/>
              </w:rPr>
              <w:t>:</w:t>
            </w:r>
          </w:p>
        </w:tc>
      </w:tr>
      <w:tr w:rsidR="008F76F3" w:rsidRPr="009A6D18" w14:paraId="0DDD108A" w14:textId="77777777" w:rsidTr="000F458C">
        <w:tc>
          <w:tcPr>
            <w:tcW w:w="9209" w:type="dxa"/>
          </w:tcPr>
          <w:p w14:paraId="3FB88532"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A aquisição de caminhões basculantes novos (0 km) envolve impactos ambientais associados às etapas de fabricação, transporte, operação, manutenção e destinação final dos veículos e de seus componentes. A produção de veículos pesados demanda o uso de matérias-primas metálicas, componentes mecânicos e insumos não renováveis, razão pela qual a Administração prioriza fornecedores que atendam integralmente às normas ambientais vigentes, adotem processos produtivos regulados e disponibilizem veículos com tecnologias atualizadas de controle de emissões e eficiência energética.</w:t>
            </w:r>
          </w:p>
          <w:p w14:paraId="7292888B"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No que se refere ao transporte e à logística de entrega, a exigência de assistência técnica regionalizada no Estado do Rio Grande do Sul contribui para a redução de deslocamentos excessivos, diminuindo emissões atmosféricas associadas a manutenções corretivas e revisões periódicas, além de otimizar o suporte técnico ao longo da vida útil dos veículos.</w:t>
            </w:r>
          </w:p>
          <w:p w14:paraId="14C66E94" w14:textId="1B26FE3D"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Durante a fase operacional, os caminhões basculantes gerarão impactos ambientais inerentes ao consumo de combustível, lubrificantes e à substituição periódica de peças e componentes. Como medida mitigadora, a contratação exige veículos que atendam aos padrões ambientais vigentes assegurando menor emissão de poluentes e melhor eficiência no consumo de combustível. Ademais, o uso adequado dos veículos será promovido por meio de orientações técnicas aos operadores, visando condução eficiente, manutenção preventiva adequada e redução de desgastes prematuros que possam ampliar impactos ambientais.</w:t>
            </w:r>
          </w:p>
          <w:p w14:paraId="040AC422"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Os resíduos gerados nas manutenções, tais como óleos lubrificantes usados, filtros, pneus e peças substituídas, deverão receber destinação ambientalmente adequada, observando-se a legislação ambiental aplicável e os princípios da logística reversa, quando cabível. Caberá à Administração assegurar que tais materiais sejam encaminhados a empresas ou sistemas legalmente autorizados, evitando descarte irregular e contaminação do solo ou dos recursos hídricos.</w:t>
            </w:r>
          </w:p>
          <w:p w14:paraId="6E608B88"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O armazenamento, a operação e o abastecimento dos veículos deverão observar boas práticas ambientais e de segurança, com utilização de áreas adequadas, controle de vazamentos, sinalização e procedimentos que minimizem riscos ambientais e ocupacionais. Ao final da vida útil dos caminhões, recomenda-se que os veículos e seus componentes metálicos e recicláveis sejam destinados a empresas especializadas, promovendo a reciclagem de materiais e a economia circular.</w:t>
            </w:r>
          </w:p>
          <w:p w14:paraId="0F029ED6" w14:textId="77777777" w:rsidR="004B7578" w:rsidRPr="004B757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Apesar dos impactos inerentes ao ciclo de vida dos veículos, a contratação produz efeitos ambientais positivos indiretos, na medida em que caminhões novos e tecnologicamente atualizados substituem veículos mais antigos e menos eficientes, reduzindo emissões, consumo excessivo de combustível e necessidade de manutenções frequentes. Além disso, a maior eficiência operacional contribui para a execução mais rápida e racional de serviços públicos, reduzindo deslocamentos desnecessários e retrabalhos.</w:t>
            </w:r>
          </w:p>
          <w:p w14:paraId="061FD28D" w14:textId="3C10D513" w:rsidR="00B62DC3" w:rsidRPr="009A6D18" w:rsidRDefault="004B7578" w:rsidP="004B7578">
            <w:pPr>
              <w:spacing w:after="0" w:line="276" w:lineRule="auto"/>
              <w:ind w:firstLine="596"/>
              <w:rPr>
                <w:rFonts w:ascii="Times New Roman" w:hAnsi="Times New Roman" w:cs="Times New Roman"/>
                <w:sz w:val="20"/>
                <w:szCs w:val="20"/>
              </w:rPr>
            </w:pPr>
            <w:r w:rsidRPr="004B7578">
              <w:rPr>
                <w:rFonts w:ascii="Times New Roman" w:hAnsi="Times New Roman" w:cs="Times New Roman"/>
                <w:sz w:val="20"/>
                <w:szCs w:val="20"/>
              </w:rPr>
              <w:t>Ressalta-se que todos os fornecedores deverão cumprir integralmente a legislação ambiental vigente, inclusive normas federais, estaduais e municipais aplicáveis, podendo ser responsabilizados administrativa, civil e ambientalmente em caso de descumprimento. A adoção dessas medidas reforça o compromisso da Administração Municipal com a contratação pública sustentável, a boa governança e a conformidade legal, em alinhamento aos princípios estabelecidos na Lei nº 14.133/2021 e às políticas públicas de preservação ambiental.</w:t>
            </w:r>
          </w:p>
        </w:tc>
      </w:tr>
    </w:tbl>
    <w:p w14:paraId="74D04324" w14:textId="77777777" w:rsidR="008F76F3" w:rsidRPr="009A6D18"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9A6D18" w14:paraId="1DAC76C7" w14:textId="77777777" w:rsidTr="000F458C">
        <w:tc>
          <w:tcPr>
            <w:tcW w:w="9209" w:type="dxa"/>
          </w:tcPr>
          <w:p w14:paraId="74ACA114" w14:textId="4E1E27C3" w:rsidR="008F76F3" w:rsidRPr="009A6D18" w:rsidRDefault="008F76F3" w:rsidP="008257DA">
            <w:pPr>
              <w:spacing w:after="0" w:line="276" w:lineRule="auto"/>
              <w:ind w:firstLine="0"/>
              <w:rPr>
                <w:rFonts w:ascii="Times New Roman" w:hAnsi="Times New Roman" w:cs="Times New Roman"/>
                <w:b/>
                <w:sz w:val="20"/>
                <w:szCs w:val="20"/>
              </w:rPr>
            </w:pPr>
            <w:r w:rsidRPr="009A6D18">
              <w:rPr>
                <w:rFonts w:ascii="Times New Roman" w:eastAsia="Times New Roman" w:hAnsi="Times New Roman" w:cs="Times New Roman"/>
                <w:b/>
                <w:bCs/>
                <w:color w:val="000000"/>
                <w:sz w:val="20"/>
                <w:szCs w:val="20"/>
                <w:lang w:eastAsia="pt-BR"/>
              </w:rPr>
              <w:t>1</w:t>
            </w:r>
            <w:r w:rsidR="00846187" w:rsidRPr="009A6D18">
              <w:rPr>
                <w:rFonts w:ascii="Times New Roman" w:eastAsia="Times New Roman" w:hAnsi="Times New Roman" w:cs="Times New Roman"/>
                <w:b/>
                <w:bCs/>
                <w:color w:val="000000"/>
                <w:sz w:val="20"/>
                <w:szCs w:val="20"/>
                <w:lang w:eastAsia="pt-BR"/>
              </w:rPr>
              <w:t>4</w:t>
            </w:r>
            <w:r w:rsidRPr="009A6D18">
              <w:rPr>
                <w:rFonts w:ascii="Times New Roman" w:eastAsia="Times New Roman" w:hAnsi="Times New Roman" w:cs="Times New Roman"/>
                <w:b/>
                <w:bCs/>
                <w:color w:val="000000"/>
                <w:sz w:val="20"/>
                <w:szCs w:val="20"/>
                <w:lang w:eastAsia="pt-BR"/>
              </w:rPr>
              <w:t xml:space="preserve"> – VIABILIDADE DA CONTRATAÇÃO</w:t>
            </w:r>
            <w:r w:rsidR="00FC4923" w:rsidRPr="009A6D18">
              <w:rPr>
                <w:rFonts w:ascii="Times New Roman" w:eastAsia="Times New Roman" w:hAnsi="Times New Roman" w:cs="Times New Roman"/>
                <w:b/>
                <w:bCs/>
                <w:color w:val="000000"/>
                <w:sz w:val="20"/>
                <w:szCs w:val="20"/>
                <w:lang w:eastAsia="pt-BR"/>
              </w:rPr>
              <w:t>:</w:t>
            </w:r>
          </w:p>
        </w:tc>
      </w:tr>
      <w:tr w:rsidR="008F76F3" w:rsidRPr="009A6D18" w14:paraId="72CA4F45" w14:textId="77777777" w:rsidTr="000F458C">
        <w:tc>
          <w:tcPr>
            <w:tcW w:w="9209" w:type="dxa"/>
            <w:shd w:val="clear" w:color="auto" w:fill="F2F2F2" w:themeFill="background1" w:themeFillShade="F2"/>
          </w:tcPr>
          <w:p w14:paraId="7C55632A" w14:textId="77777777" w:rsidR="008F76F3" w:rsidRPr="009A6D18"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9A6D18">
              <w:rPr>
                <w:rFonts w:ascii="Times New Roman" w:eastAsia="Times New Roman" w:hAnsi="Times New Roman" w:cs="Times New Roman"/>
                <w:bCs/>
                <w:color w:val="000000"/>
                <w:sz w:val="20"/>
                <w:szCs w:val="20"/>
                <w:lang w:eastAsia="pt-BR"/>
              </w:rPr>
              <w:t xml:space="preserve">Fundamentação: </w:t>
            </w:r>
            <w:r w:rsidRPr="009A6D18">
              <w:rPr>
                <w:rFonts w:ascii="Times New Roman" w:hAnsi="Times New Roman" w:cs="Times New Roman"/>
                <w:sz w:val="20"/>
                <w:szCs w:val="20"/>
              </w:rPr>
              <w:t>Posicionamento conclusivo sobre a adequação da contratação para o atendimento da necessidade a que se destina</w:t>
            </w:r>
            <w:r w:rsidRPr="009A6D18">
              <w:rPr>
                <w:rFonts w:ascii="Times New Roman" w:eastAsia="Times New Roman" w:hAnsi="Times New Roman" w:cs="Times New Roman"/>
                <w:color w:val="000000"/>
                <w:sz w:val="20"/>
                <w:szCs w:val="20"/>
                <w:lang w:eastAsia="pt-BR"/>
              </w:rPr>
              <w:t xml:space="preserve"> (inciso XIII do § 1° do art. 18 da Lei 14.133/21); </w:t>
            </w:r>
          </w:p>
        </w:tc>
      </w:tr>
      <w:tr w:rsidR="008F76F3" w:rsidRPr="009A6D18" w14:paraId="56CC54A4" w14:textId="77777777" w:rsidTr="000F458C">
        <w:tc>
          <w:tcPr>
            <w:tcW w:w="9209" w:type="dxa"/>
          </w:tcPr>
          <w:p w14:paraId="2FDCCB85"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A análise técnica, operacional, ambiental e econômica realizada neste Estudo Técnico Preliminar demonstra que a aquisição de caminhões basculantes novos (0 km), do tipo trucado e traçado (6x4), por meio de Pregão Eletrônico, preferencialmente com adoção do Sistema de Registro de Preços, apresenta plena viabilidade e constitui a alternativa mais adequada para suprir lacuna relevante na capacidade operacional da Secretaria Municipal de Obras, Infraestrutura e Mobilidade, bem como no suporte às demais secretarias municipais.</w:t>
            </w:r>
          </w:p>
          <w:p w14:paraId="5A2E9185"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Os caminhões basculantes são indispensáveis à execução de serviços públicos essenciais, notadamente no transporte de materiais, na manutenção de vias urbanas e rurais, na execução de obras públicas, na limpeza urbana e no atendimento a situações emergenciais decorrentes de intempéries ou intervenções urgentes na infraestrutura municipal. A insuficiência ou obsolescência da frota compromete diretamente a eficiência administrativa, a continuidade dos serviços e a qualidade do atendimento à população, o que torna a presente contratação necessária e oportuna.</w:t>
            </w:r>
          </w:p>
          <w:p w14:paraId="32E38A38"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A aquisição dos veículos permitirá a execução regular e contínua das atividades operacionais, reduzindo a sobrecarga da frota existente, minimizando riscos de paralisação por manutenções corretivas frequentes e ampliando a capacidade de resposta do Município a demandas simultâneas. Ademais, caminhões novos, com tecnologia atualizada, contribuem para maior confiabilidade mecânica, segurança dos operadores e melhor desempenho em condições severas de uso.</w:t>
            </w:r>
          </w:p>
          <w:p w14:paraId="019CB056"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A adoção do Sistema de Registro de Preços confere à Administração maior flexibilidade e previsibilidade, possibilitando a aquisição conforme a disponibilidade financeira e o planejamento operacional, sem necessidade de deflagração de novos certames. Ainda que a necessidade imediata identifique a aquisição mínima de dois veículos, o SRP permite melhor gestão orçamentária, reduz riscos de descontinuidade dos serviços e mantém a Administração preparada para eventuais demandas supervenientes.</w:t>
            </w:r>
          </w:p>
          <w:p w14:paraId="7FD0E7FB"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Elemento relevante para a viabilidade da contratação é a exigência de assistência técnica autorizada localizada no Estado do Rio Grande do Sul, assegurando atendimento célere, redução do tempo de indisponibilidade dos veículos e mitigação de custos indiretos decorrentes de deslocamentos excessivos. A proximidade geográfica do suporte técnico contribui, ainda, para menor impacto ambiental associado à manutenção e maior eficiência na gestão da frota.</w:t>
            </w:r>
          </w:p>
          <w:p w14:paraId="6F0F47B1"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O Pregão Eletrônico configura modalidade plenamente adequada ao objeto, por se tratar de bem comum, proporcionando ambiente competitivo favorável à obtenção do menor preço, transparência, segurança jurídica e economicidade. Tal escolha é especialmente relevante diante da utilização de recursos públicos vinculados, inclusive oriundos de emendas parlamentares, impondo à Administração o dever de aplicar os valores de forma eficiente, planejada e alinhada ao interesse público.</w:t>
            </w:r>
          </w:p>
          <w:p w14:paraId="46F813FF"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A contratação exigirá conformidade integral com as normas técnicas e legais vigentes, bem como a apresentação de documentação comprobatória, manuais e certificações pertinentes, assegurando que os veículos atendam aos padrões mínimos de desempenho, segurança, durabilidade e adequação ambiental. A entrega técnica e as orientações iniciais aos operadores reforçam a correta incorporação dos veículos às rotinas operacionais, promovendo uso adequado e redução de riscos.</w:t>
            </w:r>
          </w:p>
          <w:p w14:paraId="1C91F83A"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Sob o aspecto ambiental, a substituição ou complementação da frota com veículos novos e mais eficientes contribui para a redução de emissões, menor consumo de combustível e diminuição de impactos associados a manutenções frequentes e deslocamentos desnecessários. A gestão adequada da frota e a observância das normas ambientais reforçam o alinhamento da contratação às diretrizes de sustentabilidade da Administração Pública.</w:t>
            </w:r>
          </w:p>
          <w:p w14:paraId="5D528BEA" w14:textId="77777777" w:rsidR="004B7578" w:rsidRPr="004B757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A contratação observa rigorosamente os dispositivos da Lei nº 14.133/2021, atendendo aos princípios da legalidade, planejamento, eficiência, transparência e economicidade, conferindo segurança jurídica ao procedimento e reduzindo riscos de questionamentos futuros. O presente Estudo Técnico Preliminar estabelece bases sólidas para a elaboração do Termo de Referência, no qual serão detalhadas as especificações técnicas, as condições de fornecimento, garantia e assistência técnica.</w:t>
            </w:r>
          </w:p>
          <w:p w14:paraId="56500493" w14:textId="0355204B" w:rsidR="00BD7104" w:rsidRPr="009A6D18" w:rsidRDefault="004B7578" w:rsidP="004B7578">
            <w:pPr>
              <w:spacing w:after="0" w:line="276" w:lineRule="auto"/>
              <w:ind w:firstLine="594"/>
              <w:rPr>
                <w:rFonts w:ascii="Times New Roman" w:hAnsi="Times New Roman" w:cs="Times New Roman"/>
                <w:sz w:val="20"/>
                <w:szCs w:val="20"/>
              </w:rPr>
            </w:pPr>
            <w:r w:rsidRPr="004B7578">
              <w:rPr>
                <w:rFonts w:ascii="Times New Roman" w:hAnsi="Times New Roman" w:cs="Times New Roman"/>
                <w:sz w:val="20"/>
                <w:szCs w:val="20"/>
              </w:rPr>
              <w:t>Diante de todo o exposto, conclui-se que a contratação é tecnicamente necessária, operacionalmente adequada, economicamente vantajosa, ambientalmente responsável e juridicamente segura, representando a solução mais eficiente para atender às demandas do Município de Paverama, em plena consonância com o interesse público e com as normas que regem as contratações públicas.</w:t>
            </w:r>
          </w:p>
        </w:tc>
      </w:tr>
    </w:tbl>
    <w:p w14:paraId="3CB68188" w14:textId="77777777" w:rsidR="000F458C" w:rsidRPr="009A6D18" w:rsidRDefault="000F458C" w:rsidP="008257DA">
      <w:pPr>
        <w:spacing w:after="0" w:line="276" w:lineRule="auto"/>
        <w:jc w:val="center"/>
        <w:rPr>
          <w:rFonts w:ascii="Times New Roman" w:hAnsi="Times New Roman" w:cs="Times New Roman"/>
          <w:sz w:val="20"/>
          <w:szCs w:val="20"/>
        </w:rPr>
      </w:pPr>
    </w:p>
    <w:p w14:paraId="3440F16E" w14:textId="4A0F9AA5" w:rsidR="008F76F3" w:rsidRPr="009A6D18" w:rsidRDefault="00117BBF" w:rsidP="008257DA">
      <w:pPr>
        <w:spacing w:after="0" w:line="276" w:lineRule="auto"/>
        <w:jc w:val="center"/>
        <w:rPr>
          <w:rFonts w:ascii="Times New Roman" w:hAnsi="Times New Roman" w:cs="Times New Roman"/>
          <w:sz w:val="20"/>
          <w:szCs w:val="20"/>
        </w:rPr>
      </w:pPr>
      <w:r w:rsidRPr="009A6D18">
        <w:rPr>
          <w:rFonts w:ascii="Times New Roman" w:hAnsi="Times New Roman" w:cs="Times New Roman"/>
          <w:sz w:val="20"/>
          <w:szCs w:val="20"/>
        </w:rPr>
        <w:t>Paverama/RS</w:t>
      </w:r>
      <w:r w:rsidR="008F76F3" w:rsidRPr="009A6D18">
        <w:rPr>
          <w:rFonts w:ascii="Times New Roman" w:hAnsi="Times New Roman" w:cs="Times New Roman"/>
          <w:sz w:val="20"/>
          <w:szCs w:val="20"/>
        </w:rPr>
        <w:t xml:space="preserve">, </w:t>
      </w:r>
      <w:r w:rsidR="004B7578">
        <w:rPr>
          <w:rFonts w:ascii="Times New Roman" w:hAnsi="Times New Roman" w:cs="Times New Roman"/>
          <w:sz w:val="20"/>
          <w:szCs w:val="20"/>
        </w:rPr>
        <w:t>16</w:t>
      </w:r>
      <w:r w:rsidR="008F76F3" w:rsidRPr="009A6D18">
        <w:rPr>
          <w:rFonts w:ascii="Times New Roman" w:hAnsi="Times New Roman" w:cs="Times New Roman"/>
          <w:sz w:val="20"/>
          <w:szCs w:val="20"/>
        </w:rPr>
        <w:t xml:space="preserve"> de </w:t>
      </w:r>
      <w:r w:rsidR="000466D0" w:rsidRPr="009A6D18">
        <w:rPr>
          <w:rFonts w:ascii="Times New Roman" w:hAnsi="Times New Roman" w:cs="Times New Roman"/>
          <w:sz w:val="20"/>
          <w:szCs w:val="20"/>
        </w:rPr>
        <w:t>dez</w:t>
      </w:r>
      <w:r w:rsidR="00015102" w:rsidRPr="009A6D18">
        <w:rPr>
          <w:rFonts w:ascii="Times New Roman" w:hAnsi="Times New Roman" w:cs="Times New Roman"/>
          <w:sz w:val="20"/>
          <w:szCs w:val="20"/>
        </w:rPr>
        <w:t>em</w:t>
      </w:r>
      <w:r w:rsidR="00846187" w:rsidRPr="009A6D18">
        <w:rPr>
          <w:rFonts w:ascii="Times New Roman" w:hAnsi="Times New Roman" w:cs="Times New Roman"/>
          <w:sz w:val="20"/>
          <w:szCs w:val="20"/>
        </w:rPr>
        <w:t>br</w:t>
      </w:r>
      <w:r w:rsidR="005E1B87" w:rsidRPr="009A6D18">
        <w:rPr>
          <w:rFonts w:ascii="Times New Roman" w:hAnsi="Times New Roman" w:cs="Times New Roman"/>
          <w:sz w:val="20"/>
          <w:szCs w:val="20"/>
        </w:rPr>
        <w:t>o</w:t>
      </w:r>
      <w:r w:rsidR="00A92FB1" w:rsidRPr="009A6D18">
        <w:rPr>
          <w:rFonts w:ascii="Times New Roman" w:hAnsi="Times New Roman" w:cs="Times New Roman"/>
          <w:sz w:val="20"/>
          <w:szCs w:val="20"/>
        </w:rPr>
        <w:t xml:space="preserve"> </w:t>
      </w:r>
      <w:r w:rsidR="008F76F3" w:rsidRPr="009A6D18">
        <w:rPr>
          <w:rFonts w:ascii="Times New Roman" w:hAnsi="Times New Roman" w:cs="Times New Roman"/>
          <w:sz w:val="20"/>
          <w:szCs w:val="20"/>
        </w:rPr>
        <w:t>de 202</w:t>
      </w:r>
      <w:r w:rsidR="00A92FB1" w:rsidRPr="009A6D18">
        <w:rPr>
          <w:rFonts w:ascii="Times New Roman" w:hAnsi="Times New Roman" w:cs="Times New Roman"/>
          <w:sz w:val="20"/>
          <w:szCs w:val="20"/>
        </w:rPr>
        <w:t>5</w:t>
      </w:r>
      <w:r w:rsidR="008F76F3" w:rsidRPr="009A6D18">
        <w:rPr>
          <w:rFonts w:ascii="Times New Roman" w:hAnsi="Times New Roman" w:cs="Times New Roman"/>
          <w:sz w:val="20"/>
          <w:szCs w:val="20"/>
        </w:rPr>
        <w:t>.</w:t>
      </w:r>
    </w:p>
    <w:p w14:paraId="6083E1EC" w14:textId="66A49BF2" w:rsidR="00F561A6" w:rsidRDefault="00F561A6" w:rsidP="008257DA">
      <w:pPr>
        <w:spacing w:after="0" w:line="276" w:lineRule="auto"/>
        <w:jc w:val="center"/>
        <w:rPr>
          <w:rFonts w:ascii="Times New Roman" w:hAnsi="Times New Roman" w:cs="Times New Roman"/>
          <w:sz w:val="20"/>
          <w:szCs w:val="20"/>
        </w:rPr>
      </w:pPr>
    </w:p>
    <w:p w14:paraId="1B5049F2" w14:textId="77777777" w:rsidR="004B7578" w:rsidRDefault="004B7578" w:rsidP="008257DA">
      <w:pPr>
        <w:spacing w:after="0" w:line="276" w:lineRule="auto"/>
        <w:jc w:val="center"/>
        <w:rPr>
          <w:rFonts w:ascii="Times New Roman" w:hAnsi="Times New Roman" w:cs="Times New Roman"/>
          <w:sz w:val="20"/>
          <w:szCs w:val="20"/>
        </w:rPr>
      </w:pPr>
    </w:p>
    <w:p w14:paraId="7038B197" w14:textId="77777777" w:rsidR="004B7578" w:rsidRDefault="004B7578" w:rsidP="008257DA">
      <w:pPr>
        <w:spacing w:after="0" w:line="276" w:lineRule="auto"/>
        <w:jc w:val="center"/>
        <w:rPr>
          <w:rFonts w:ascii="Times New Roman" w:hAnsi="Times New Roman" w:cs="Times New Roman"/>
          <w:sz w:val="20"/>
          <w:szCs w:val="20"/>
        </w:rPr>
      </w:pPr>
    </w:p>
    <w:p w14:paraId="472206AE" w14:textId="77777777" w:rsidR="004B7578" w:rsidRPr="009A6D18" w:rsidRDefault="004B7578" w:rsidP="008257DA">
      <w:pPr>
        <w:spacing w:after="0" w:line="276" w:lineRule="auto"/>
        <w:jc w:val="center"/>
        <w:rPr>
          <w:rFonts w:ascii="Times New Roman" w:hAnsi="Times New Roman" w:cs="Times New Roman"/>
          <w:sz w:val="20"/>
          <w:szCs w:val="20"/>
        </w:rPr>
      </w:pPr>
    </w:p>
    <w:p w14:paraId="19DB92BD" w14:textId="77777777" w:rsidR="004B7578" w:rsidRDefault="004B7578" w:rsidP="004B7578">
      <w:pPr>
        <w:spacing w:after="0" w:line="276" w:lineRule="auto"/>
        <w:jc w:val="center"/>
        <w:rPr>
          <w:rFonts w:ascii="Times New Roman" w:hAnsi="Times New Roman" w:cs="Times New Roman"/>
          <w:b/>
          <w:sz w:val="20"/>
          <w:szCs w:val="20"/>
        </w:rPr>
      </w:pPr>
      <w:r w:rsidRPr="004B7578">
        <w:rPr>
          <w:rFonts w:ascii="Times New Roman" w:hAnsi="Times New Roman" w:cs="Times New Roman"/>
          <w:b/>
          <w:sz w:val="20"/>
          <w:szCs w:val="20"/>
        </w:rPr>
        <w:t>UÉSLEI JOSÉ GARCIA</w:t>
      </w:r>
    </w:p>
    <w:p w14:paraId="17992A24" w14:textId="77777777" w:rsidR="004B7578" w:rsidRDefault="004B7578" w:rsidP="004B7578">
      <w:pPr>
        <w:spacing w:after="0" w:line="276" w:lineRule="auto"/>
        <w:jc w:val="center"/>
        <w:rPr>
          <w:rFonts w:ascii="Times New Roman" w:hAnsi="Times New Roman" w:cs="Times New Roman"/>
          <w:b/>
          <w:sz w:val="20"/>
          <w:szCs w:val="20"/>
        </w:rPr>
      </w:pPr>
      <w:r w:rsidRPr="004B7578">
        <w:rPr>
          <w:rFonts w:ascii="Times New Roman" w:hAnsi="Times New Roman" w:cs="Times New Roman"/>
          <w:b/>
          <w:sz w:val="20"/>
          <w:szCs w:val="20"/>
        </w:rPr>
        <w:t>Chefe do Setor de Compras</w:t>
      </w:r>
    </w:p>
    <w:p w14:paraId="74C16D39" w14:textId="77777777" w:rsidR="005A5CBF" w:rsidRDefault="005A5CBF" w:rsidP="008257DA">
      <w:pPr>
        <w:spacing w:after="0" w:line="276" w:lineRule="auto"/>
        <w:jc w:val="center"/>
        <w:rPr>
          <w:rFonts w:ascii="Times New Roman" w:hAnsi="Times New Roman" w:cs="Times New Roman"/>
          <w:sz w:val="20"/>
          <w:szCs w:val="20"/>
        </w:rPr>
      </w:pPr>
    </w:p>
    <w:p w14:paraId="30074499" w14:textId="77777777" w:rsidR="004B7578" w:rsidRPr="009A6D18" w:rsidRDefault="004B7578" w:rsidP="008257DA">
      <w:pPr>
        <w:spacing w:after="0" w:line="276" w:lineRule="auto"/>
        <w:jc w:val="center"/>
        <w:rPr>
          <w:rFonts w:ascii="Times New Roman" w:hAnsi="Times New Roman" w:cs="Times New Roman"/>
          <w:sz w:val="20"/>
          <w:szCs w:val="20"/>
        </w:rPr>
      </w:pPr>
    </w:p>
    <w:p w14:paraId="7A49FE17" w14:textId="77777777" w:rsidR="00015102" w:rsidRPr="009A6D18" w:rsidRDefault="00015102" w:rsidP="008257DA">
      <w:pPr>
        <w:spacing w:after="0" w:line="276" w:lineRule="auto"/>
        <w:jc w:val="center"/>
        <w:rPr>
          <w:rFonts w:ascii="Times New Roman" w:hAnsi="Times New Roman" w:cs="Times New Roman"/>
          <w:sz w:val="20"/>
          <w:szCs w:val="20"/>
        </w:rPr>
      </w:pPr>
    </w:p>
    <w:p w14:paraId="5F4D9270" w14:textId="04731346" w:rsidR="00810D15" w:rsidRPr="009A6D18" w:rsidRDefault="00895A73" w:rsidP="008257DA">
      <w:pPr>
        <w:spacing w:after="0" w:line="276" w:lineRule="auto"/>
        <w:jc w:val="center"/>
        <w:rPr>
          <w:rFonts w:ascii="Times New Roman" w:hAnsi="Times New Roman" w:cs="Times New Roman"/>
          <w:b/>
          <w:sz w:val="20"/>
          <w:szCs w:val="20"/>
        </w:rPr>
      </w:pPr>
      <w:r w:rsidRPr="009A6D18">
        <w:rPr>
          <w:rFonts w:ascii="Times New Roman" w:hAnsi="Times New Roman" w:cs="Times New Roman"/>
          <w:b/>
          <w:sz w:val="20"/>
          <w:szCs w:val="20"/>
        </w:rPr>
        <w:t>ERNANI ROQUE STALTER</w:t>
      </w:r>
    </w:p>
    <w:p w14:paraId="7554918C" w14:textId="51CCA913" w:rsidR="00A678B5" w:rsidRPr="009A6D18" w:rsidRDefault="00895A73" w:rsidP="008257DA">
      <w:pPr>
        <w:spacing w:after="0" w:line="276" w:lineRule="auto"/>
        <w:jc w:val="center"/>
        <w:rPr>
          <w:rFonts w:ascii="Times New Roman" w:hAnsi="Times New Roman" w:cs="Times New Roman"/>
          <w:b/>
          <w:sz w:val="20"/>
          <w:szCs w:val="20"/>
        </w:rPr>
      </w:pPr>
      <w:r w:rsidRPr="009A6D18">
        <w:rPr>
          <w:rFonts w:ascii="Times New Roman" w:hAnsi="Times New Roman" w:cs="Times New Roman"/>
          <w:b/>
          <w:sz w:val="20"/>
          <w:szCs w:val="20"/>
        </w:rPr>
        <w:t>Fiscal</w:t>
      </w:r>
    </w:p>
    <w:p w14:paraId="085E0F6C" w14:textId="77777777" w:rsidR="00015102" w:rsidRPr="009A6D18" w:rsidRDefault="00015102" w:rsidP="008257DA">
      <w:pPr>
        <w:spacing w:after="0" w:line="276" w:lineRule="auto"/>
        <w:jc w:val="center"/>
        <w:rPr>
          <w:rFonts w:ascii="Times New Roman" w:hAnsi="Times New Roman" w:cs="Times New Roman"/>
          <w:b/>
          <w:sz w:val="20"/>
          <w:szCs w:val="20"/>
        </w:rPr>
      </w:pPr>
    </w:p>
    <w:p w14:paraId="6C9DA404" w14:textId="77777777" w:rsidR="005A5CBF" w:rsidRPr="009A6D18" w:rsidRDefault="005A5CBF" w:rsidP="008257DA">
      <w:pPr>
        <w:spacing w:after="0" w:line="276" w:lineRule="auto"/>
        <w:jc w:val="center"/>
        <w:rPr>
          <w:rFonts w:ascii="Times New Roman" w:hAnsi="Times New Roman" w:cs="Times New Roman"/>
          <w:b/>
          <w:sz w:val="20"/>
          <w:szCs w:val="20"/>
        </w:rPr>
      </w:pPr>
    </w:p>
    <w:p w14:paraId="08CA68A7" w14:textId="77777777" w:rsidR="004B7578" w:rsidRPr="009A6D18" w:rsidRDefault="004B7578" w:rsidP="008257DA">
      <w:pPr>
        <w:spacing w:after="0" w:line="276" w:lineRule="auto"/>
        <w:jc w:val="center"/>
        <w:rPr>
          <w:rFonts w:ascii="Times New Roman" w:hAnsi="Times New Roman" w:cs="Times New Roman"/>
          <w:b/>
          <w:sz w:val="20"/>
          <w:szCs w:val="20"/>
        </w:rPr>
      </w:pPr>
    </w:p>
    <w:p w14:paraId="1CA3EE89" w14:textId="6CB3A187" w:rsidR="00430906" w:rsidRPr="009A6D18" w:rsidRDefault="00430906" w:rsidP="008257DA">
      <w:pPr>
        <w:spacing w:line="276" w:lineRule="auto"/>
        <w:rPr>
          <w:rFonts w:ascii="Times New Roman" w:hAnsi="Times New Roman" w:cs="Times New Roman"/>
          <w:sz w:val="20"/>
          <w:szCs w:val="20"/>
        </w:rPr>
      </w:pPr>
      <w:r w:rsidRPr="009A6D18">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sidRPr="009A6D18">
        <w:rPr>
          <w:rFonts w:ascii="Times New Roman" w:hAnsi="Times New Roman" w:cs="Times New Roman"/>
          <w:sz w:val="20"/>
          <w:szCs w:val="20"/>
        </w:rPr>
        <w:t>:</w:t>
      </w:r>
    </w:p>
    <w:p w14:paraId="783638A2" w14:textId="77777777" w:rsidR="00B959A7" w:rsidRPr="009A6D18" w:rsidRDefault="00B959A7" w:rsidP="008257DA">
      <w:pPr>
        <w:spacing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430906" w:rsidRPr="009A6D18" w14:paraId="54B2663D" w14:textId="77777777" w:rsidTr="00883842">
        <w:tc>
          <w:tcPr>
            <w:tcW w:w="9209" w:type="dxa"/>
          </w:tcPr>
          <w:p w14:paraId="74677CE4" w14:textId="77777777" w:rsidR="00430906" w:rsidRPr="009A6D18" w:rsidRDefault="00430906" w:rsidP="008257DA">
            <w:pPr>
              <w:spacing w:after="0" w:line="276" w:lineRule="auto"/>
              <w:ind w:firstLine="0"/>
              <w:jc w:val="center"/>
              <w:rPr>
                <w:rFonts w:ascii="Times New Roman" w:hAnsi="Times New Roman" w:cs="Times New Roman"/>
                <w:b/>
                <w:sz w:val="20"/>
                <w:szCs w:val="20"/>
              </w:rPr>
            </w:pPr>
          </w:p>
          <w:p w14:paraId="425C5FAB" w14:textId="3011A784" w:rsidR="00430906" w:rsidRPr="009A6D18" w:rsidRDefault="004C117C"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 xml:space="preserve">SECRETARIA MUNICIPAL DE </w:t>
            </w:r>
            <w:r w:rsidR="00D25F29" w:rsidRPr="009A6D18">
              <w:rPr>
                <w:rFonts w:ascii="Times New Roman" w:hAnsi="Times New Roman" w:cs="Times New Roman"/>
                <w:b/>
                <w:sz w:val="20"/>
                <w:szCs w:val="20"/>
              </w:rPr>
              <w:t>ADMINISTRAÇÃO, FAZENDA E PLANEJAMENTO</w:t>
            </w:r>
            <w:r w:rsidRPr="009A6D18">
              <w:rPr>
                <w:rFonts w:ascii="Times New Roman" w:hAnsi="Times New Roman" w:cs="Times New Roman"/>
                <w:b/>
                <w:sz w:val="20"/>
                <w:szCs w:val="20"/>
              </w:rPr>
              <w:t>:</w:t>
            </w:r>
          </w:p>
          <w:p w14:paraId="4A5C4B4B" w14:textId="77777777" w:rsidR="00430906"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Parecer conclusivo de ciência e aprovação:</w:t>
            </w:r>
          </w:p>
          <w:p w14:paraId="2E93DEE6" w14:textId="7AD940E0" w:rsidR="00883842" w:rsidRPr="009A6D18" w:rsidRDefault="00430906" w:rsidP="00846187">
            <w:pPr>
              <w:spacing w:after="0" w:line="360" w:lineRule="auto"/>
              <w:ind w:firstLine="314"/>
              <w:rPr>
                <w:rFonts w:ascii="Times New Roman" w:hAnsi="Times New Roman" w:cs="Times New Roman"/>
                <w:bCs/>
                <w:sz w:val="20"/>
                <w:szCs w:val="20"/>
              </w:rPr>
            </w:pPr>
            <w:r w:rsidRPr="009A6D18">
              <w:rPr>
                <w:rFonts w:ascii="Times New Roman" w:hAnsi="Times New Roman" w:cs="Times New Roman"/>
                <w:bCs/>
                <w:sz w:val="20"/>
                <w:szCs w:val="20"/>
              </w:rPr>
              <w:t>(</w:t>
            </w:r>
            <w:r w:rsidR="007B3E02" w:rsidRPr="009A6D18">
              <w:rPr>
                <w:rFonts w:ascii="Times New Roman" w:hAnsi="Times New Roman" w:cs="Times New Roman"/>
                <w:bCs/>
                <w:sz w:val="20"/>
                <w:szCs w:val="20"/>
              </w:rPr>
              <w:t>X</w:t>
            </w:r>
            <w:r w:rsidRPr="009A6D18">
              <w:rPr>
                <w:rFonts w:ascii="Times New Roman" w:hAnsi="Times New Roman" w:cs="Times New Roman"/>
                <w:bCs/>
                <w:sz w:val="20"/>
                <w:szCs w:val="20"/>
              </w:rPr>
              <w:t>) Defiro</w:t>
            </w:r>
            <w:r w:rsidR="00267657" w:rsidRPr="009A6D18">
              <w:rPr>
                <w:rFonts w:ascii="Times New Roman" w:hAnsi="Times New Roman" w:cs="Times New Roman"/>
                <w:bCs/>
                <w:sz w:val="20"/>
                <w:szCs w:val="20"/>
              </w:rPr>
              <w:t>. Aprovo o Estudo Técnico Preliminar (ETP), por seus próprios fundamentos</w:t>
            </w:r>
            <w:r w:rsidRPr="009A6D18">
              <w:rPr>
                <w:rFonts w:ascii="Times New Roman" w:hAnsi="Times New Roman" w:cs="Times New Roman"/>
                <w:bCs/>
                <w:sz w:val="20"/>
                <w:szCs w:val="20"/>
              </w:rPr>
              <w:t>; ou</w:t>
            </w:r>
          </w:p>
          <w:p w14:paraId="616F03EA" w14:textId="7AB17B6C" w:rsidR="00D73A89" w:rsidRPr="009A6D18" w:rsidRDefault="00430906" w:rsidP="00846187">
            <w:pPr>
              <w:spacing w:after="0" w:line="360" w:lineRule="auto"/>
              <w:ind w:firstLine="314"/>
              <w:rPr>
                <w:rFonts w:ascii="Times New Roman" w:hAnsi="Times New Roman" w:cs="Times New Roman"/>
                <w:bCs/>
                <w:sz w:val="20"/>
                <w:szCs w:val="20"/>
              </w:rPr>
            </w:pPr>
            <w:proofErr w:type="gramStart"/>
            <w:r w:rsidRPr="009A6D18">
              <w:rPr>
                <w:rFonts w:ascii="Times New Roman" w:hAnsi="Times New Roman" w:cs="Times New Roman"/>
                <w:bCs/>
                <w:sz w:val="20"/>
                <w:szCs w:val="20"/>
              </w:rPr>
              <w:t xml:space="preserve">(  </w:t>
            </w:r>
            <w:proofErr w:type="gramEnd"/>
            <w:r w:rsidRPr="009A6D18">
              <w:rPr>
                <w:rFonts w:ascii="Times New Roman" w:hAnsi="Times New Roman" w:cs="Times New Roman"/>
                <w:bCs/>
                <w:sz w:val="20"/>
                <w:szCs w:val="20"/>
              </w:rPr>
              <w:t xml:space="preserve"> )</w:t>
            </w:r>
            <w:r w:rsidR="00267657" w:rsidRPr="009A6D18">
              <w:rPr>
                <w:rFonts w:ascii="Times New Roman" w:hAnsi="Times New Roman" w:cs="Times New Roman"/>
                <w:bCs/>
                <w:sz w:val="20"/>
                <w:szCs w:val="20"/>
              </w:rPr>
              <w:t xml:space="preserve"> </w:t>
            </w:r>
            <w:r w:rsidRPr="009A6D18">
              <w:rPr>
                <w:rFonts w:ascii="Times New Roman" w:hAnsi="Times New Roman" w:cs="Times New Roman"/>
                <w:bCs/>
                <w:sz w:val="20"/>
                <w:szCs w:val="20"/>
              </w:rPr>
              <w:t xml:space="preserve"> Indefiro</w:t>
            </w:r>
            <w:r w:rsidR="00267657" w:rsidRPr="009A6D18">
              <w:rPr>
                <w:rFonts w:ascii="Times New Roman" w:hAnsi="Times New Roman" w:cs="Times New Roman"/>
                <w:bCs/>
                <w:sz w:val="20"/>
                <w:szCs w:val="20"/>
              </w:rPr>
              <w:t>:_________________________________________</w:t>
            </w:r>
            <w:r w:rsidR="00D73A89" w:rsidRPr="009A6D18">
              <w:rPr>
                <w:rFonts w:ascii="Times New Roman" w:hAnsi="Times New Roman" w:cs="Times New Roman"/>
                <w:bCs/>
                <w:sz w:val="20"/>
                <w:szCs w:val="20"/>
              </w:rPr>
              <w:t>__________________________</w:t>
            </w:r>
            <w:r w:rsidR="005E1B87" w:rsidRPr="009A6D18">
              <w:rPr>
                <w:rFonts w:ascii="Times New Roman" w:hAnsi="Times New Roman" w:cs="Times New Roman"/>
                <w:bCs/>
                <w:sz w:val="20"/>
                <w:szCs w:val="20"/>
              </w:rPr>
              <w:t>.</w:t>
            </w:r>
          </w:p>
          <w:p w14:paraId="372FFC7D" w14:textId="77777777" w:rsidR="000F458C" w:rsidRPr="009A6D18" w:rsidRDefault="000F458C" w:rsidP="00846187">
            <w:pPr>
              <w:spacing w:after="0" w:line="360" w:lineRule="auto"/>
              <w:ind w:firstLine="0"/>
              <w:jc w:val="center"/>
              <w:rPr>
                <w:rFonts w:ascii="Times New Roman" w:hAnsi="Times New Roman" w:cs="Times New Roman"/>
                <w:b/>
                <w:sz w:val="20"/>
                <w:szCs w:val="20"/>
              </w:rPr>
            </w:pPr>
          </w:p>
          <w:p w14:paraId="2A85054F" w14:textId="3C3A2520" w:rsidR="00430906" w:rsidRPr="009A6D18" w:rsidRDefault="00430906" w:rsidP="00846187">
            <w:pPr>
              <w:spacing w:after="0" w:line="360" w:lineRule="auto"/>
              <w:ind w:firstLine="0"/>
              <w:jc w:val="center"/>
              <w:rPr>
                <w:rFonts w:ascii="Times New Roman" w:hAnsi="Times New Roman" w:cs="Times New Roman"/>
                <w:bCs/>
                <w:sz w:val="20"/>
                <w:szCs w:val="20"/>
              </w:rPr>
            </w:pPr>
            <w:r w:rsidRPr="009A6D18">
              <w:rPr>
                <w:rFonts w:ascii="Times New Roman" w:hAnsi="Times New Roman" w:cs="Times New Roman"/>
                <w:bCs/>
                <w:sz w:val="20"/>
                <w:szCs w:val="20"/>
              </w:rPr>
              <w:t xml:space="preserve">Paverama/RS, </w:t>
            </w:r>
            <w:r w:rsidR="004B7578">
              <w:rPr>
                <w:rFonts w:ascii="Times New Roman" w:hAnsi="Times New Roman" w:cs="Times New Roman"/>
                <w:bCs/>
                <w:sz w:val="20"/>
                <w:szCs w:val="20"/>
              </w:rPr>
              <w:t>16</w:t>
            </w:r>
            <w:r w:rsidR="000466D0" w:rsidRPr="009A6D18">
              <w:rPr>
                <w:rFonts w:ascii="Times New Roman" w:hAnsi="Times New Roman" w:cs="Times New Roman"/>
                <w:bCs/>
                <w:sz w:val="20"/>
                <w:szCs w:val="20"/>
              </w:rPr>
              <w:t xml:space="preserve"> </w:t>
            </w:r>
            <w:r w:rsidRPr="009A6D18">
              <w:rPr>
                <w:rFonts w:ascii="Times New Roman" w:hAnsi="Times New Roman" w:cs="Times New Roman"/>
                <w:bCs/>
                <w:sz w:val="20"/>
                <w:szCs w:val="20"/>
              </w:rPr>
              <w:t xml:space="preserve">de </w:t>
            </w:r>
            <w:r w:rsidR="000466D0" w:rsidRPr="009A6D18">
              <w:rPr>
                <w:rFonts w:ascii="Times New Roman" w:hAnsi="Times New Roman" w:cs="Times New Roman"/>
                <w:bCs/>
                <w:sz w:val="20"/>
                <w:szCs w:val="20"/>
              </w:rPr>
              <w:t>dez</w:t>
            </w:r>
            <w:r w:rsidR="00015102" w:rsidRPr="009A6D18">
              <w:rPr>
                <w:rFonts w:ascii="Times New Roman" w:hAnsi="Times New Roman" w:cs="Times New Roman"/>
                <w:bCs/>
                <w:sz w:val="20"/>
                <w:szCs w:val="20"/>
              </w:rPr>
              <w:t>em</w:t>
            </w:r>
            <w:r w:rsidR="00846187" w:rsidRPr="009A6D18">
              <w:rPr>
                <w:rFonts w:ascii="Times New Roman" w:hAnsi="Times New Roman" w:cs="Times New Roman"/>
                <w:bCs/>
                <w:sz w:val="20"/>
                <w:szCs w:val="20"/>
              </w:rPr>
              <w:t>br</w:t>
            </w:r>
            <w:r w:rsidR="005E1B87" w:rsidRPr="009A6D18">
              <w:rPr>
                <w:rFonts w:ascii="Times New Roman" w:hAnsi="Times New Roman" w:cs="Times New Roman"/>
                <w:bCs/>
                <w:sz w:val="20"/>
                <w:szCs w:val="20"/>
              </w:rPr>
              <w:t>o</w:t>
            </w:r>
            <w:r w:rsidRPr="009A6D18">
              <w:rPr>
                <w:rFonts w:ascii="Times New Roman" w:hAnsi="Times New Roman" w:cs="Times New Roman"/>
                <w:bCs/>
                <w:sz w:val="20"/>
                <w:szCs w:val="20"/>
              </w:rPr>
              <w:t xml:space="preserve"> de </w:t>
            </w:r>
            <w:r w:rsidR="00883842" w:rsidRPr="009A6D18">
              <w:rPr>
                <w:rFonts w:ascii="Times New Roman" w:hAnsi="Times New Roman" w:cs="Times New Roman"/>
                <w:bCs/>
                <w:sz w:val="20"/>
                <w:szCs w:val="20"/>
              </w:rPr>
              <w:t>2025.</w:t>
            </w:r>
          </w:p>
          <w:p w14:paraId="6A847925" w14:textId="315D35DB" w:rsidR="00D73A89" w:rsidRDefault="00D73A89" w:rsidP="00846187">
            <w:pPr>
              <w:spacing w:after="0" w:line="360" w:lineRule="auto"/>
              <w:ind w:firstLine="0"/>
              <w:jc w:val="center"/>
              <w:rPr>
                <w:rFonts w:ascii="Times New Roman" w:hAnsi="Times New Roman" w:cs="Times New Roman"/>
                <w:b/>
                <w:sz w:val="20"/>
                <w:szCs w:val="20"/>
              </w:rPr>
            </w:pPr>
          </w:p>
          <w:p w14:paraId="5053DC79" w14:textId="77777777" w:rsidR="00396168" w:rsidRPr="009A6D18" w:rsidRDefault="00396168" w:rsidP="00846187">
            <w:pPr>
              <w:spacing w:after="0" w:line="360" w:lineRule="auto"/>
              <w:ind w:firstLine="0"/>
              <w:jc w:val="center"/>
              <w:rPr>
                <w:rFonts w:ascii="Times New Roman" w:hAnsi="Times New Roman" w:cs="Times New Roman"/>
                <w:b/>
                <w:sz w:val="20"/>
                <w:szCs w:val="20"/>
              </w:rPr>
            </w:pPr>
          </w:p>
          <w:p w14:paraId="6C7B3931" w14:textId="77777777" w:rsidR="005E1B87" w:rsidRPr="009A6D18" w:rsidRDefault="005E1B87" w:rsidP="00846187">
            <w:pPr>
              <w:spacing w:after="0" w:line="360" w:lineRule="auto"/>
              <w:ind w:firstLine="0"/>
              <w:jc w:val="center"/>
              <w:rPr>
                <w:rFonts w:ascii="Times New Roman" w:hAnsi="Times New Roman" w:cs="Times New Roman"/>
                <w:b/>
                <w:sz w:val="20"/>
                <w:szCs w:val="20"/>
              </w:rPr>
            </w:pPr>
          </w:p>
          <w:p w14:paraId="7694D546" w14:textId="4BBF9B5D" w:rsidR="00D73A89" w:rsidRPr="009A6D18" w:rsidRDefault="00883842"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ALEXANDRE LUÍS KLEBER</w:t>
            </w:r>
          </w:p>
          <w:p w14:paraId="394A7A84" w14:textId="77777777" w:rsidR="00430906" w:rsidRPr="009A6D18" w:rsidRDefault="005E1B87" w:rsidP="00846187">
            <w:pPr>
              <w:spacing w:after="0" w:line="360" w:lineRule="auto"/>
              <w:ind w:firstLine="0"/>
              <w:jc w:val="center"/>
              <w:rPr>
                <w:rFonts w:ascii="Times New Roman" w:hAnsi="Times New Roman" w:cs="Times New Roman"/>
                <w:b/>
                <w:sz w:val="20"/>
                <w:szCs w:val="20"/>
              </w:rPr>
            </w:pPr>
            <w:r w:rsidRPr="009A6D18">
              <w:rPr>
                <w:rFonts w:ascii="Times New Roman" w:hAnsi="Times New Roman" w:cs="Times New Roman"/>
                <w:b/>
                <w:sz w:val="20"/>
                <w:szCs w:val="20"/>
              </w:rPr>
              <w:t xml:space="preserve">Secretário Municipal de Administração, Fazenda e Planejamento </w:t>
            </w:r>
          </w:p>
          <w:p w14:paraId="3E4769CB" w14:textId="1EAC15D4" w:rsidR="002E7840" w:rsidRPr="009A6D18" w:rsidRDefault="002E7840" w:rsidP="008257DA">
            <w:pPr>
              <w:spacing w:after="0" w:line="276" w:lineRule="auto"/>
              <w:ind w:firstLine="0"/>
              <w:jc w:val="center"/>
              <w:rPr>
                <w:rFonts w:ascii="Times New Roman" w:hAnsi="Times New Roman" w:cs="Times New Roman"/>
                <w:b/>
                <w:sz w:val="20"/>
                <w:szCs w:val="20"/>
              </w:rPr>
            </w:pPr>
          </w:p>
        </w:tc>
      </w:tr>
    </w:tbl>
    <w:p w14:paraId="19528256" w14:textId="77777777" w:rsidR="00117BBF" w:rsidRPr="009A6D18" w:rsidRDefault="00117BBF" w:rsidP="008257DA">
      <w:pPr>
        <w:spacing w:after="0" w:line="276" w:lineRule="auto"/>
        <w:jc w:val="center"/>
        <w:rPr>
          <w:rFonts w:ascii="Times New Roman" w:hAnsi="Times New Roman" w:cs="Times New Roman"/>
          <w:b/>
          <w:sz w:val="20"/>
          <w:szCs w:val="20"/>
        </w:rPr>
      </w:pPr>
    </w:p>
    <w:sectPr w:rsidR="00117BBF" w:rsidRPr="009A6D18" w:rsidSect="005A5CBF">
      <w:headerReference w:type="default" r:id="rId8"/>
      <w:footerReference w:type="default" r:id="rId9"/>
      <w:headerReference w:type="first" r:id="rId10"/>
      <w:footerReference w:type="first" r:id="rId11"/>
      <w:pgSz w:w="11906" w:h="16838" w:code="9"/>
      <w:pgMar w:top="1985" w:right="1134" w:bottom="1560"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47851" w14:textId="77777777" w:rsidR="008D25C5" w:rsidRDefault="008D25C5" w:rsidP="009F2D5E">
      <w:pPr>
        <w:spacing w:after="0"/>
      </w:pPr>
      <w:r>
        <w:separator/>
      </w:r>
    </w:p>
  </w:endnote>
  <w:endnote w:type="continuationSeparator" w:id="0">
    <w:p w14:paraId="3392773C" w14:textId="77777777" w:rsidR="008D25C5" w:rsidRDefault="008D25C5"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6D5F76BE">
                  <wp:simplePos x="0" y="0"/>
                  <wp:positionH relativeFrom="column">
                    <wp:posOffset>497205</wp:posOffset>
                  </wp:positionH>
                  <wp:positionV relativeFrom="paragraph">
                    <wp:posOffset>-487680</wp:posOffset>
                  </wp:positionV>
                  <wp:extent cx="4714240" cy="781050"/>
                  <wp:effectExtent l="0" t="0" r="0" b="0"/>
                  <wp:wrapNone/>
                  <wp:docPr id="17341977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026235190"/>
      <w:docPartObj>
        <w:docPartGallery w:val="Page Numbers (Top of Page)"/>
        <w:docPartUnique/>
      </w:docPartObj>
    </w:sdtPr>
    <w:sdtEndPr/>
    <w:sdtContent>
      <w:p w14:paraId="3F8E410B" w14:textId="5E5698A4" w:rsidR="00D31344" w:rsidRDefault="00857427" w:rsidP="007B19F6">
        <w:pPr>
          <w:pStyle w:val="Rodap"/>
          <w:jc w:val="right"/>
          <w:rPr>
            <w:sz w:val="14"/>
            <w:szCs w:val="14"/>
          </w:rPr>
        </w:pPr>
        <w:r>
          <w:rPr>
            <w:noProof/>
            <w:sz w:val="14"/>
            <w:szCs w:val="14"/>
          </w:rPr>
          <w:drawing>
            <wp:anchor distT="0" distB="0" distL="114300" distR="114300" simplePos="0" relativeHeight="251665408" behindDoc="1" locked="0" layoutInCell="1" allowOverlap="1" wp14:anchorId="7A6AC1BB" wp14:editId="64CB4032">
              <wp:simplePos x="0" y="0"/>
              <wp:positionH relativeFrom="margin">
                <wp:align>center</wp:align>
              </wp:positionH>
              <wp:positionV relativeFrom="paragraph">
                <wp:posOffset>-484505</wp:posOffset>
              </wp:positionV>
              <wp:extent cx="4714240" cy="781050"/>
              <wp:effectExtent l="0" t="0" r="0" b="0"/>
              <wp:wrapNone/>
              <wp:docPr id="15952270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08458" w14:textId="77777777" w:rsidR="008D25C5" w:rsidRDefault="008D25C5" w:rsidP="009F2D5E">
      <w:pPr>
        <w:spacing w:after="0"/>
      </w:pPr>
      <w:r>
        <w:separator/>
      </w:r>
    </w:p>
  </w:footnote>
  <w:footnote w:type="continuationSeparator" w:id="0">
    <w:p w14:paraId="025FE001" w14:textId="77777777" w:rsidR="008D25C5" w:rsidRDefault="008D25C5"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4427D399" w:rsidR="00D31344" w:rsidRDefault="00E34C62" w:rsidP="007A1025">
    <w:pPr>
      <w:pStyle w:val="Cabealho"/>
      <w:ind w:firstLine="0"/>
    </w:pPr>
    <w:r>
      <w:rPr>
        <w:noProof/>
        <w:lang w:eastAsia="pt-BR"/>
      </w:rPr>
      <w:drawing>
        <wp:anchor distT="0" distB="0" distL="114300" distR="114300" simplePos="0" relativeHeight="251663360" behindDoc="1" locked="0" layoutInCell="1" allowOverlap="1" wp14:anchorId="337114DB" wp14:editId="1404B804">
          <wp:simplePos x="0" y="0"/>
          <wp:positionH relativeFrom="page">
            <wp:align>center</wp:align>
          </wp:positionH>
          <wp:positionV relativeFrom="paragraph">
            <wp:posOffset>95250</wp:posOffset>
          </wp:positionV>
          <wp:extent cx="4377055" cy="981710"/>
          <wp:effectExtent l="0" t="0" r="4445" b="8890"/>
          <wp:wrapNone/>
          <wp:docPr id="907681262" name="Imagem 90768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p w14:paraId="0AD627A5" w14:textId="70889E25"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1A753DCD">
          <wp:simplePos x="0" y="0"/>
          <wp:positionH relativeFrom="margin">
            <wp:align>center</wp:align>
          </wp:positionH>
          <wp:positionV relativeFrom="paragraph">
            <wp:posOffset>71120</wp:posOffset>
          </wp:positionV>
          <wp:extent cx="4377055" cy="981710"/>
          <wp:effectExtent l="0" t="0" r="4445" b="8890"/>
          <wp:wrapNone/>
          <wp:docPr id="175839366" name="Imagem 17583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966162425">
    <w:abstractNumId w:val="7"/>
  </w:num>
  <w:num w:numId="2" w16cid:durableId="1233000924">
    <w:abstractNumId w:val="9"/>
  </w:num>
  <w:num w:numId="3" w16cid:durableId="1035152159">
    <w:abstractNumId w:val="8"/>
  </w:num>
  <w:num w:numId="4" w16cid:durableId="756244858">
    <w:abstractNumId w:val="2"/>
  </w:num>
  <w:num w:numId="5" w16cid:durableId="1351099657">
    <w:abstractNumId w:val="0"/>
  </w:num>
  <w:num w:numId="6" w16cid:durableId="444858497">
    <w:abstractNumId w:val="14"/>
  </w:num>
  <w:num w:numId="7" w16cid:durableId="1413889043">
    <w:abstractNumId w:val="22"/>
  </w:num>
  <w:num w:numId="8" w16cid:durableId="239367604">
    <w:abstractNumId w:val="16"/>
  </w:num>
  <w:num w:numId="9" w16cid:durableId="1810004951">
    <w:abstractNumId w:val="24"/>
  </w:num>
  <w:num w:numId="10" w16cid:durableId="1539928552">
    <w:abstractNumId w:val="12"/>
  </w:num>
  <w:num w:numId="11" w16cid:durableId="975377460">
    <w:abstractNumId w:val="19"/>
  </w:num>
  <w:num w:numId="12" w16cid:durableId="472410145">
    <w:abstractNumId w:val="5"/>
  </w:num>
  <w:num w:numId="13" w16cid:durableId="984972768">
    <w:abstractNumId w:val="3"/>
  </w:num>
  <w:num w:numId="14" w16cid:durableId="573206290">
    <w:abstractNumId w:val="17"/>
  </w:num>
  <w:num w:numId="15" w16cid:durableId="157422995">
    <w:abstractNumId w:val="13"/>
  </w:num>
  <w:num w:numId="16" w16cid:durableId="1084575314">
    <w:abstractNumId w:val="4"/>
  </w:num>
  <w:num w:numId="17" w16cid:durableId="1441678830">
    <w:abstractNumId w:val="6"/>
  </w:num>
  <w:num w:numId="18" w16cid:durableId="1495073697">
    <w:abstractNumId w:val="11"/>
  </w:num>
  <w:num w:numId="19" w16cid:durableId="403113808">
    <w:abstractNumId w:val="1"/>
  </w:num>
  <w:num w:numId="20" w16cid:durableId="2085028950">
    <w:abstractNumId w:val="15"/>
  </w:num>
  <w:num w:numId="21" w16cid:durableId="1218587378">
    <w:abstractNumId w:val="10"/>
  </w:num>
  <w:num w:numId="22" w16cid:durableId="1457065568">
    <w:abstractNumId w:val="23"/>
  </w:num>
  <w:num w:numId="23" w16cid:durableId="1217737658">
    <w:abstractNumId w:val="18"/>
  </w:num>
  <w:num w:numId="24" w16cid:durableId="1710453398">
    <w:abstractNumId w:val="20"/>
  </w:num>
  <w:num w:numId="25" w16cid:durableId="49414832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26DA"/>
    <w:rsid w:val="000137E9"/>
    <w:rsid w:val="00014D34"/>
    <w:rsid w:val="00015102"/>
    <w:rsid w:val="000169A1"/>
    <w:rsid w:val="00020DE0"/>
    <w:rsid w:val="000212AF"/>
    <w:rsid w:val="0002143C"/>
    <w:rsid w:val="000219E1"/>
    <w:rsid w:val="00021C16"/>
    <w:rsid w:val="00021EB3"/>
    <w:rsid w:val="0002224E"/>
    <w:rsid w:val="00023291"/>
    <w:rsid w:val="0002484E"/>
    <w:rsid w:val="00025308"/>
    <w:rsid w:val="0002603E"/>
    <w:rsid w:val="000263A4"/>
    <w:rsid w:val="00026991"/>
    <w:rsid w:val="00027CAC"/>
    <w:rsid w:val="00031364"/>
    <w:rsid w:val="0003344D"/>
    <w:rsid w:val="00033BD0"/>
    <w:rsid w:val="00037DA5"/>
    <w:rsid w:val="00037F83"/>
    <w:rsid w:val="000424DD"/>
    <w:rsid w:val="000453CF"/>
    <w:rsid w:val="000466D0"/>
    <w:rsid w:val="000468D8"/>
    <w:rsid w:val="00046C7F"/>
    <w:rsid w:val="000477DA"/>
    <w:rsid w:val="00047C7B"/>
    <w:rsid w:val="00052F5D"/>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885"/>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3599"/>
    <w:rsid w:val="000E4804"/>
    <w:rsid w:val="000E6B10"/>
    <w:rsid w:val="000E7C5C"/>
    <w:rsid w:val="000F0BE7"/>
    <w:rsid w:val="000F3F04"/>
    <w:rsid w:val="000F3F37"/>
    <w:rsid w:val="000F458C"/>
    <w:rsid w:val="000F498F"/>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4F09"/>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2D5B"/>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7E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2314E"/>
    <w:rsid w:val="00226522"/>
    <w:rsid w:val="00231E3A"/>
    <w:rsid w:val="002338BA"/>
    <w:rsid w:val="00233B50"/>
    <w:rsid w:val="002344C9"/>
    <w:rsid w:val="00234917"/>
    <w:rsid w:val="00234C0D"/>
    <w:rsid w:val="0024509A"/>
    <w:rsid w:val="002474FB"/>
    <w:rsid w:val="00251212"/>
    <w:rsid w:val="00253093"/>
    <w:rsid w:val="00253FF3"/>
    <w:rsid w:val="00254CC1"/>
    <w:rsid w:val="002551EF"/>
    <w:rsid w:val="0025727B"/>
    <w:rsid w:val="002607FE"/>
    <w:rsid w:val="00262A51"/>
    <w:rsid w:val="00263C53"/>
    <w:rsid w:val="00264FB7"/>
    <w:rsid w:val="002652F8"/>
    <w:rsid w:val="00266B88"/>
    <w:rsid w:val="00267657"/>
    <w:rsid w:val="00267E42"/>
    <w:rsid w:val="0027155B"/>
    <w:rsid w:val="002718D9"/>
    <w:rsid w:val="00273F4D"/>
    <w:rsid w:val="00274806"/>
    <w:rsid w:val="00275845"/>
    <w:rsid w:val="002772E1"/>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5A50"/>
    <w:rsid w:val="002B6D52"/>
    <w:rsid w:val="002B771D"/>
    <w:rsid w:val="002C0976"/>
    <w:rsid w:val="002C236C"/>
    <w:rsid w:val="002C2790"/>
    <w:rsid w:val="002C3A18"/>
    <w:rsid w:val="002C65DB"/>
    <w:rsid w:val="002D0BBB"/>
    <w:rsid w:val="002D16B7"/>
    <w:rsid w:val="002D29C3"/>
    <w:rsid w:val="002D41EE"/>
    <w:rsid w:val="002D52D3"/>
    <w:rsid w:val="002D65CF"/>
    <w:rsid w:val="002D66F5"/>
    <w:rsid w:val="002D7ACE"/>
    <w:rsid w:val="002D7EDA"/>
    <w:rsid w:val="002E13EA"/>
    <w:rsid w:val="002E3A79"/>
    <w:rsid w:val="002E46A9"/>
    <w:rsid w:val="002E486E"/>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16A3"/>
    <w:rsid w:val="00313D8C"/>
    <w:rsid w:val="003142B3"/>
    <w:rsid w:val="00317F81"/>
    <w:rsid w:val="003203F1"/>
    <w:rsid w:val="00320C8F"/>
    <w:rsid w:val="00321645"/>
    <w:rsid w:val="00321992"/>
    <w:rsid w:val="003222D9"/>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0691"/>
    <w:rsid w:val="00363196"/>
    <w:rsid w:val="0036597A"/>
    <w:rsid w:val="0037060B"/>
    <w:rsid w:val="00371634"/>
    <w:rsid w:val="003722EF"/>
    <w:rsid w:val="00376212"/>
    <w:rsid w:val="00377F0E"/>
    <w:rsid w:val="00380601"/>
    <w:rsid w:val="00381119"/>
    <w:rsid w:val="00386B80"/>
    <w:rsid w:val="00387366"/>
    <w:rsid w:val="003901F2"/>
    <w:rsid w:val="00391297"/>
    <w:rsid w:val="00391F9D"/>
    <w:rsid w:val="00396168"/>
    <w:rsid w:val="00396F87"/>
    <w:rsid w:val="003971C8"/>
    <w:rsid w:val="003A00E3"/>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713D"/>
    <w:rsid w:val="003C790D"/>
    <w:rsid w:val="003D15E2"/>
    <w:rsid w:val="003D379D"/>
    <w:rsid w:val="003D4F2F"/>
    <w:rsid w:val="003D50B6"/>
    <w:rsid w:val="003E1137"/>
    <w:rsid w:val="003E383E"/>
    <w:rsid w:val="003E6632"/>
    <w:rsid w:val="003E6FF8"/>
    <w:rsid w:val="003F143E"/>
    <w:rsid w:val="003F1787"/>
    <w:rsid w:val="003F30DF"/>
    <w:rsid w:val="003F6F7A"/>
    <w:rsid w:val="0040046A"/>
    <w:rsid w:val="00403D8E"/>
    <w:rsid w:val="00404EA3"/>
    <w:rsid w:val="00405C1C"/>
    <w:rsid w:val="00410CC6"/>
    <w:rsid w:val="00411249"/>
    <w:rsid w:val="00411945"/>
    <w:rsid w:val="004121C1"/>
    <w:rsid w:val="00413565"/>
    <w:rsid w:val="00414EE5"/>
    <w:rsid w:val="0041537C"/>
    <w:rsid w:val="004176D6"/>
    <w:rsid w:val="00420D38"/>
    <w:rsid w:val="00422230"/>
    <w:rsid w:val="00422FE7"/>
    <w:rsid w:val="00425AF3"/>
    <w:rsid w:val="004268FF"/>
    <w:rsid w:val="0042759D"/>
    <w:rsid w:val="00427AD4"/>
    <w:rsid w:val="0043009B"/>
    <w:rsid w:val="00430906"/>
    <w:rsid w:val="004318CF"/>
    <w:rsid w:val="004328CE"/>
    <w:rsid w:val="004337BE"/>
    <w:rsid w:val="0043464E"/>
    <w:rsid w:val="004372CE"/>
    <w:rsid w:val="00440376"/>
    <w:rsid w:val="004404B3"/>
    <w:rsid w:val="00440F1C"/>
    <w:rsid w:val="00441D8F"/>
    <w:rsid w:val="0044349E"/>
    <w:rsid w:val="0044382F"/>
    <w:rsid w:val="00447230"/>
    <w:rsid w:val="00447EBC"/>
    <w:rsid w:val="00451CF6"/>
    <w:rsid w:val="00452663"/>
    <w:rsid w:val="00452B4F"/>
    <w:rsid w:val="00454337"/>
    <w:rsid w:val="00455501"/>
    <w:rsid w:val="004556F1"/>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B7578"/>
    <w:rsid w:val="004C117C"/>
    <w:rsid w:val="004C1182"/>
    <w:rsid w:val="004C482F"/>
    <w:rsid w:val="004C59D8"/>
    <w:rsid w:val="004C76C6"/>
    <w:rsid w:val="004D26E5"/>
    <w:rsid w:val="004D3D32"/>
    <w:rsid w:val="004D4B49"/>
    <w:rsid w:val="004D754B"/>
    <w:rsid w:val="004D7D7A"/>
    <w:rsid w:val="004E0CA0"/>
    <w:rsid w:val="004E2EDE"/>
    <w:rsid w:val="004E3BB1"/>
    <w:rsid w:val="004E61BC"/>
    <w:rsid w:val="004E6CC2"/>
    <w:rsid w:val="004E7448"/>
    <w:rsid w:val="004E7EC0"/>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AE5"/>
    <w:rsid w:val="005166DE"/>
    <w:rsid w:val="005175A2"/>
    <w:rsid w:val="00517880"/>
    <w:rsid w:val="005179A6"/>
    <w:rsid w:val="00517A23"/>
    <w:rsid w:val="00520175"/>
    <w:rsid w:val="00522921"/>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53C0"/>
    <w:rsid w:val="00577DB7"/>
    <w:rsid w:val="00577F57"/>
    <w:rsid w:val="005803CA"/>
    <w:rsid w:val="00581B73"/>
    <w:rsid w:val="00583D79"/>
    <w:rsid w:val="005840BE"/>
    <w:rsid w:val="005842A8"/>
    <w:rsid w:val="00585328"/>
    <w:rsid w:val="00586579"/>
    <w:rsid w:val="005867B0"/>
    <w:rsid w:val="005879A8"/>
    <w:rsid w:val="00592834"/>
    <w:rsid w:val="00592950"/>
    <w:rsid w:val="00592EB3"/>
    <w:rsid w:val="0059315D"/>
    <w:rsid w:val="00593340"/>
    <w:rsid w:val="005956F5"/>
    <w:rsid w:val="005A17CE"/>
    <w:rsid w:val="005A3B9B"/>
    <w:rsid w:val="005A3BF8"/>
    <w:rsid w:val="005A5CBF"/>
    <w:rsid w:val="005A621E"/>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15B1"/>
    <w:rsid w:val="005D22AB"/>
    <w:rsid w:val="005D3B87"/>
    <w:rsid w:val="005D4D7F"/>
    <w:rsid w:val="005E1B87"/>
    <w:rsid w:val="005E6FA5"/>
    <w:rsid w:val="005E715C"/>
    <w:rsid w:val="005E7D3A"/>
    <w:rsid w:val="005F08FC"/>
    <w:rsid w:val="005F2ABD"/>
    <w:rsid w:val="005F362B"/>
    <w:rsid w:val="005F3B43"/>
    <w:rsid w:val="005F52E3"/>
    <w:rsid w:val="005F5E39"/>
    <w:rsid w:val="005F65B8"/>
    <w:rsid w:val="005F7239"/>
    <w:rsid w:val="006015F1"/>
    <w:rsid w:val="006020BC"/>
    <w:rsid w:val="00605EAB"/>
    <w:rsid w:val="00610026"/>
    <w:rsid w:val="00611121"/>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37336"/>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2E99"/>
    <w:rsid w:val="00663852"/>
    <w:rsid w:val="00665AC0"/>
    <w:rsid w:val="00665D73"/>
    <w:rsid w:val="006675A8"/>
    <w:rsid w:val="00671CD4"/>
    <w:rsid w:val="0067348D"/>
    <w:rsid w:val="00675D7D"/>
    <w:rsid w:val="00682663"/>
    <w:rsid w:val="00690058"/>
    <w:rsid w:val="00690134"/>
    <w:rsid w:val="00690B7F"/>
    <w:rsid w:val="00692556"/>
    <w:rsid w:val="00692A0D"/>
    <w:rsid w:val="00694964"/>
    <w:rsid w:val="00694C39"/>
    <w:rsid w:val="006A05D7"/>
    <w:rsid w:val="006A15E4"/>
    <w:rsid w:val="006A1732"/>
    <w:rsid w:val="006A36D9"/>
    <w:rsid w:val="006A36F8"/>
    <w:rsid w:val="006A52D4"/>
    <w:rsid w:val="006B076E"/>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6F6C0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4015E"/>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3DD9"/>
    <w:rsid w:val="00775924"/>
    <w:rsid w:val="00775FE0"/>
    <w:rsid w:val="00776F77"/>
    <w:rsid w:val="00780200"/>
    <w:rsid w:val="00780785"/>
    <w:rsid w:val="00780E7B"/>
    <w:rsid w:val="00783806"/>
    <w:rsid w:val="007841B8"/>
    <w:rsid w:val="007855CE"/>
    <w:rsid w:val="00786BC9"/>
    <w:rsid w:val="00787247"/>
    <w:rsid w:val="00790725"/>
    <w:rsid w:val="00792CF3"/>
    <w:rsid w:val="00792E88"/>
    <w:rsid w:val="007948B2"/>
    <w:rsid w:val="007954CE"/>
    <w:rsid w:val="00796B79"/>
    <w:rsid w:val="007A063B"/>
    <w:rsid w:val="007A1025"/>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0DAB"/>
    <w:rsid w:val="007E1F0E"/>
    <w:rsid w:val="007E37FA"/>
    <w:rsid w:val="007E4364"/>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57DA"/>
    <w:rsid w:val="00825817"/>
    <w:rsid w:val="008258E8"/>
    <w:rsid w:val="008260AC"/>
    <w:rsid w:val="00826AD6"/>
    <w:rsid w:val="008276E9"/>
    <w:rsid w:val="00827D22"/>
    <w:rsid w:val="00830160"/>
    <w:rsid w:val="00830722"/>
    <w:rsid w:val="00830A85"/>
    <w:rsid w:val="00830BFC"/>
    <w:rsid w:val="00830E11"/>
    <w:rsid w:val="008373E2"/>
    <w:rsid w:val="008408AE"/>
    <w:rsid w:val="008425F2"/>
    <w:rsid w:val="00843508"/>
    <w:rsid w:val="00846187"/>
    <w:rsid w:val="008501F0"/>
    <w:rsid w:val="00850B14"/>
    <w:rsid w:val="00850D2A"/>
    <w:rsid w:val="008512D1"/>
    <w:rsid w:val="00855EF6"/>
    <w:rsid w:val="00856455"/>
    <w:rsid w:val="00857403"/>
    <w:rsid w:val="00857427"/>
    <w:rsid w:val="00857DB5"/>
    <w:rsid w:val="00861394"/>
    <w:rsid w:val="008619B6"/>
    <w:rsid w:val="00862C5F"/>
    <w:rsid w:val="008637AB"/>
    <w:rsid w:val="00864499"/>
    <w:rsid w:val="00864F24"/>
    <w:rsid w:val="00865CB9"/>
    <w:rsid w:val="00867E2C"/>
    <w:rsid w:val="0087017E"/>
    <w:rsid w:val="008704A6"/>
    <w:rsid w:val="008704BC"/>
    <w:rsid w:val="008718CA"/>
    <w:rsid w:val="0087359C"/>
    <w:rsid w:val="00874393"/>
    <w:rsid w:val="008748CD"/>
    <w:rsid w:val="00875CE0"/>
    <w:rsid w:val="00880443"/>
    <w:rsid w:val="00881063"/>
    <w:rsid w:val="00881BBA"/>
    <w:rsid w:val="00881CEF"/>
    <w:rsid w:val="0088247B"/>
    <w:rsid w:val="00883842"/>
    <w:rsid w:val="0088606A"/>
    <w:rsid w:val="008865A6"/>
    <w:rsid w:val="00887E8E"/>
    <w:rsid w:val="008918D7"/>
    <w:rsid w:val="00891AC9"/>
    <w:rsid w:val="008931AC"/>
    <w:rsid w:val="00895A73"/>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6076"/>
    <w:rsid w:val="008C72D3"/>
    <w:rsid w:val="008C7A9C"/>
    <w:rsid w:val="008D0DB6"/>
    <w:rsid w:val="008D1DA7"/>
    <w:rsid w:val="008D25C5"/>
    <w:rsid w:val="008D52C7"/>
    <w:rsid w:val="008D5999"/>
    <w:rsid w:val="008D672E"/>
    <w:rsid w:val="008D7C87"/>
    <w:rsid w:val="008E013C"/>
    <w:rsid w:val="008E0403"/>
    <w:rsid w:val="008E1684"/>
    <w:rsid w:val="008E3C14"/>
    <w:rsid w:val="008E5709"/>
    <w:rsid w:val="008E5A60"/>
    <w:rsid w:val="008F35F5"/>
    <w:rsid w:val="008F3B16"/>
    <w:rsid w:val="008F428D"/>
    <w:rsid w:val="008F4F2D"/>
    <w:rsid w:val="008F707C"/>
    <w:rsid w:val="008F76F3"/>
    <w:rsid w:val="00900721"/>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1B20"/>
    <w:rsid w:val="009530DA"/>
    <w:rsid w:val="00954363"/>
    <w:rsid w:val="00954A82"/>
    <w:rsid w:val="00954C83"/>
    <w:rsid w:val="00954D76"/>
    <w:rsid w:val="00955A25"/>
    <w:rsid w:val="009633AE"/>
    <w:rsid w:val="0096612E"/>
    <w:rsid w:val="00966FD9"/>
    <w:rsid w:val="0097177B"/>
    <w:rsid w:val="00972133"/>
    <w:rsid w:val="009731F6"/>
    <w:rsid w:val="00974F33"/>
    <w:rsid w:val="009753CF"/>
    <w:rsid w:val="0097575B"/>
    <w:rsid w:val="009777D9"/>
    <w:rsid w:val="00977ECA"/>
    <w:rsid w:val="009822E6"/>
    <w:rsid w:val="0098255B"/>
    <w:rsid w:val="0098465A"/>
    <w:rsid w:val="00986D05"/>
    <w:rsid w:val="0098711E"/>
    <w:rsid w:val="0099130C"/>
    <w:rsid w:val="00995960"/>
    <w:rsid w:val="0099737C"/>
    <w:rsid w:val="009A04AB"/>
    <w:rsid w:val="009A16EE"/>
    <w:rsid w:val="009A229A"/>
    <w:rsid w:val="009A30D2"/>
    <w:rsid w:val="009A5D98"/>
    <w:rsid w:val="009A6D18"/>
    <w:rsid w:val="009A7AEA"/>
    <w:rsid w:val="009B2A0E"/>
    <w:rsid w:val="009B2BE9"/>
    <w:rsid w:val="009B3582"/>
    <w:rsid w:val="009B427E"/>
    <w:rsid w:val="009B483B"/>
    <w:rsid w:val="009B48D9"/>
    <w:rsid w:val="009B65B4"/>
    <w:rsid w:val="009B671F"/>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0C9"/>
    <w:rsid w:val="00A00198"/>
    <w:rsid w:val="00A01827"/>
    <w:rsid w:val="00A01831"/>
    <w:rsid w:val="00A03D96"/>
    <w:rsid w:val="00A04DAD"/>
    <w:rsid w:val="00A06040"/>
    <w:rsid w:val="00A07624"/>
    <w:rsid w:val="00A12F83"/>
    <w:rsid w:val="00A13636"/>
    <w:rsid w:val="00A15240"/>
    <w:rsid w:val="00A15A1C"/>
    <w:rsid w:val="00A163D2"/>
    <w:rsid w:val="00A21392"/>
    <w:rsid w:val="00A24F2C"/>
    <w:rsid w:val="00A2677B"/>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6355"/>
    <w:rsid w:val="00A6707C"/>
    <w:rsid w:val="00A678B5"/>
    <w:rsid w:val="00A679EE"/>
    <w:rsid w:val="00A70007"/>
    <w:rsid w:val="00A70EE7"/>
    <w:rsid w:val="00A70FED"/>
    <w:rsid w:val="00A71AA0"/>
    <w:rsid w:val="00A71C3B"/>
    <w:rsid w:val="00A742C5"/>
    <w:rsid w:val="00A750EF"/>
    <w:rsid w:val="00A76C30"/>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5B1F"/>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4061"/>
    <w:rsid w:val="00B048B6"/>
    <w:rsid w:val="00B04A6A"/>
    <w:rsid w:val="00B05701"/>
    <w:rsid w:val="00B05BAF"/>
    <w:rsid w:val="00B0604A"/>
    <w:rsid w:val="00B064CB"/>
    <w:rsid w:val="00B078C9"/>
    <w:rsid w:val="00B1250B"/>
    <w:rsid w:val="00B15115"/>
    <w:rsid w:val="00B172D7"/>
    <w:rsid w:val="00B201D3"/>
    <w:rsid w:val="00B230B1"/>
    <w:rsid w:val="00B254C3"/>
    <w:rsid w:val="00B25D83"/>
    <w:rsid w:val="00B25DD9"/>
    <w:rsid w:val="00B26F05"/>
    <w:rsid w:val="00B27FD2"/>
    <w:rsid w:val="00B31657"/>
    <w:rsid w:val="00B35904"/>
    <w:rsid w:val="00B374D7"/>
    <w:rsid w:val="00B3765C"/>
    <w:rsid w:val="00B404AA"/>
    <w:rsid w:val="00B406BE"/>
    <w:rsid w:val="00B4131F"/>
    <w:rsid w:val="00B414FF"/>
    <w:rsid w:val="00B531ED"/>
    <w:rsid w:val="00B538FD"/>
    <w:rsid w:val="00B54828"/>
    <w:rsid w:val="00B54E5F"/>
    <w:rsid w:val="00B54F86"/>
    <w:rsid w:val="00B5576B"/>
    <w:rsid w:val="00B600BD"/>
    <w:rsid w:val="00B61D2C"/>
    <w:rsid w:val="00B62DC3"/>
    <w:rsid w:val="00B62E44"/>
    <w:rsid w:val="00B64EE6"/>
    <w:rsid w:val="00B67CD8"/>
    <w:rsid w:val="00B70A10"/>
    <w:rsid w:val="00B71331"/>
    <w:rsid w:val="00B716B9"/>
    <w:rsid w:val="00B72F0C"/>
    <w:rsid w:val="00B73E55"/>
    <w:rsid w:val="00B74DEC"/>
    <w:rsid w:val="00B752B1"/>
    <w:rsid w:val="00B7629E"/>
    <w:rsid w:val="00B771B5"/>
    <w:rsid w:val="00B77F3E"/>
    <w:rsid w:val="00B80FA5"/>
    <w:rsid w:val="00B8234C"/>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550A"/>
    <w:rsid w:val="00BA555B"/>
    <w:rsid w:val="00BA6101"/>
    <w:rsid w:val="00BA7566"/>
    <w:rsid w:val="00BA774A"/>
    <w:rsid w:val="00BB0412"/>
    <w:rsid w:val="00BB0508"/>
    <w:rsid w:val="00BB29BC"/>
    <w:rsid w:val="00BB312F"/>
    <w:rsid w:val="00BB44E7"/>
    <w:rsid w:val="00BB65AB"/>
    <w:rsid w:val="00BB6A88"/>
    <w:rsid w:val="00BC0AF1"/>
    <w:rsid w:val="00BC0BE5"/>
    <w:rsid w:val="00BC1510"/>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8C6"/>
    <w:rsid w:val="00C13E12"/>
    <w:rsid w:val="00C173BF"/>
    <w:rsid w:val="00C22C49"/>
    <w:rsid w:val="00C261E5"/>
    <w:rsid w:val="00C26954"/>
    <w:rsid w:val="00C30395"/>
    <w:rsid w:val="00C326A0"/>
    <w:rsid w:val="00C32CE3"/>
    <w:rsid w:val="00C3377D"/>
    <w:rsid w:val="00C3667F"/>
    <w:rsid w:val="00C415BF"/>
    <w:rsid w:val="00C42E24"/>
    <w:rsid w:val="00C4481F"/>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516"/>
    <w:rsid w:val="00C907A4"/>
    <w:rsid w:val="00C90A36"/>
    <w:rsid w:val="00C916EA"/>
    <w:rsid w:val="00C91D74"/>
    <w:rsid w:val="00C9278E"/>
    <w:rsid w:val="00C9686C"/>
    <w:rsid w:val="00CA1BC2"/>
    <w:rsid w:val="00CA3DD2"/>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6018"/>
    <w:rsid w:val="00CD6C2D"/>
    <w:rsid w:val="00CD7484"/>
    <w:rsid w:val="00CD7C6E"/>
    <w:rsid w:val="00CE1525"/>
    <w:rsid w:val="00CE1A10"/>
    <w:rsid w:val="00CE1B11"/>
    <w:rsid w:val="00CE20ED"/>
    <w:rsid w:val="00CE22EC"/>
    <w:rsid w:val="00CE28F9"/>
    <w:rsid w:val="00CE2D51"/>
    <w:rsid w:val="00CE5C0B"/>
    <w:rsid w:val="00CE62C5"/>
    <w:rsid w:val="00CE66BF"/>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1989"/>
    <w:rsid w:val="00D21E27"/>
    <w:rsid w:val="00D22258"/>
    <w:rsid w:val="00D25478"/>
    <w:rsid w:val="00D25F29"/>
    <w:rsid w:val="00D27F28"/>
    <w:rsid w:val="00D31344"/>
    <w:rsid w:val="00D32CB2"/>
    <w:rsid w:val="00D3481A"/>
    <w:rsid w:val="00D34BA4"/>
    <w:rsid w:val="00D3543D"/>
    <w:rsid w:val="00D36406"/>
    <w:rsid w:val="00D36563"/>
    <w:rsid w:val="00D375A8"/>
    <w:rsid w:val="00D43FC7"/>
    <w:rsid w:val="00D453C2"/>
    <w:rsid w:val="00D47601"/>
    <w:rsid w:val="00D503B7"/>
    <w:rsid w:val="00D5276A"/>
    <w:rsid w:val="00D529A4"/>
    <w:rsid w:val="00D54F50"/>
    <w:rsid w:val="00D603DE"/>
    <w:rsid w:val="00D60ADC"/>
    <w:rsid w:val="00D60BDE"/>
    <w:rsid w:val="00D62531"/>
    <w:rsid w:val="00D62C29"/>
    <w:rsid w:val="00D6508A"/>
    <w:rsid w:val="00D67408"/>
    <w:rsid w:val="00D70571"/>
    <w:rsid w:val="00D71F02"/>
    <w:rsid w:val="00D73A89"/>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678B"/>
    <w:rsid w:val="00E27627"/>
    <w:rsid w:val="00E30235"/>
    <w:rsid w:val="00E32010"/>
    <w:rsid w:val="00E32F6D"/>
    <w:rsid w:val="00E33A1D"/>
    <w:rsid w:val="00E34C62"/>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5DC1"/>
    <w:rsid w:val="00E57767"/>
    <w:rsid w:val="00E57D09"/>
    <w:rsid w:val="00E60B7B"/>
    <w:rsid w:val="00E61B1B"/>
    <w:rsid w:val="00E63440"/>
    <w:rsid w:val="00E66365"/>
    <w:rsid w:val="00E66EE3"/>
    <w:rsid w:val="00E67BD2"/>
    <w:rsid w:val="00E67FD4"/>
    <w:rsid w:val="00E709BE"/>
    <w:rsid w:val="00E70C32"/>
    <w:rsid w:val="00E7307B"/>
    <w:rsid w:val="00E745D1"/>
    <w:rsid w:val="00E74D0D"/>
    <w:rsid w:val="00E74FC5"/>
    <w:rsid w:val="00E75273"/>
    <w:rsid w:val="00E76749"/>
    <w:rsid w:val="00E76DBB"/>
    <w:rsid w:val="00E776F1"/>
    <w:rsid w:val="00E80E15"/>
    <w:rsid w:val="00E81189"/>
    <w:rsid w:val="00E826CF"/>
    <w:rsid w:val="00E829D0"/>
    <w:rsid w:val="00E82C00"/>
    <w:rsid w:val="00E8335F"/>
    <w:rsid w:val="00E86100"/>
    <w:rsid w:val="00E86D12"/>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0E89"/>
    <w:rsid w:val="00F0166E"/>
    <w:rsid w:val="00F01B3F"/>
    <w:rsid w:val="00F01C62"/>
    <w:rsid w:val="00F02808"/>
    <w:rsid w:val="00F03B3F"/>
    <w:rsid w:val="00F0670E"/>
    <w:rsid w:val="00F06C18"/>
    <w:rsid w:val="00F072DC"/>
    <w:rsid w:val="00F10FF9"/>
    <w:rsid w:val="00F119AA"/>
    <w:rsid w:val="00F11D25"/>
    <w:rsid w:val="00F123E8"/>
    <w:rsid w:val="00F127A6"/>
    <w:rsid w:val="00F20FAF"/>
    <w:rsid w:val="00F21487"/>
    <w:rsid w:val="00F22B2F"/>
    <w:rsid w:val="00F30D61"/>
    <w:rsid w:val="00F35A19"/>
    <w:rsid w:val="00F36F6F"/>
    <w:rsid w:val="00F37AF6"/>
    <w:rsid w:val="00F4280F"/>
    <w:rsid w:val="00F434D2"/>
    <w:rsid w:val="00F43623"/>
    <w:rsid w:val="00F44F75"/>
    <w:rsid w:val="00F45F3D"/>
    <w:rsid w:val="00F47083"/>
    <w:rsid w:val="00F47FCF"/>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2D22"/>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0426"/>
    <w:rsid w:val="00FB13A7"/>
    <w:rsid w:val="00FB2F61"/>
    <w:rsid w:val="00FB513F"/>
    <w:rsid w:val="00FB5ACC"/>
    <w:rsid w:val="00FB6255"/>
    <w:rsid w:val="00FB7990"/>
    <w:rsid w:val="00FB7F83"/>
    <w:rsid w:val="00FC024C"/>
    <w:rsid w:val="00FC38EF"/>
    <w:rsid w:val="00FC43C3"/>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06343591">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56572282">
      <w:bodyDiv w:val="1"/>
      <w:marLeft w:val="0"/>
      <w:marRight w:val="0"/>
      <w:marTop w:val="0"/>
      <w:marBottom w:val="0"/>
      <w:divBdr>
        <w:top w:val="none" w:sz="0" w:space="0" w:color="auto"/>
        <w:left w:val="none" w:sz="0" w:space="0" w:color="auto"/>
        <w:bottom w:val="none" w:sz="0" w:space="0" w:color="auto"/>
        <w:right w:val="none" w:sz="0" w:space="0" w:color="auto"/>
      </w:divBdr>
    </w:div>
    <w:div w:id="747770073">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9682985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34982722">
      <w:bodyDiv w:val="1"/>
      <w:marLeft w:val="0"/>
      <w:marRight w:val="0"/>
      <w:marTop w:val="0"/>
      <w:marBottom w:val="0"/>
      <w:divBdr>
        <w:top w:val="none" w:sz="0" w:space="0" w:color="auto"/>
        <w:left w:val="none" w:sz="0" w:space="0" w:color="auto"/>
        <w:bottom w:val="none" w:sz="0" w:space="0" w:color="auto"/>
        <w:right w:val="none" w:sz="0" w:space="0" w:color="auto"/>
      </w:divBdr>
    </w:div>
    <w:div w:id="1137183965">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17639596">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1997028588">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15455185">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13</Pages>
  <Words>8472</Words>
  <Characters>45754</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17</cp:revision>
  <cp:lastPrinted>2025-07-16T16:38:00Z</cp:lastPrinted>
  <dcterms:created xsi:type="dcterms:W3CDTF">2025-10-24T23:49:00Z</dcterms:created>
  <dcterms:modified xsi:type="dcterms:W3CDTF">2025-12-22T11:36:00Z</dcterms:modified>
</cp:coreProperties>
</file>