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A5583" w14:textId="77777777" w:rsidR="00B81197" w:rsidRPr="00002DF3" w:rsidRDefault="00B81197" w:rsidP="00002DF3">
      <w:pPr>
        <w:spacing w:after="0" w:line="276" w:lineRule="auto"/>
        <w:jc w:val="center"/>
        <w:rPr>
          <w:rFonts w:ascii="Times New Roman" w:eastAsia="Arial Unicode MS" w:hAnsi="Times New Roman" w:cs="Times New Roman"/>
          <w:b/>
          <w:sz w:val="20"/>
          <w:u w:val="single"/>
        </w:rPr>
      </w:pPr>
    </w:p>
    <w:p w14:paraId="08D66ADC" w14:textId="7FADBEAC" w:rsidR="006E786C" w:rsidRPr="00002DF3" w:rsidRDefault="006E786C" w:rsidP="00002DF3">
      <w:pPr>
        <w:spacing w:after="0" w:line="276" w:lineRule="auto"/>
        <w:jc w:val="center"/>
        <w:rPr>
          <w:rFonts w:ascii="Times New Roman" w:eastAsia="Arial Unicode MS" w:hAnsi="Times New Roman" w:cs="Times New Roman"/>
          <w:b/>
          <w:sz w:val="28"/>
          <w:szCs w:val="28"/>
          <w:u w:val="single"/>
        </w:rPr>
      </w:pPr>
      <w:r w:rsidRPr="00002DF3">
        <w:rPr>
          <w:rFonts w:ascii="Times New Roman" w:eastAsia="Arial Unicode MS" w:hAnsi="Times New Roman" w:cs="Times New Roman"/>
          <w:b/>
          <w:sz w:val="28"/>
          <w:szCs w:val="28"/>
          <w:u w:val="single"/>
        </w:rPr>
        <w:t>ESTUDO TÉCNICO PRELIMINAR (ETP)</w:t>
      </w:r>
    </w:p>
    <w:p w14:paraId="24CE417B" w14:textId="77777777" w:rsidR="006E786C" w:rsidRPr="00002DF3" w:rsidRDefault="006E786C" w:rsidP="00002DF3">
      <w:pPr>
        <w:spacing w:after="0" w:line="276" w:lineRule="auto"/>
        <w:jc w:val="both"/>
        <w:rPr>
          <w:rFonts w:ascii="Times New Roman" w:eastAsia="Arial Unicode MS" w:hAnsi="Times New Roman" w:cs="Times New Roman"/>
          <w:sz w:val="20"/>
        </w:rPr>
      </w:pPr>
    </w:p>
    <w:p w14:paraId="17B2D112" w14:textId="77777777" w:rsidR="006E786C" w:rsidRPr="00002DF3" w:rsidRDefault="006E786C"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1</w:t>
      </w:r>
      <w:r w:rsidR="007805B9"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INFORMAÇÕES BÁSICAS:</w:t>
      </w:r>
    </w:p>
    <w:p w14:paraId="420B5AA8" w14:textId="2A5950C8" w:rsidR="006E786C" w:rsidRPr="00002DF3" w:rsidRDefault="006E786C"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b/>
          <w:bCs/>
          <w:sz w:val="20"/>
        </w:rPr>
        <w:t>1.1</w:t>
      </w:r>
      <w:r w:rsidR="007805B9" w:rsidRPr="00002DF3">
        <w:rPr>
          <w:rFonts w:ascii="Times New Roman" w:eastAsia="Arial Unicode MS" w:hAnsi="Times New Roman" w:cs="Times New Roman"/>
          <w:b/>
          <w:bCs/>
          <w:sz w:val="20"/>
        </w:rPr>
        <w:t>.</w:t>
      </w:r>
      <w:r w:rsidRPr="00002DF3">
        <w:rPr>
          <w:rFonts w:ascii="Times New Roman" w:eastAsia="Arial Unicode MS" w:hAnsi="Times New Roman" w:cs="Times New Roman"/>
          <w:b/>
          <w:bCs/>
          <w:sz w:val="20"/>
        </w:rPr>
        <w:t xml:space="preserve"> Processo Administrativo: </w:t>
      </w:r>
      <w:r w:rsidR="005B7CDE" w:rsidRPr="00002DF3">
        <w:rPr>
          <w:rFonts w:ascii="Times New Roman" w:eastAsia="Arial Unicode MS" w:hAnsi="Times New Roman" w:cs="Times New Roman"/>
          <w:sz w:val="20"/>
        </w:rPr>
        <w:t>426</w:t>
      </w:r>
      <w:r w:rsidR="00E069BF" w:rsidRPr="00002DF3">
        <w:rPr>
          <w:rFonts w:ascii="Times New Roman" w:eastAsia="Arial Unicode MS" w:hAnsi="Times New Roman" w:cs="Times New Roman"/>
          <w:sz w:val="20"/>
        </w:rPr>
        <w:t>/202</w:t>
      </w:r>
      <w:r w:rsidR="008F742D" w:rsidRPr="00002DF3">
        <w:rPr>
          <w:rFonts w:ascii="Times New Roman" w:eastAsia="Arial Unicode MS" w:hAnsi="Times New Roman" w:cs="Times New Roman"/>
          <w:sz w:val="20"/>
        </w:rPr>
        <w:t>6</w:t>
      </w:r>
      <w:r w:rsidRPr="00002DF3">
        <w:rPr>
          <w:rFonts w:ascii="Times New Roman" w:eastAsia="Arial Unicode MS" w:hAnsi="Times New Roman" w:cs="Times New Roman"/>
          <w:sz w:val="20"/>
        </w:rPr>
        <w:t>.</w:t>
      </w:r>
    </w:p>
    <w:p w14:paraId="48A1C4EF" w14:textId="77777777" w:rsidR="006E786C" w:rsidRPr="00002DF3" w:rsidRDefault="006E786C"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b/>
          <w:bCs/>
          <w:sz w:val="20"/>
        </w:rPr>
        <w:t>1.2</w:t>
      </w:r>
      <w:r w:rsidR="007805B9" w:rsidRPr="00002DF3">
        <w:rPr>
          <w:rFonts w:ascii="Times New Roman" w:eastAsia="Arial Unicode MS" w:hAnsi="Times New Roman" w:cs="Times New Roman"/>
          <w:b/>
          <w:bCs/>
          <w:sz w:val="20"/>
        </w:rPr>
        <w:t>.</w:t>
      </w:r>
      <w:r w:rsidRPr="00002DF3">
        <w:rPr>
          <w:rFonts w:ascii="Times New Roman" w:eastAsia="Arial Unicode MS" w:hAnsi="Times New Roman" w:cs="Times New Roman"/>
          <w:b/>
          <w:bCs/>
          <w:sz w:val="20"/>
        </w:rPr>
        <w:t xml:space="preserve"> Área Requisitante: </w:t>
      </w:r>
      <w:r w:rsidR="00290E5C" w:rsidRPr="00002DF3">
        <w:rPr>
          <w:rFonts w:ascii="Times New Roman" w:eastAsia="Arial Unicode MS" w:hAnsi="Times New Roman" w:cs="Times New Roman"/>
          <w:sz w:val="20"/>
        </w:rPr>
        <w:t xml:space="preserve">Secretaria </w:t>
      </w:r>
      <w:r w:rsidR="00AA7742" w:rsidRPr="00002DF3">
        <w:rPr>
          <w:rFonts w:ascii="Times New Roman" w:eastAsia="Arial Unicode MS" w:hAnsi="Times New Roman" w:cs="Times New Roman"/>
          <w:sz w:val="20"/>
        </w:rPr>
        <w:t xml:space="preserve">Municipal </w:t>
      </w:r>
      <w:r w:rsidR="00290E5C" w:rsidRPr="00002DF3">
        <w:rPr>
          <w:rFonts w:ascii="Times New Roman" w:eastAsia="Arial Unicode MS" w:hAnsi="Times New Roman" w:cs="Times New Roman"/>
          <w:sz w:val="20"/>
        </w:rPr>
        <w:t>de Administração, Fazenda e Planejamento</w:t>
      </w:r>
      <w:r w:rsidRPr="00002DF3">
        <w:rPr>
          <w:rFonts w:ascii="Times New Roman" w:eastAsia="Arial Unicode MS" w:hAnsi="Times New Roman" w:cs="Times New Roman"/>
          <w:sz w:val="20"/>
        </w:rPr>
        <w:t>.</w:t>
      </w:r>
    </w:p>
    <w:p w14:paraId="010CDFDE" w14:textId="77777777" w:rsidR="006E786C" w:rsidRPr="00002DF3" w:rsidRDefault="006E786C" w:rsidP="00002DF3">
      <w:pPr>
        <w:spacing w:after="0" w:line="276" w:lineRule="auto"/>
        <w:jc w:val="both"/>
        <w:rPr>
          <w:rFonts w:ascii="Times New Roman" w:eastAsia="Arial Unicode MS" w:hAnsi="Times New Roman" w:cs="Times New Roman"/>
          <w:b/>
          <w:sz w:val="20"/>
        </w:rPr>
      </w:pPr>
    </w:p>
    <w:p w14:paraId="65F4EF5C" w14:textId="77777777" w:rsidR="006E786C" w:rsidRPr="00002DF3" w:rsidRDefault="006E786C"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2</w:t>
      </w:r>
      <w:r w:rsidR="007805B9"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DESCRIÇÃO DA NECESSIDADE: </w:t>
      </w:r>
    </w:p>
    <w:p w14:paraId="5872E16A" w14:textId="5C07CB56"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2.1</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presente Estudo Técnico Preliminar tem por objetivo analisar a necessidade de contratação de empresa especializada para a execução de obra de engenharia destinada à construção de unidades habitacionais de interesse social, no Município de Paverama, a partir da identificação do problema público existente, de seus impactos sociais, econômicos e urbanísticos, bem como da avaliação da pertinência e da obrigatoriedade da atuação estatal diante do interesse público envolvido e dos compromissos assumidos pelo ente municipal em instrumento de cooperação com a União.</w:t>
      </w:r>
    </w:p>
    <w:p w14:paraId="58B6C908" w14:textId="05396FA6"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2.2</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presente contratação encontra respaldo legal, primordialmente, no art. 6º da Constituição Federal de 1988, que consagra a moradia como direito social fundamental, bem como no art. 23, inciso IX, que atribui competência comum à União, aos Estados, ao Distrito Federal e aos Municípios para promover programas de construção de moradias e a melhoria das condições habitacionais e de saneamento básico, competindo ao Município a execução descentralizada de políticas públicas habitacionais, especialmente quando beneficiário de recursos federais vinculados.</w:t>
      </w:r>
    </w:p>
    <w:p w14:paraId="15D4FF7C" w14:textId="41EFEFB3"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2.3</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No âmbito local, o Município de Paverama desenvolveu, entre os anos de 2013 e 2020, ações voltadas à política habitacional que culminaram na implantação de cerca de 50 (cinquenta) unidades habitacionais populares no Bairro Morro Bonito, consolidando o núcleo urbano denominado Loteamento Morada Bonita. O empreendimento demandou a realização de estudos técnicos, procedimentos de licenciamento ambiental, elaboração de projetos, regularização das áreas e demais providências administrativas necessárias à viabilização das edificações, as quais foram concluídas somente no final de 2020.</w:t>
      </w:r>
    </w:p>
    <w:p w14:paraId="40AA39F9" w14:textId="16B010EB"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2.3.1</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Cumpre registrar que as edificações então implantadas foram viabilizadas por recursos do Governo Federal, competindo ao Município, naquele contexto, a adoção das medidas administrativas relacionadas ao licenciamento da área, à regularização urbanística e fundiária, bem como à organização dos procedimentos de inscrição, seleção, acompanhamento social e fiscalização dos beneficiários. A elevada procura registrada à época, com número de inscritos superior à média histórica municipal, revelou de forma inequívoca a existência de demanda reprimida por habitação de interesse social, a qual não se exauriu com a conclusão do referido empreendimento.</w:t>
      </w:r>
    </w:p>
    <w:p w14:paraId="649D170F" w14:textId="5466881D"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2.4</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Não obstante os avanços obtidos, a realidade atual evidencia que o déficit habitacional permanece como problema estrutural relevante, atingindo parcela significativa da população local. Registros administrativos vinculados à Secretaria Municipal de Saúde, Assistência Social e Habitação, especialmente aqueles oriundos do CRAS e do Cadastro Único para Programas Sociais, indicam a persistência de famílias em situação de vulnerabilidade habitacional, residindo em condições precárias, coabitação forçada ou risco social, evidenciando a insuficiência da oferta habitacional existente.</w:t>
      </w:r>
    </w:p>
    <w:p w14:paraId="52CC67D3" w14:textId="70863A51"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2.5</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Nesse cenário, o Município de Paverama foi contemplado com recursos oriundos do Governo Federal, no âmbito do Programa de Aceleração do Crescimento – Novo PAC, formalizados por meio de Termo de Compromisso firmado com a Caixa Econômica Federal, agente operador do programa, cujo objeto consiste na construção de unidades habitacionais de interesse social, observadas as diretrizes técnicas, operacionais, sociais e financeiras estabelecidas no respectivo instrumento e nos normativos federais aplicáveis.</w:t>
      </w:r>
    </w:p>
    <w:p w14:paraId="5A680A5F" w14:textId="625E64E5"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2.5.1</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referido Termo de Compromisso impõe ao Município, na condição de ente convenente e executor da obra, a obrigação de promover a adequada contratação da empresa responsável pela execução, assegurar a observância dos projetos aprovados, cumprir os prazos pactuados, garantir a correta aplicação dos recursos públicos federais e adotar mecanismos de controle, fiscalização e prestação de contas, sob pena de glosa, devolução de recursos ou responsabilização administrativa.</w:t>
      </w:r>
    </w:p>
    <w:p w14:paraId="3C46CF59" w14:textId="05ED2BC7"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2.6</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Diferentemente de iniciativas anteriores, o modelo ora proposto no âmbito do Novo PAC não envolve contrapartida financeira direta por parte dos beneficiários finais, o que amplia significativamente o alcance social da política pública habitacional e transfere à Administração Municipal integral responsabilidade pela correta </w:t>
      </w:r>
      <w:r w:rsidRPr="00002DF3">
        <w:rPr>
          <w:rFonts w:ascii="Times New Roman" w:eastAsia="Arial Unicode MS" w:hAnsi="Times New Roman" w:cs="Times New Roman"/>
          <w:sz w:val="20"/>
        </w:rPr>
        <w:lastRenderedPageBreak/>
        <w:t>gestão, execução técnica, fiscalização e conformidade legal da obra, reforçando a necessidade de planejamento rigoroso e contratação tecnicamente adequada.</w:t>
      </w:r>
    </w:p>
    <w:p w14:paraId="615EE973" w14:textId="1DB2525B"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2.7</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não implementação das medidas administrativas necessárias à execução do objeto pactuado implicaria não apenas a manutenção do déficit habitacional existente, mas também o descumprimento das obrigações assumidas perante a União e a Caixa Econômica Federal, com risco concreto de perda dos recursos federais, necessidade de restituição de valores eventualmente repassados e prejuízos sociais e institucionais relevantes, além de impacto negativo sobre a credibilidade do Município em futuros programas de cooperação.</w:t>
      </w:r>
    </w:p>
    <w:p w14:paraId="4A693DAC" w14:textId="016D802C" w:rsidR="009020FF"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2.8</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Dessa forma, a necessidade pública ora identificada reside na superação do déficit habitacional local por meio da execução de política pública estruturada, vinculada </w:t>
      </w:r>
      <w:proofErr w:type="spellStart"/>
      <w:r w:rsidRPr="00002DF3">
        <w:rPr>
          <w:rFonts w:ascii="Times New Roman" w:eastAsia="Arial Unicode MS" w:hAnsi="Times New Roman" w:cs="Times New Roman"/>
          <w:sz w:val="20"/>
        </w:rPr>
        <w:t>a</w:t>
      </w:r>
      <w:proofErr w:type="spellEnd"/>
      <w:r w:rsidRPr="00002DF3">
        <w:rPr>
          <w:rFonts w:ascii="Times New Roman" w:eastAsia="Arial Unicode MS" w:hAnsi="Times New Roman" w:cs="Times New Roman"/>
          <w:sz w:val="20"/>
        </w:rPr>
        <w:t xml:space="preserve"> programa federal, que assegure o acesso à moradia digna, promova a inclusão social e contribua para o desenvolvimento urbano ordenado. Tal necessidade demanda atuação estatal planejada, contratação de solução de engenharia compatível com os parâmetros técnicos do convênio firmado, racionalização do uso dos recursos públicos e estrita observância às normas legais, contratuais e constitucionais aplicáveis.</w:t>
      </w:r>
    </w:p>
    <w:p w14:paraId="41F9C27D" w14:textId="42499BBC" w:rsidR="00382B99" w:rsidRPr="00002DF3" w:rsidRDefault="009020F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2.9</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Conclui-se, portanto, que a contratação pretendida é não apenas conveniente, mas necessária e vinculada ao interesse público primário, atendendo simultaneamente aos princípios da eficiência, economicidade, responsabilidade fiscal, boa governança dos recursos federais, interesse público e dignidade da pessoa humana, em conformidade com a Lei nº 14.133/2021, com o Termo de Compromisso celebrado e com as diretrizes do Programa Novo PAC.</w:t>
      </w:r>
    </w:p>
    <w:p w14:paraId="77F9F53E" w14:textId="77777777" w:rsidR="009020FF" w:rsidRPr="00002DF3" w:rsidRDefault="009020FF" w:rsidP="00002DF3">
      <w:pPr>
        <w:spacing w:after="0" w:line="276" w:lineRule="auto"/>
        <w:jc w:val="both"/>
        <w:rPr>
          <w:rFonts w:ascii="Times New Roman" w:eastAsia="Arial Unicode MS" w:hAnsi="Times New Roman" w:cs="Times New Roman"/>
          <w:sz w:val="20"/>
        </w:rPr>
      </w:pPr>
    </w:p>
    <w:p w14:paraId="0F42A326" w14:textId="77777777" w:rsidR="006E786C" w:rsidRPr="00002DF3" w:rsidRDefault="006E786C"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3</w:t>
      </w:r>
      <w:r w:rsidR="007805B9"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DESCRIÇÃO DOS REQUISITOS DA CONTRATAÇÃO:</w:t>
      </w:r>
    </w:p>
    <w:p w14:paraId="325EB6ED" w14:textId="470FEEAA"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3.1</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Para assegurar a adequada, regular e eficiente execução da obra de engenharia, as planilhas orçamentárias, composições de custos e quantitativos apresentados pelos licitantes deverão estar integralmente preenchidos, detalhados e compatíveis com os serviços previstos no Projeto de Engenharia, no Memorial Descritivo e no Termo de Referência. As propostas deverão evidenciar coerência técnica e econômica, compatibilidade entre valores unitários, métodos executivos e materiais empregados, observando, como referência, os parâmetros oficiais adotados pela Administração, notadamente aqueles constantes do Sistema Nacional de Pesquisa de Custos e Índices da Construção Civil – SINAPI.</w:t>
      </w:r>
    </w:p>
    <w:p w14:paraId="4459FED9" w14:textId="653812FA"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3.2</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O objeto da contratação caracteriza-se como obra e serviço comum de engenharia, envolvendo execução contínua, métodos construtivos padronizados, resultados objetivamente mensuráveis e exigência de responsabilidade técnica legalmente habilitada, o que justifica a imposição de requisitos técnicos, operacionais e profissionais compatíveis com o porte, o risco e a relevância social do empreendimento.</w:t>
      </w:r>
    </w:p>
    <w:p w14:paraId="7D13E0B0" w14:textId="1176B0AA"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3.3</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Todos os encargos de natureza tributária, trabalhista, previdenciária, securitária, ambiental, técnica e operacional decorrentes da execução da obra serão de inteira e exclusiva responsabilidade da empresa contratada, incluindo taxas, registros, licenças, autorizações e demais exigências impostas pelos órgãos competentes. Compete à contratada arcar integralmente com os custos relativos ao transporte, armazenamento, manuseio e aplicação de materiais, insumos, equipamentos, ferramentas e mão de obra necessários à execução do objeto.</w:t>
      </w:r>
    </w:p>
    <w:p w14:paraId="7EFF4F29" w14:textId="5CBF061F"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3.4</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A execução da obra ficará sujeita à fiscalização permanente da Administração Pública, que verificará o fiel cumprimento das obrigações contratuais, abrangendo, entre outros aspectos:</w:t>
      </w:r>
    </w:p>
    <w:p w14:paraId="238CCB10"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 o atendimento às normas de segurança e saúde no trabalho, inclusive quanto ao uso obrigatório de Equipamentos de Proteção Individual – EPIs e à adoção de medidas preventivas de acidentes;</w:t>
      </w:r>
    </w:p>
    <w:p w14:paraId="6B56DF54"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b) a conformidade dos materiais, equipamentos e serviços executados com os projetos, o Memorial Descritivo e as normas técnicas aplicáveis; e</w:t>
      </w:r>
    </w:p>
    <w:p w14:paraId="7EC29465"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c) a observância de critérios de sustentabilidade ambiental, social e econômica, incluindo o correto manejo de resíduos da construção civil, a mitigação de impactos ambientais e a adoção de condutas ambientalmente responsáveis durante toda a execução da obra.</w:t>
      </w:r>
    </w:p>
    <w:p w14:paraId="53B7849C" w14:textId="434C6C92"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3.5</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O prazo de vigência contratual abrangerá o período necessário à execução integral da obra, às medições finais, ao recebimento provisório e definitivo e à resolução de eventuais pendências técnico-administrativas, não se confundindo com o prazo de execução física dos serviços. Eventual prorrogação somente poderá ocorrer nas hipóteses legalmente admitidas, mediante justificativa técnica formal e prévia autorização da Administração.</w:t>
      </w:r>
    </w:p>
    <w:p w14:paraId="4A69B5A7" w14:textId="1D0712F5"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3.6</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 xml:space="preserve">A vistoria técnica no local da obra será facultativa, cabendo às licitantes avaliar a necessidade de sua realização para pleno conhecimento das condições locais de execução. A opção pela vistoria facultativa visa preservar a competitividade do certame e afastar exigências desnecessárias à habilitação, não sendo admitidas, posteriormente, </w:t>
      </w:r>
      <w:r w:rsidRPr="00002DF3">
        <w:rPr>
          <w:rFonts w:ascii="Times New Roman" w:eastAsia="Arial Unicode MS" w:hAnsi="Times New Roman" w:cs="Times New Roman"/>
          <w:sz w:val="20"/>
        </w:rPr>
        <w:lastRenderedPageBreak/>
        <w:t>alegações de desconhecimento das condições do local como fundamento para pleitos de reequilíbrio econômico-financeiro, atrasos ou aditivos indevidos.</w:t>
      </w:r>
    </w:p>
    <w:p w14:paraId="547570B0" w14:textId="78EED39B"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3.7</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A execução dos serviços não gerará, em nenhuma hipótese, vínculo empregatício entre os empregados, prepostos ou subcontratados da empresa contratada e a Administração Pública, sendo vedada qualquer relação que caracterize pessoalidade ou subordinação direta, competindo exclusivamente à contratada o cumprimento das obrigações trabalhistas, previdenciárias e correlatas.</w:t>
      </w:r>
    </w:p>
    <w:p w14:paraId="12F41312" w14:textId="0BC6173D"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3.8</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Para fins de qualificação técnica, os licitantes deverão comprovar atuação em ramo de atividade compatível com o objeto da contratação e apresentar, no mínimo, a seguinte documentação:</w:t>
      </w:r>
    </w:p>
    <w:p w14:paraId="7B08B1E3" w14:textId="38FD4BA9"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3.8.1</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Capacidade técnico-operacional (pessoa jurídica):</w:t>
      </w:r>
    </w:p>
    <w:p w14:paraId="086A096C"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Apresentação de atestado(s) de capacidade técnica, emitido(s) por pessoa jurídica de direito público ou privado, que comprove(m) experiência da empresa licitante na execução de obra(s) ou serviço(s) de engenharia com características compatíveis em natureza, complexidade e porte com o objeto licitado.</w:t>
      </w:r>
    </w:p>
    <w:p w14:paraId="5965DF4C" w14:textId="08D411E9"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3.8.2</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Capacidade técnico-profissional (pessoa física):</w:t>
      </w:r>
    </w:p>
    <w:p w14:paraId="541AA7A1"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Apresentação de Certidão de Acervo Técnico – CAT do(s) profissional(</w:t>
      </w:r>
      <w:proofErr w:type="spellStart"/>
      <w:r w:rsidRPr="00002DF3">
        <w:rPr>
          <w:rFonts w:ascii="Times New Roman" w:eastAsia="Arial Unicode MS" w:hAnsi="Times New Roman" w:cs="Times New Roman"/>
          <w:sz w:val="20"/>
        </w:rPr>
        <w:t>is</w:t>
      </w:r>
      <w:proofErr w:type="spellEnd"/>
      <w:r w:rsidRPr="00002DF3">
        <w:rPr>
          <w:rFonts w:ascii="Times New Roman" w:eastAsia="Arial Unicode MS" w:hAnsi="Times New Roman" w:cs="Times New Roman"/>
          <w:sz w:val="20"/>
        </w:rPr>
        <w:t>) responsável(</w:t>
      </w:r>
      <w:proofErr w:type="spellStart"/>
      <w:r w:rsidRPr="00002DF3">
        <w:rPr>
          <w:rFonts w:ascii="Times New Roman" w:eastAsia="Arial Unicode MS" w:hAnsi="Times New Roman" w:cs="Times New Roman"/>
          <w:sz w:val="20"/>
        </w:rPr>
        <w:t>is</w:t>
      </w:r>
      <w:proofErr w:type="spellEnd"/>
      <w:r w:rsidRPr="00002DF3">
        <w:rPr>
          <w:rFonts w:ascii="Times New Roman" w:eastAsia="Arial Unicode MS" w:hAnsi="Times New Roman" w:cs="Times New Roman"/>
          <w:sz w:val="20"/>
        </w:rPr>
        <w:t>) técnico(s), devidamente registrada(s) no CREA ou CAU, que comprove(m) a execução de obra ou serviço de engenharia de características semelhantes ao objeto da contratação.</w:t>
      </w:r>
    </w:p>
    <w:p w14:paraId="44BF6EF9" w14:textId="272B11C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3.8.3</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Registro profissional:</w:t>
      </w:r>
    </w:p>
    <w:p w14:paraId="4C33D642"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Comprovação de registro regular da empresa licitante no CREA ou CAU, bem como registro ativo do(s) profissional(</w:t>
      </w:r>
      <w:proofErr w:type="spellStart"/>
      <w:r w:rsidRPr="00002DF3">
        <w:rPr>
          <w:rFonts w:ascii="Times New Roman" w:eastAsia="Arial Unicode MS" w:hAnsi="Times New Roman" w:cs="Times New Roman"/>
          <w:sz w:val="20"/>
        </w:rPr>
        <w:t>is</w:t>
      </w:r>
      <w:proofErr w:type="spellEnd"/>
      <w:r w:rsidRPr="00002DF3">
        <w:rPr>
          <w:rFonts w:ascii="Times New Roman" w:eastAsia="Arial Unicode MS" w:hAnsi="Times New Roman" w:cs="Times New Roman"/>
          <w:sz w:val="20"/>
        </w:rPr>
        <w:t>) técnico(s) indicado(s), devendo constar, no mínimo, um Engenheiro Civil ou Arquiteto e Urbanista legalmente habilitado.</w:t>
      </w:r>
    </w:p>
    <w:p w14:paraId="18613941" w14:textId="205FBE5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3.9</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Do vínculo e da disponibilidade do responsável técnico</w:t>
      </w:r>
    </w:p>
    <w:p w14:paraId="390C162B"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 licitante deverá comprovar vínculo formal com o profissional legalmente habilitado indicado como responsável técnico pela obra, admitidas as seguintes formas:</w:t>
      </w:r>
    </w:p>
    <w:p w14:paraId="1FBB336F"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 vínculo empregatício regido pela CLT;</w:t>
      </w:r>
    </w:p>
    <w:p w14:paraId="6BB0EB8F"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b) participação societária;</w:t>
      </w:r>
    </w:p>
    <w:p w14:paraId="7D49BCAA"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c) contrato de prestação de serviços; ou</w:t>
      </w:r>
    </w:p>
    <w:p w14:paraId="10D7BF5F"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d) declaração de contratação futura, acompanhada da anuência expressa do profissional.</w:t>
      </w:r>
    </w:p>
    <w:p w14:paraId="74BE1283"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Em razão da complexidade técnica da obra, de sua execução contínua, do impacto social do empreendimento e das exigências de controle, acompanhamento e qualidade inerentes às obras de habitação de interesse social financiadas com recursos federais, o responsável técnico deverá comprovar disponibilidade mínima de 15 (quinze) horas semanais dedicadas à obra, durante todo o período de execução contratual.</w:t>
      </w:r>
    </w:p>
    <w:p w14:paraId="36E52E57"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 exigência de disponibilidade mínima tem por finalidade assegurar acompanhamento técnico efetivo, adequado controle da execução, mitigação de riscos construtivos, atendimento às normas técnicas e correção tempestiva de eventuais não conformidades, não configurando ingerência indevida na organização interna da contratada, a quem compete definir a forma de cumprimento da carga horária exigida.</w:t>
      </w:r>
    </w:p>
    <w:p w14:paraId="6A15DC79"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O descumprimento da disponibilidade mínima declarada poderá caracterizar inexecução contratual, sujeitando a contratada às sanções previstas em lei e no contrato.</w:t>
      </w:r>
    </w:p>
    <w:p w14:paraId="1F65F2D4" w14:textId="27A46B83"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3.10</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Os profissionais técnicos indicados deverão participar efetivamente da execução da obra até sua conclusão, admitindo-se substituição apenas por profissionais de qualificação técnica equivalente ou superior, mediante prévia justificativa formal e aprovação da fiscalização.</w:t>
      </w:r>
    </w:p>
    <w:p w14:paraId="794A8BE9" w14:textId="550BDC6C"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3.11</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Constituem obrigações técnicas essenciais da empresa contratada, voltadas à mitigação de riscos técnicos, operacionais, financeiros e jurídicos:</w:t>
      </w:r>
    </w:p>
    <w:p w14:paraId="3BE66594"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 executar a obra em estrita conformidade com os projetos aprovados, especificações técnicas e normas legais aplicáveis;</w:t>
      </w:r>
    </w:p>
    <w:p w14:paraId="10D3A307"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b) planejar previamente a execução, apresentando cronograma e plano de trabalho compatíveis com o porte do empreendimento;</w:t>
      </w:r>
    </w:p>
    <w:p w14:paraId="2222093A"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c) empregar exclusivamente materiais e sistemas construtivos compatíveis com os projetos e memoriais;</w:t>
      </w:r>
    </w:p>
    <w:p w14:paraId="0EC8CD11"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d) manter responsável técnico habilitado e disponível durante toda a execução;</w:t>
      </w:r>
    </w:p>
    <w:p w14:paraId="486FB43B"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e) adotar medidas contínuas de segurança do trabalho e prevenção de acidentes;</w:t>
      </w:r>
    </w:p>
    <w:p w14:paraId="006217F9"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f) refazer, sem ônus adicional, serviços executados em desacordo com o projeto ou com vícios construtivos;</w:t>
      </w:r>
    </w:p>
    <w:p w14:paraId="4E3E6B72"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 xml:space="preserve">g) providenciar </w:t>
      </w:r>
      <w:proofErr w:type="spellStart"/>
      <w:r w:rsidRPr="00002DF3">
        <w:rPr>
          <w:rFonts w:ascii="Times New Roman" w:eastAsia="Arial Unicode MS" w:hAnsi="Times New Roman" w:cs="Times New Roman"/>
          <w:sz w:val="20"/>
        </w:rPr>
        <w:t>ARTs</w:t>
      </w:r>
      <w:proofErr w:type="spellEnd"/>
      <w:r w:rsidRPr="00002DF3">
        <w:rPr>
          <w:rFonts w:ascii="Times New Roman" w:eastAsia="Arial Unicode MS" w:hAnsi="Times New Roman" w:cs="Times New Roman"/>
          <w:sz w:val="20"/>
        </w:rPr>
        <w:t>/</w:t>
      </w:r>
      <w:proofErr w:type="spellStart"/>
      <w:r w:rsidRPr="00002DF3">
        <w:rPr>
          <w:rFonts w:ascii="Times New Roman" w:eastAsia="Arial Unicode MS" w:hAnsi="Times New Roman" w:cs="Times New Roman"/>
          <w:sz w:val="20"/>
        </w:rPr>
        <w:t>RRTs</w:t>
      </w:r>
      <w:proofErr w:type="spellEnd"/>
      <w:r w:rsidRPr="00002DF3">
        <w:rPr>
          <w:rFonts w:ascii="Times New Roman" w:eastAsia="Arial Unicode MS" w:hAnsi="Times New Roman" w:cs="Times New Roman"/>
          <w:sz w:val="20"/>
        </w:rPr>
        <w:t>, inscrição da obra no CNO e demais registros obrigatórios; e</w:t>
      </w:r>
    </w:p>
    <w:p w14:paraId="4BACD2E6" w14:textId="77777777" w:rsidR="005170D1"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lastRenderedPageBreak/>
        <w:t>h) abster-se de formular pleitos de reequilíbrio econômico-financeiro baseados em fatos previsíveis ou decorrentes de falhas de planejamento próprio.</w:t>
      </w:r>
    </w:p>
    <w:p w14:paraId="4D3C6870" w14:textId="7EB5BB04" w:rsidR="006E0F08" w:rsidRPr="00002DF3" w:rsidRDefault="005170D1"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3.12</w:t>
      </w:r>
      <w:r w:rsid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Compete ao Município de Paverama, na qualidade de contratante, disponibilizar as informações técnicas necessárias à execução da obra, assegurar acesso livre e desimpedido ao local de execução, acompanhar e fiscalizar os serviços e efetuar os pagamentos devidos conforme medições regularmente aprovadas e condições contratuais.</w:t>
      </w:r>
    </w:p>
    <w:p w14:paraId="06C5B436" w14:textId="77777777" w:rsidR="005170D1" w:rsidRPr="00002DF3" w:rsidRDefault="005170D1" w:rsidP="00002DF3">
      <w:pPr>
        <w:spacing w:after="0" w:line="276" w:lineRule="auto"/>
        <w:jc w:val="both"/>
        <w:rPr>
          <w:rFonts w:ascii="Times New Roman" w:eastAsia="Arial Unicode MS" w:hAnsi="Times New Roman" w:cs="Times New Roman"/>
          <w:sz w:val="20"/>
        </w:rPr>
      </w:pPr>
    </w:p>
    <w:p w14:paraId="217F5DA4" w14:textId="77777777" w:rsidR="006E786C" w:rsidRPr="00002DF3" w:rsidRDefault="006E786C"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4</w:t>
      </w:r>
      <w:r w:rsidR="004720CF"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LEVANTAMENTO DO MERCADO:</w:t>
      </w:r>
    </w:p>
    <w:p w14:paraId="68DD38F0" w14:textId="1F019893"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4.1</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Para o atendimento da necessidade pública identificada neste Estudo Técnico Preliminar, foi realizado levantamento de mercado com a finalidade de verificar a existência de empresas aptas à execução de obras de engenharia compatíveis com o objeto pretendido, bem como de analisar, de forma técnica e fundamentada, a adequação ou não de alternativas usualmente consideradas em outros contextos, tais como aquisição ou locação de imóveis.</w:t>
      </w:r>
    </w:p>
    <w:p w14:paraId="2E063E9E" w14:textId="0C450EE3"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4.2</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No que se refere à execução da obra, constatou-se a existência, no mercado regional e nacional, de número significativo de empresas do ramo da construção civil, com atuação em obras habitacionais de pequeno e médio porte, dotadas de capacidade técnica, operacional e profissional compatível com a execução do objeto. Trata-se de mercado amplamente competitivo, com oferta suficiente de fornecedores, o que viabiliza a ampla concorrência e permite à Administração Pública a seleção da proposta mais vantajosa, em estrita observância aos princípios da isonomia, competitividade, economicidade, eficiência e transparência.</w:t>
      </w:r>
    </w:p>
    <w:p w14:paraId="61B32A1E" w14:textId="7B31B917"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4.3</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análise das alternativas de aquisição de unidades habitacionais prontas no mercado revelou-se inadequada ao atendimento da necessidade pública ora identificada. A política habitacional em análise não se destina à mera compra de imóveis existentes, mas à implantação planejada e definitiva de unidades habitacionais de interesse social, integradas ao ordenamento urbano municipal, às diretrizes do programa federal de financiamento e às exigências técnicas, construtivas e sociais estabelecidas pelos órgãos concedentes. Em regra, os imóveis disponíveis no mercado não atendem aos padrões exigidos quanto à padronização construtiva, localização, infraestrutura urbana e adequação às diretrizes do programa habitacional vigente.</w:t>
      </w:r>
    </w:p>
    <w:p w14:paraId="58F70B02" w14:textId="5451312E"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4.4</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De igual modo, a alternativa de locação de imóveis mostra-se incompatível com a natureza da necessidade pública identificada. A locação caracteriza despesa continuada, sem geração de ativo patrimonial ao Município, não assegura estabilidade habitacional às famílias beneficiárias e não se coaduna com o modelo de financiamento federal adotado, que pressupõe a construção, a incorporação ao patrimônio público e a posterior destinação definitiva das unidades habitacionais às famílias selecionadas, nos termos das regras do programa.</w:t>
      </w:r>
    </w:p>
    <w:p w14:paraId="54A6DD38" w14:textId="14E700F5"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4.5</w:t>
      </w:r>
      <w:r w:rsidR="00002DF3">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Ademais, tanto a aquisição quanto a locação de imóveis se revelam juridicamente inadequadas ao contexto da contratação, por não atenderem às diretrizes do programa federal de habitação, às condições pactuadas no instrumento de repasse/termo de compromisso firmado com a Caixa Econômica Federal, nem aos objetivos de política pública de enfrentamento estrutural do déficit habitacional local.</w:t>
      </w:r>
    </w:p>
    <w:p w14:paraId="237C8FA3" w14:textId="5D7E3E5C"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4.6</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Diante desse cenário, conclui-se que a única alternativa tecnicamente viável, juridicamente adequada e economicamente racional para o atendimento da necessidade pública identificada consiste na construção de unidades habitacionais de interesse social, mediante contratação de empresa especializada em obras de engenharia, conforme parâmetros técnicos e financeiros previamente definidos.</w:t>
      </w:r>
    </w:p>
    <w:p w14:paraId="00DF7B27" w14:textId="47956D18"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4.7</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Com a finalidade de assegurar adequada compreensão do objeto, previsibilidade da execução e isonomia entre os licitantes, o Setor de Engenharia do Município elaborou os documentos técnicos indispensáveis à contratação, incluindo projeto básico e executivo, memorial descritivo, planilha orçamentária, cronograma físico-financeiro, composição do BDI e plantas técnicas, os quais integram o presente processo administrativo.</w:t>
      </w:r>
    </w:p>
    <w:p w14:paraId="25238E19" w14:textId="3C62A123"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4.8</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Os valores estimados constantes da planilha orçamentária foram elaborados com base em composições e custos referenciais oficiais do SINAPI – Sistema Nacional de Pesquisa de Custos e Índices da Construção Civil, observadas as orientações dos órgãos de controle e as exigências dos programas federais de habitação, conferindo confiabilidade técnica à estimativa de custos e aderência aos parâmetros praticados no mercado.</w:t>
      </w:r>
    </w:p>
    <w:p w14:paraId="3E111D4E" w14:textId="76AC9B9F"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4.9</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Os documentos técnicos disponibilizados fornecem informações suficientes, claras e precisas para que as empresas interessadas possam dimensionar corretamente seus custos, compreender as etapas de execução da obra, avaliar os riscos envolvidos e formular propostas completas, consistentes e compatíveis com o objeto licitado.</w:t>
      </w:r>
    </w:p>
    <w:p w14:paraId="3BFAE41A" w14:textId="2E244323" w:rsidR="00AE4ECF" w:rsidRPr="00002DF3" w:rsidRDefault="00AE4ECF"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4.10</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Assim, o levantamento de mercado demonstra, de forma objetiva e fundamentada, que a construção das unidades habitacionais, por meio de contratação de empresa especializada em obras de engenharia, constitui a alternativa mais adequada e vantajosa para a Administração Pública, atendendo ao interesse público, às diretrizes </w:t>
      </w:r>
      <w:r w:rsidRPr="00002DF3">
        <w:rPr>
          <w:rFonts w:ascii="Times New Roman" w:eastAsia="Arial Unicode MS" w:hAnsi="Times New Roman" w:cs="Times New Roman"/>
          <w:sz w:val="20"/>
        </w:rPr>
        <w:lastRenderedPageBreak/>
        <w:t>da política habitacional, às exigências do programa federal de financiamento e aos princípios do planejamento, da economicidade e da eficiência, nos termos da Lei nº 14.133/2021.</w:t>
      </w:r>
    </w:p>
    <w:p w14:paraId="584E866B" w14:textId="77777777" w:rsidR="00AE4ECF" w:rsidRPr="00002DF3" w:rsidRDefault="00AE4ECF" w:rsidP="00002DF3">
      <w:pPr>
        <w:spacing w:after="0" w:line="276" w:lineRule="auto"/>
        <w:jc w:val="both"/>
        <w:rPr>
          <w:rFonts w:ascii="Times New Roman" w:eastAsia="Arial Unicode MS" w:hAnsi="Times New Roman" w:cs="Times New Roman"/>
          <w:sz w:val="20"/>
        </w:rPr>
      </w:pPr>
    </w:p>
    <w:p w14:paraId="33957B30" w14:textId="2E638BE7" w:rsidR="006E786C" w:rsidRPr="00002DF3" w:rsidRDefault="006E786C"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5</w:t>
      </w:r>
      <w:r w:rsidR="00E17DCF"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DESCRIÇÃO DA SOLUÇÃO COMO UM TODO:</w:t>
      </w:r>
    </w:p>
    <w:p w14:paraId="4CB13C02" w14:textId="1A51AD7F"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presente Estudo Técnico Preliminar tem por finalidade subsidiar a contratação de empresa especializada em obras e serviços de engenharia para a execução integral da construção de 20 (vinte) unidades habitacionais de interesse social, a serem implantadas no Município de Paverama, em área previamente regularizada, conforme projetos técnicos elaborados pelo Setor de Engenharia Municipal e aprovados no âmbito do convênio/termo de compromisso firmado com a Caixa Econômica Federal, na qualidade de agente operador do programa federal de habitação.</w:t>
      </w:r>
    </w:p>
    <w:p w14:paraId="3A48D096" w14:textId="38B3D543"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solução adotada consiste na execução direta da obra por meio de contrato administrativo de empreitada, contemplando todas as etapas necessárias à completa materialização do objeto, desde os serviços preliminares até a entrega final das unidades habitacionais em plenas condições de uso, observadas as diretrizes técnicas, os padrões construtivos, os critérios de medição, os marcos físicos e financeiros e as demais exigências estabelecidas pelo programa federal e pelo instrumento de repasse.</w:t>
      </w:r>
    </w:p>
    <w:p w14:paraId="67F4BBA3" w14:textId="0DFA5884"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execução da obra compreenderá, inicialmente, os serviços preliminares indispensáveis à adequada implantação do empreendimento, incluindo a locação da obra, instalação do canteiro, mobilização de equipamentos, montagem de estruturas provisórias, containers de apoio, placa da obra conforme padrão institucional do programa, bem como todas as providências necessárias ao início seguro, organizado e regular dos serviços, em conformidade com as normas de segurança do trabalho e de gestão do canteiro.</w:t>
      </w:r>
    </w:p>
    <w:p w14:paraId="571C51EC" w14:textId="3A998CD1"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Na sequência, serão executados os serviços de fundação, com destaque para a execução de radier em concreto armado, precedida das etapas de escavação, preparo e compactação do solo, execução de lastro, armação, concretagem e impermeabilização, assegurando a estabilidade estrutural, a durabilidade das edificações e o desempenho técnico exigido para unidades habitacionais de interesse social, conforme os projetos estruturais aprovados e as composições técnicas constantes no orçamento base do convênio.</w:t>
      </w:r>
    </w:p>
    <w:p w14:paraId="62630FD8" w14:textId="5BF2D6D4"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5.5</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Concluídas as fundações, a obra avançará para a execução da superestrutura, compreendendo pilares, vigas e demais elementos estruturais em concreto armado, bem como a execução das alvenarias de vedação, vergas e </w:t>
      </w:r>
      <w:proofErr w:type="spellStart"/>
      <w:r w:rsidRPr="00002DF3">
        <w:rPr>
          <w:rFonts w:ascii="Times New Roman" w:eastAsia="Arial Unicode MS" w:hAnsi="Times New Roman" w:cs="Times New Roman"/>
          <w:sz w:val="20"/>
        </w:rPr>
        <w:t>contravergas</w:t>
      </w:r>
      <w:proofErr w:type="spellEnd"/>
      <w:r w:rsidRPr="00002DF3">
        <w:rPr>
          <w:rFonts w:ascii="Times New Roman" w:eastAsia="Arial Unicode MS" w:hAnsi="Times New Roman" w:cs="Times New Roman"/>
          <w:sz w:val="20"/>
        </w:rPr>
        <w:t>, assegurando a correta compartimentação dos ambientes, a funcionalidade das unidades e a estrita conformidade com o projeto arquitetônico aprovado no âmbito do programa federal.</w:t>
      </w:r>
    </w:p>
    <w:p w14:paraId="47C6184C" w14:textId="4216BA56"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5.6</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Na etapa subsequente, será implantado o sistema de cobertura, compreendendo a execução da estrutura em madeira devidamente tratada, a proteção dos elementos estruturais e a instalação de telhas cerâmicas, cumeeiras e demais componentes, garantindo estanqueidade, conforto térmico e proteção contra intempéries, em consonância com os padrões mínimos de habitabilidade exigidos pelo convênio.</w:t>
      </w:r>
    </w:p>
    <w:p w14:paraId="0D9455F4" w14:textId="36EF46CF"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5.7</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De forma integrada ao avanço físico da obra, serão executadas as instalações prediais, abrangendo, no mínimo:</w:t>
      </w:r>
    </w:p>
    <w:p w14:paraId="0EB22D83" w14:textId="77777777"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a) instalações elétricas, com execução de eletrodutos, cabeamento, quadros de distribuição, dispositivos de proteção, pontos de iluminação, tomadas e interruptores;</w:t>
      </w:r>
    </w:p>
    <w:p w14:paraId="6488B315" w14:textId="77777777"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 xml:space="preserve">b) instalações </w:t>
      </w:r>
      <w:proofErr w:type="spellStart"/>
      <w:r w:rsidRPr="00002DF3">
        <w:rPr>
          <w:rFonts w:ascii="Times New Roman" w:eastAsia="Arial Unicode MS" w:hAnsi="Times New Roman" w:cs="Times New Roman"/>
          <w:sz w:val="20"/>
        </w:rPr>
        <w:t>hidrossanitárias</w:t>
      </w:r>
      <w:proofErr w:type="spellEnd"/>
      <w:r w:rsidRPr="00002DF3">
        <w:rPr>
          <w:rFonts w:ascii="Times New Roman" w:eastAsia="Arial Unicode MS" w:hAnsi="Times New Roman" w:cs="Times New Roman"/>
          <w:sz w:val="20"/>
        </w:rPr>
        <w:t>, compreendendo redes de água fria, esgoto sanitário, caixas, registros, louças, metais e reservatórios; e</w:t>
      </w:r>
    </w:p>
    <w:p w14:paraId="6B4B2B2E" w14:textId="77777777"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c) demais sistemas necessários ao pleno funcionamento das unidades habitacionais, em estrita observância às normas da ABNT, às exigências sanitárias e às diretrizes técnicas do programa habitacional federal.</w:t>
      </w:r>
    </w:p>
    <w:p w14:paraId="35D1E785" w14:textId="0028845C"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5.8</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Após a conclusão das instalações embutidas, serão realizados os serviços de acabamento, incluindo revestimentos internos e externos, pisos, forros, esquadrias, pintura, pavimentações, rodapés, soleiras e peitoris, bem como a instalação de todos os elementos finais, assegurando funcionalidade, durabilidade, salubridade e padrão construtivo compatível com edificações habitacionais de interesse social.</w:t>
      </w:r>
    </w:p>
    <w:p w14:paraId="630B1979" w14:textId="67BEF61F"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5.9</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Todas as etapas da obra deverão ser executadas em estrita conformidade com o Memorial Descritivo, os projetos técnicos aprovados, o cronograma físico-financeiro pactuado e as normas técnicas vigentes, observando-se as boas práticas da engenharia civil, os critérios de sustentabilidade ambiental e as exigências de segurança do trabalho.</w:t>
      </w:r>
    </w:p>
    <w:p w14:paraId="2D77F5A6" w14:textId="08568C22"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5.10</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Será obrigatória a prestação de garantia contratual, nos termos do art. 96 da Lei nº 14.133/2021, a ser exigida da empresa contratada como instrumento de mitigação de riscos, assegurando o fiel cumprimento das obrigações assumidas, a adequada execução da obra e a correção de eventuais vícios construtivos, em consonância com as exigências de controle e salvaguarda do interesse público previstas no convênio federal.</w:t>
      </w:r>
    </w:p>
    <w:p w14:paraId="1F36EED5" w14:textId="78F5CE9E"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lastRenderedPageBreak/>
        <w:t>5.11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contratada deverá assegurar a manutenção e a assistência técnica da obra durante o prazo legal e contratual de garantia, responsabilizando-se integralmente pela correção de defeitos, falhas ou patologias construtivas que venham a ser constatadas após o recebimento provisório ou definitivo, sem qualquer ônus adicional para a Administração Pública.</w:t>
      </w:r>
    </w:p>
    <w:p w14:paraId="3D1816F0" w14:textId="0BB28E49"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5.12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execução da obra será acompanhada conforme o cronograma físico-financeiro aprovado, com medições periódicas, registros formais e controle técnico sistemático, permitindo a verificação da evolução física, da qualidade dos serviços executados e da correta aplicação dos recursos federais e municipais vinculados ao empreendimento.</w:t>
      </w:r>
    </w:p>
    <w:p w14:paraId="61D2356D" w14:textId="67BDEBEC" w:rsidR="00E71A16"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5.13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Ao final da execução, será realizada a limpeza geral da obra, a verificação do atendimento integral às especificações técnicas e o recebimento do objeto pela Administração, assegurando que as unidades habitacionais estejam plenamente concluídas, funcionais e aptas à destinação social prevista no convênio e nas políticas públicas habitacionais do Município.</w:t>
      </w:r>
    </w:p>
    <w:p w14:paraId="0614EF70" w14:textId="24282EAC" w:rsidR="00DA452F" w:rsidRPr="00002DF3" w:rsidRDefault="00E71A16"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5.14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Dessa forma, a solução descrita contempla, de maneira integrada, planejada e tecnicamente adequada, todas as fases necessárias à construção das unidades habitacionais de interesse social, atendendo ao interesse público, às diretrizes do programa federal de habitação, às condições pactuadas com a Caixa Econômica Federal e aos princípios do planejamento, da eficiência, da economicidade e da adequada aplicação dos recursos públicos.</w:t>
      </w:r>
    </w:p>
    <w:p w14:paraId="043194B0" w14:textId="77777777" w:rsidR="00E71A16" w:rsidRPr="005D6994" w:rsidRDefault="00E71A16" w:rsidP="00002DF3">
      <w:pPr>
        <w:spacing w:after="0" w:line="276" w:lineRule="auto"/>
        <w:jc w:val="both"/>
        <w:rPr>
          <w:rFonts w:ascii="Times New Roman" w:eastAsia="Arial Unicode MS" w:hAnsi="Times New Roman" w:cs="Times New Roman"/>
          <w:sz w:val="20"/>
        </w:rPr>
      </w:pPr>
    </w:p>
    <w:p w14:paraId="421CA474" w14:textId="77777777"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 ESTIMATIVA DAS QUANTIDADES A SEREM CONTRATADAS</w:t>
      </w:r>
    </w:p>
    <w:p w14:paraId="5DF62588" w14:textId="0DAF4186"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6.1</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As quantidades estimadas para a execução da construção de 20 (vinte) unidades habitacionais de interesse social, no Município de Paverama, foram definidas a partir de levantamento técnico detalhado elaborado pelo Setor de Engenharia Municipal, com base nos elementos constantes do Projeto Básico e Executivo, do Memorial Descritivo, da Planilha Orçamentária, da Memória de Cálculo e do Cronograma Físico-Financeiro, documentos integrantes e indissociáveis do convênio/termo de compromisso firmado com a Caixa Econômica Federal, os quais orientam a execução física e o acompanhamento financeiro do empreendimento.</w:t>
      </w:r>
    </w:p>
    <w:p w14:paraId="0227FFEA" w14:textId="77789C36"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6.2</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O empreendimento adota como referência o padrão construtivo estabelecido pelo programa federal de habitação, correspondente a unidade habitacional unifamiliar térrea, acessível, com dois dormitórios, apresentando área útil individual aproximada de 47,46 m², conforme projeto arquitetônico aprovado. Considerando a totalidade das unidades, obtém-se uma área útil estimada de aproximadamente 949,20 m², sem prejuízo das áreas técnicas e construtivas adicionais inerentes à execução das fundações, da estrutura, da cobertura e dos demais sistemas previstos no Memorial Descritivo.</w:t>
      </w:r>
    </w:p>
    <w:p w14:paraId="098710E4" w14:textId="51A50F72"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6.3</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O levantamento quantitativo considerou, além das áreas úteis das unidades habitacionais, as áreas necessárias à implantação e execução dos sistemas estruturais e complementares, cujas metragens são superiores às áreas habitáveis em razão de exigências técnicas próprias da obra, tais como execução de radier, elementos estruturais, beirais, coberturas, impermeabilizações e instalações prediais, conforme detalhamento técnico constante da Planilha Orçamentária e da Memória de Cálculo aprovadas no âmbito do convênio.</w:t>
      </w:r>
    </w:p>
    <w:p w14:paraId="14AC1875" w14:textId="1155242C"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6.4</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As quantidades estimadas abrangem, de forma consolidada e integrada, todos os serviços e insumos necessários à execução completa do objeto, incluindo serviços preliminares, movimentação de terra, fundações, estrutura em concreto armado, alvenaria de vedação, sistema de cobertura, revestimentos, pisos, forros, pinturas, esquadrias, instalações elétricas e </w:t>
      </w:r>
      <w:proofErr w:type="spellStart"/>
      <w:r w:rsidRPr="005D6994">
        <w:rPr>
          <w:rFonts w:ascii="Times New Roman" w:eastAsia="Arial Unicode MS" w:hAnsi="Times New Roman" w:cs="Times New Roman"/>
          <w:sz w:val="20"/>
        </w:rPr>
        <w:t>hidrossanitárias</w:t>
      </w:r>
      <w:proofErr w:type="spellEnd"/>
      <w:r w:rsidRPr="005D6994">
        <w:rPr>
          <w:rFonts w:ascii="Times New Roman" w:eastAsia="Arial Unicode MS" w:hAnsi="Times New Roman" w:cs="Times New Roman"/>
          <w:sz w:val="20"/>
        </w:rPr>
        <w:t>, bem como serviços complementares e acabamentos finais, em conformidade com o padrão mínimo de habitabilidade exigido pelo programa federal.</w:t>
      </w:r>
    </w:p>
    <w:p w14:paraId="217F049A" w14:textId="2298D911"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6.5</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Todas as quantidades relativas a materiais, mão de obra, equipamentos e insumos encontram-se discriminadas de forma pormenorizada na Planilha Orçamentária, elaborada com base nas composições oficiais do SINAPI – Sistema Nacional de Pesquisa de Custos e Índices da Construção Civil, adotando metodologia reconhecida pelos órgãos de controle e exigida pela Caixa Econômica Federal, assegurando confiabilidade técnica, uniformidade de critérios e aderência aos parâmetros de mercado.</w:t>
      </w:r>
    </w:p>
    <w:p w14:paraId="56AD6063" w14:textId="1DE7A955"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6.6</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O prazo físico estimado para a execução da obra foi definido com base no Cronograma Físico-Financeiro aprovado, o qual estrutura a execução em etapas compatíveis com a mobilização do canteiro, a sequência lógica dos serviços e os marcos de medição exigidos pelo convênio, não se confundindo com o prazo de vigência contratual, que deverá contemplar, adicionalmente, as fases de medição final, recebimento provisório, recebimento definitivo e encerramento administrativo do contrato.</w:t>
      </w:r>
    </w:p>
    <w:p w14:paraId="3EC45D0B" w14:textId="54C328AB" w:rsidR="00E71A16"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6.7</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As quantidades estimadas constituem referência técnica para a formulação das propostas e para o acompanhamento da execução contratual, sendo a medição e o pagamento vinculados exclusivamente aos </w:t>
      </w:r>
      <w:r w:rsidRPr="005D6994">
        <w:rPr>
          <w:rFonts w:ascii="Times New Roman" w:eastAsia="Arial Unicode MS" w:hAnsi="Times New Roman" w:cs="Times New Roman"/>
          <w:sz w:val="20"/>
        </w:rPr>
        <w:lastRenderedPageBreak/>
        <w:t>quantitativos efetivamente executados e devidamente aferidos pela fiscalização técnica, observadas as regras de medição e desembolso previstas no instrumento de repasse, vedadas alterações de escopo ou acréscimos quantitativos sem a correspondente formalização técnica, jurídica e autorização do agente financeiro.</w:t>
      </w:r>
    </w:p>
    <w:p w14:paraId="5ECFBAD8" w14:textId="28B022DC" w:rsidR="00995344" w:rsidRPr="005D6994" w:rsidRDefault="00E71A16" w:rsidP="00002DF3">
      <w:pPr>
        <w:spacing w:after="0" w:line="276" w:lineRule="auto"/>
        <w:jc w:val="both"/>
        <w:rPr>
          <w:rFonts w:ascii="Times New Roman" w:eastAsia="Arial Unicode MS" w:hAnsi="Times New Roman" w:cs="Times New Roman"/>
          <w:sz w:val="20"/>
        </w:rPr>
      </w:pPr>
      <w:r w:rsidRPr="005D6994">
        <w:rPr>
          <w:rFonts w:ascii="Times New Roman" w:eastAsia="Arial Unicode MS" w:hAnsi="Times New Roman" w:cs="Times New Roman"/>
          <w:sz w:val="20"/>
        </w:rPr>
        <w:t>6.8</w:t>
      </w:r>
      <w:r w:rsidR="005D6994" w:rsidRPr="005D6994">
        <w:rPr>
          <w:rFonts w:ascii="Times New Roman" w:eastAsia="Arial Unicode MS" w:hAnsi="Times New Roman" w:cs="Times New Roman"/>
          <w:sz w:val="20"/>
        </w:rPr>
        <w:t>.</w:t>
      </w:r>
      <w:r w:rsidRPr="005D6994">
        <w:rPr>
          <w:rFonts w:ascii="Times New Roman" w:eastAsia="Arial Unicode MS" w:hAnsi="Times New Roman" w:cs="Times New Roman"/>
          <w:sz w:val="20"/>
        </w:rPr>
        <w:t xml:space="preserve"> As informações relativas às quantidades estimadas, aos critérios de composição, às áreas consideradas e aos valores correspondentes permanecem integralmente acessíveis aos órgãos de controle interno e externo, à Caixa Econômica Federal e à sociedade, em observância aos princípios da publicidade, da transparência e do controle social, possibilitando o acompanhamento contínuo da execução e da correta aplicação dos recursos públicos vinculados ao empreendimento.</w:t>
      </w:r>
    </w:p>
    <w:p w14:paraId="70047009" w14:textId="77777777" w:rsidR="00E71A16" w:rsidRPr="00002DF3" w:rsidRDefault="00E71A16" w:rsidP="00002DF3">
      <w:pPr>
        <w:spacing w:after="0" w:line="276" w:lineRule="auto"/>
        <w:jc w:val="both"/>
        <w:rPr>
          <w:rFonts w:ascii="Times New Roman" w:eastAsia="Arial Unicode MS" w:hAnsi="Times New Roman" w:cs="Times New Roman"/>
          <w:sz w:val="20"/>
        </w:rPr>
      </w:pPr>
    </w:p>
    <w:p w14:paraId="249EF0CA" w14:textId="77777777" w:rsidR="006E786C" w:rsidRPr="00002DF3" w:rsidRDefault="006E786C"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b/>
          <w:sz w:val="20"/>
        </w:rPr>
        <w:t>7</w:t>
      </w:r>
      <w:r w:rsidR="00C04DEF"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ESTIMATIVA DO VALOR DA CONTRATAÇÃO</w:t>
      </w:r>
      <w:r w:rsidRPr="00002DF3">
        <w:rPr>
          <w:rFonts w:ascii="Times New Roman" w:eastAsia="Arial Unicode MS" w:hAnsi="Times New Roman" w:cs="Times New Roman"/>
          <w:sz w:val="20"/>
        </w:rPr>
        <w:t>:</w:t>
      </w:r>
    </w:p>
    <w:p w14:paraId="4F7807C9" w14:textId="65794BC7"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7.1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estimativa do valor da contratação foi elaborada com base na Planilha Orçamentária de Referência (PO) e na respectiva Memória de Cálculo, desenvolvidas a partir dos quantitativos e dos serviços definidos nos projetos técnicos, memoriais descritivos e demais peças que integram o presente processo administrativo, observando-se os custos unitários de referência do SINAPI, acrescidos do BDI de 20,38%, conforme indicado na planilha anexa.</w:t>
      </w:r>
    </w:p>
    <w:p w14:paraId="16447D9F" w14:textId="795D0F8B"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7.2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metodologia adotada para a composição do orçamento observa as diretrizes técnicas e os entendimentos consolidados dos órgãos de controle externo, notadamente do Tribunal de Contas da União (TCU), do Tribunal de Contas do Estado do Rio Grande do Sul (TCE-RS) e da Caixa Econômica Federal, assegurando transparência, rastreabilidade dos custos, compatibilidade com as boas práticas de engenharia e conformidade com a Lei nº 14.133/2021.</w:t>
      </w:r>
    </w:p>
    <w:p w14:paraId="356DE390" w14:textId="06903621"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7.3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valor total estimado da contratação, conforme apurado na Planilha Orçamentária Oficial – PO, é de R$ 2.777.252,57 (dois milhões, setecentos e setenta e sete mil, duzentos e cinquenta e dois reais e cinquenta e sete centavos), correspondente à execução integral da obra de construção de 20 (vinte) unidades habitacionais, englobando todos os serviços, materiais, equipamentos, mão de obra, encargos sociais, tributos, custos diretos, despesas indiretas e demais insumos necessários à perfeita execução do objeto.</w:t>
      </w:r>
    </w:p>
    <w:p w14:paraId="01069A87" w14:textId="4A96643C"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7.4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Planilha Orçamentária e a Memória de Cálculo integram o presente Estudo Técnico Preliminar, constituindo a base para a definição do valor estimado da contratação, possibilitando a verificação individualizada dos quantitativos, das composições de preços unitários, das fontes de referência utilizadas e da metodologia adotada, em observância aos princípios da publicidade, planejamento, eficiência, economicidade e transparência, não havendo necessidade de atribuição de sigilo aos valores.</w:t>
      </w:r>
    </w:p>
    <w:p w14:paraId="25CEFEDD" w14:textId="022A4A2D" w:rsidR="00B81197"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7.5</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Ressalta-se que o valor estimado possui caráter meramente referencial, destinando-se exclusivamente à orientação do procedimento licitatório, sendo que o valor efetivamente contratado será aquele resultante do certame, observado o critério de julgamento de menor preço global, desde que atendidos integralmente todos os requisitos técnicos, legais, econômicos e de habilitação previstos no edital.</w:t>
      </w:r>
    </w:p>
    <w:p w14:paraId="31AD4210" w14:textId="77777777" w:rsidR="00C62440" w:rsidRPr="00002DF3" w:rsidRDefault="00C62440" w:rsidP="00002DF3">
      <w:pPr>
        <w:spacing w:after="0" w:line="276" w:lineRule="auto"/>
        <w:jc w:val="both"/>
        <w:rPr>
          <w:rFonts w:ascii="Times New Roman" w:eastAsia="Arial Unicode MS" w:hAnsi="Times New Roman" w:cs="Times New Roman"/>
          <w:sz w:val="20"/>
          <w:highlight w:val="yellow"/>
        </w:rPr>
      </w:pPr>
    </w:p>
    <w:p w14:paraId="0AA42370" w14:textId="77777777" w:rsidR="006E786C" w:rsidRPr="00002DF3" w:rsidRDefault="006E786C"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b/>
          <w:sz w:val="20"/>
        </w:rPr>
        <w:t>8</w:t>
      </w:r>
      <w:r w:rsidR="0014751F"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JUSTIFICATIVA PARA O PARCELAMENTO OU NÃO DA SOLUÇÃO</w:t>
      </w:r>
      <w:r w:rsidRPr="00002DF3">
        <w:rPr>
          <w:rFonts w:ascii="Times New Roman" w:eastAsia="Arial Unicode MS" w:hAnsi="Times New Roman" w:cs="Times New Roman"/>
          <w:sz w:val="20"/>
        </w:rPr>
        <w:t>:</w:t>
      </w:r>
    </w:p>
    <w:p w14:paraId="62E635AD" w14:textId="2B6C4B6F"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8.1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art. 47, inciso II, da Lei nº 14.133/2021 estabelece que a Administração Pública deve avaliar a possibilidade de parcelamento do objeto da contratação sempre que essa medida se revelar técnica e economicamente viável, considerando, entre outros fatores, o estímulo à competitividade, a obtenção de economia de escala, a eficiência administrativa e a adequada gestão contratual. Trata-se de diretriz orientadora, cuja aplicação deve ser analisada de forma casuística, à luz das características específicas do objeto, das condições de execução e do interesse público envolvido.</w:t>
      </w:r>
    </w:p>
    <w:p w14:paraId="6136D476" w14:textId="7496A5CF"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8.2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No caso da contratação destinada à construção de 20 (vinte) unidades habitacionais de interesse social, a análise técnica realizada no âmbito deste Estudo Técnico Preliminar demonstra que o parcelamento do objeto não se mostra recomendável, sob os aspectos técnico, operacional, econômico e jurídico.</w:t>
      </w:r>
    </w:p>
    <w:p w14:paraId="79449ECF" w14:textId="5263E7CA"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8.2.1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objeto caracteriza-se como obra de engenharia de execução integrada, composta por um conjunto único e contínuo de serviços interdependentes, abrangendo fundações, estrutura, alvenarias, sistema de cobertura, instalações prediais e acabamentos. Tais etapas exigem planejamento unificado, coordenação técnica permanente e execução sequencial harmônica, sendo inadequada a sua fragmentação em contratos distintos, sob pena de comprometer a coerência construtiva, a qualidade final das unidades habitacionais e a regularidade da execução.</w:t>
      </w:r>
    </w:p>
    <w:p w14:paraId="4380CA33" w14:textId="5DC0184F"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8.3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eventual fragmentação da contratação implicaria, ainda, perda de economia de escala na aquisição de materiais, na mobilização e desmobilização do canteiro de obras e da mão de obra, além de potencial elevação dos custos indiretos do empreendimento. Ademais, aumentaria de forma significativa a complexidade da fiscalização </w:t>
      </w:r>
      <w:r w:rsidRPr="00002DF3">
        <w:rPr>
          <w:rFonts w:ascii="Times New Roman" w:eastAsia="Arial Unicode MS" w:hAnsi="Times New Roman" w:cs="Times New Roman"/>
          <w:sz w:val="20"/>
        </w:rPr>
        <w:lastRenderedPageBreak/>
        <w:t>e da gestão contratual, ampliando o risco de incompatibilidades técnicas entre serviços executados por diferentes empresas, especialmente nos pontos de interface entre fundações, estrutura, instalações e acabamentos, bem como dificultaria a atribuição objetiva de responsabilidades técnicas por eventuais vícios construtivos, falhas de execução ou atrasos.</w:t>
      </w:r>
    </w:p>
    <w:p w14:paraId="455680C8" w14:textId="2D716611"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8.4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Soma-se a isso o fato de que a obra integra programa habitacional financiado com recursos federais, cujos projetos, padrões construtivos, cronograma físico-financeiro e regras de acompanhamento exigem uniformidade técnica, controle integrado da execução e responsabilidade única pela entrega do objeto, circunstâncias que se mostram incompatíveis com a divisão da execução entre múltiplos contratos.</w:t>
      </w:r>
    </w:p>
    <w:p w14:paraId="499B2619" w14:textId="72656C12" w:rsidR="00254015"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8.5</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Diante desse contexto, a execução integral da obra por uma única empresa especializada revela-se a solução mais adequada ao interesse público, por assegurar maior eficiência na condução dos serviços, padronização técnica das unidades habitacionais, melhor controle dos prazos, da qualidade da obra e da aplicação dos recursos públicos, bem como responsabilização contratual clara e objetiva. Tal opção encontra respaldo nos princípios da economicidade, do planejamento, da eficiência, da segurança jurídica e da boa governança, configurando-se, portanto, como a alternativa mais vantajosa para a Administração Pública.</w:t>
      </w:r>
    </w:p>
    <w:p w14:paraId="56A14315" w14:textId="77777777" w:rsidR="00C62440" w:rsidRPr="00002DF3" w:rsidRDefault="00C62440" w:rsidP="00002DF3">
      <w:pPr>
        <w:spacing w:after="0" w:line="276" w:lineRule="auto"/>
        <w:jc w:val="both"/>
        <w:rPr>
          <w:rFonts w:ascii="Times New Roman" w:eastAsia="Arial Unicode MS" w:hAnsi="Times New Roman" w:cs="Times New Roman"/>
          <w:sz w:val="20"/>
        </w:rPr>
      </w:pPr>
    </w:p>
    <w:p w14:paraId="1D88FE30" w14:textId="77777777" w:rsidR="006E786C" w:rsidRPr="00002DF3" w:rsidRDefault="006E786C"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b/>
          <w:sz w:val="20"/>
        </w:rPr>
        <w:t>9</w:t>
      </w:r>
      <w:r w:rsidR="0014751F"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CONTRATAÇÕES CORRELATAS E/OU INTERDEPENDENTES</w:t>
      </w:r>
      <w:r w:rsidR="00C97D9E" w:rsidRPr="00002DF3">
        <w:rPr>
          <w:rFonts w:ascii="Times New Roman" w:eastAsia="Arial Unicode MS" w:hAnsi="Times New Roman" w:cs="Times New Roman"/>
          <w:sz w:val="20"/>
        </w:rPr>
        <w:t>:</w:t>
      </w:r>
    </w:p>
    <w:p w14:paraId="56E87742" w14:textId="37EFDCD6"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Em conformidade com o disposto no art. 18, §1º, inciso XI, da Lei nº 14.133/2021, procedeu-se à análise das contratações correlatas e/ou interdependentes ao objeto deste Estudo Técnico Preliminar, com a finalidade de identificar eventuais sobreposições, lacunas ou conflitos, bem como de assegurar a integração entre políticas públicas e soluções administrativas complementares, indispensáveis à efetividade da política habitacional municipal.</w:t>
      </w:r>
    </w:p>
    <w:p w14:paraId="773F22B5" w14:textId="07F7BF9C"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implantação das novas unidades habitacionais ocorre em área contígua ou próxima a </w:t>
      </w:r>
      <w:proofErr w:type="spellStart"/>
      <w:r w:rsidRPr="00002DF3">
        <w:rPr>
          <w:rFonts w:ascii="Times New Roman" w:eastAsia="Arial Unicode MS" w:hAnsi="Times New Roman" w:cs="Times New Roman"/>
          <w:sz w:val="20"/>
        </w:rPr>
        <w:t>empreendimentos</w:t>
      </w:r>
      <w:proofErr w:type="spellEnd"/>
      <w:r w:rsidRPr="00002DF3">
        <w:rPr>
          <w:rFonts w:ascii="Times New Roman" w:eastAsia="Arial Unicode MS" w:hAnsi="Times New Roman" w:cs="Times New Roman"/>
          <w:sz w:val="20"/>
        </w:rPr>
        <w:t xml:space="preserve"> habitacionais anteriormente executados, especialmente no entorno do Loteamento Morada Bonita, circunstância que impõe abordagem integrada do planejamento urbano, contemplando infraestrutura, serviços públicos essenciais, mobilidade, segurança e sustentabilidade, sob pena de comprometimento da funcionalidade do empreendimento e da qualidade de vida da população beneficiária.</w:t>
      </w:r>
    </w:p>
    <w:p w14:paraId="077224AF" w14:textId="467E6A2F"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No tocante à infraestrutura de drenagem pluvial, registra-se que o Loteamento Morada Bonita apresentou, no ano de 2021, episódios relevantes de alagamento e insuficiência de escoamento, amplamente documentados nos registros institucionais do Município. Embora o empreendimento original tenha sido executado com recursos federais, os impactos decorrentes dessas deficiências recaíram diretamente sobre o Município e sobre os moradores, evidenciando a necessidade de contratações correlatas específicas voltadas ao reforço, ampliação ou adequação do sistema de drenagem, sem que tais intervenções se confundam com o objeto da presente contratação.</w:t>
      </w:r>
    </w:p>
    <w:p w14:paraId="38D53E6C" w14:textId="7ABC74D9"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Identificam-se, ainda, contratações correlatas relativas à pavimentação e qualificação das vias públicas adjacentes, incluindo a Rua Adroaldo Bilhar de Azevedo, bem como à construção de estrutura de travessia (ponte) sobre o curso d’água existente na região, destinadas a assegurar acessibilidade adequada, integração viária com o Loteamento Morada Bonita e circulação segura de pedestres e veículos.</w:t>
      </w:r>
    </w:p>
    <w:p w14:paraId="115F9D85" w14:textId="2ADB98A0"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9.5</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No âmbito da infraestrutura urbana complementar, destacam-se ações e contratações voltadas à ampliação e modernização do sistema de iluminação pública, como medida de reforço à segurança, prevenção de acidentes e qualificação do espaço urbano, especialmente em áreas de expansão habitacional. A melhoria da iluminação pública possui impacto direto na segurança, na mobilidade noturna e na preservação do patrimônio público.</w:t>
      </w:r>
    </w:p>
    <w:p w14:paraId="2EE67CE4" w14:textId="457B0C44"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9.6</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Verifica-se, igualmente, a necessidade de expansão e reorganização das rotas de coleta de resíduos sólidos, em razão do incremento populacional esperado com a ocupação das novas unidades habitacionais. Tal ampliação demanda planejamento integrado entre as políticas de habitação e de saneamento, a fim de garantir regularidade na prestação do serviço, salubridade ambiental e adequado manejo dos resíduos urbanos.</w:t>
      </w:r>
    </w:p>
    <w:p w14:paraId="7259CFB3" w14:textId="1C9253E3"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9.7</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Sob a perspectiva dos serviços públicos essenciais, foram identificadas contratações e planejamentos voltados à melhoria da capacidade de atendimento da Unidade Estratégica de Saúde da Família do Bairro, bem como à qualificação e ampliação das ações do Centro de Referência de Assistência Social – CRAS, considerando o aumento potencial da demanda por serviços de saúde básica e assistência social decorrente da ampliação do núcleo habitacional.</w:t>
      </w:r>
    </w:p>
    <w:p w14:paraId="69EAEF1B" w14:textId="34A8F45F"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9.8</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No campo da mobilidade urbana e do acesso à educação, observa-se a necessidade de expansão e readequação das rotas de transporte escolar, visando absorver a demanda proveniente das famílias que passarão a residir nas </w:t>
      </w:r>
      <w:r w:rsidRPr="00002DF3">
        <w:rPr>
          <w:rFonts w:ascii="Times New Roman" w:eastAsia="Arial Unicode MS" w:hAnsi="Times New Roman" w:cs="Times New Roman"/>
          <w:sz w:val="20"/>
        </w:rPr>
        <w:lastRenderedPageBreak/>
        <w:t>novas unidades habitacionais, assegurando o acesso regular à educação infantil e ao ensino fundamental, em consonância com o planejamento educacional municipal.</w:t>
      </w:r>
    </w:p>
    <w:p w14:paraId="628DE32D" w14:textId="50B3B03C"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9.9</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Identificam-se, ainda, iniciativas e contratações voltadas à implantação e ampliação de sistemas de videomonitoramento, como estratégia de segurança preventiva, bem como ações de requalificação urbana e sustentabilidade, incluindo a implantação e manutenção de áreas verdes, espaços de convivência e intervenções paisagísticas no entorno das unidades habitacionais.</w:t>
      </w:r>
    </w:p>
    <w:p w14:paraId="5D27436A" w14:textId="187CD1D4" w:rsidR="00C6244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9.10</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análise das contratações correlatas evidencia que a presente contratação não se sobrepõe às demais iniciativas identificadas, tampouco as substitui, inserindo-se em um conjunto articulado de políticas públicas estruturantes, cuja efetividade depende da coordenação administrativa, da compatibilização técnica entre projetos e da integração dos respectivos cronogramas de execução.</w:t>
      </w:r>
    </w:p>
    <w:p w14:paraId="5177D97F" w14:textId="078A784D" w:rsidR="00DE3CB0" w:rsidRPr="00002DF3" w:rsidRDefault="00C6244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9.11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Conclui-se, portanto, que a contratação destinada à construção das unidades habitacionais encontra-se adequadamente inserida no planejamento municipal, mantendo relação de complementariedade e interdependência funcional com as contratações correlatas analisadas, as quais visam assegurar infraestrutura adequada, segurança, acessibilidade, sustentabilidade ambiental e atendimento qualificado dos serviços públicos essenciais à população beneficiária.</w:t>
      </w:r>
    </w:p>
    <w:p w14:paraId="2D5D582D" w14:textId="77777777" w:rsidR="00C62440" w:rsidRPr="00002DF3" w:rsidRDefault="00C62440" w:rsidP="00002DF3">
      <w:pPr>
        <w:spacing w:after="0" w:line="276" w:lineRule="auto"/>
        <w:jc w:val="both"/>
        <w:rPr>
          <w:rFonts w:ascii="Times New Roman" w:eastAsia="Arial Unicode MS" w:hAnsi="Times New Roman" w:cs="Times New Roman"/>
          <w:b/>
          <w:sz w:val="20"/>
        </w:rPr>
      </w:pPr>
    </w:p>
    <w:p w14:paraId="4B198DB8" w14:textId="77777777" w:rsidR="006E786C" w:rsidRPr="00002DF3" w:rsidRDefault="006E786C"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b/>
          <w:sz w:val="20"/>
        </w:rPr>
        <w:t>10</w:t>
      </w:r>
      <w:r w:rsidR="0059033B"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ALINHAMENTO ENTRE A CONTRATAÇÃO E O PLANEJAMENTO</w:t>
      </w:r>
      <w:r w:rsidRPr="00002DF3">
        <w:rPr>
          <w:rFonts w:ascii="Times New Roman" w:eastAsia="Arial Unicode MS" w:hAnsi="Times New Roman" w:cs="Times New Roman"/>
          <w:sz w:val="20"/>
        </w:rPr>
        <w:t>:</w:t>
      </w:r>
    </w:p>
    <w:p w14:paraId="6ECEF6B6" w14:textId="3C78155C" w:rsidR="00DE3CB0" w:rsidRPr="00002DF3" w:rsidRDefault="00DE3CB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10.1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presente contratação encontra-se regularmente prevista no Plano de Contratações Anual – PCA 2026 do Município de Paverama, evidenciando que a demanda foi identificada, planejada e incorporada de forma prévia e estruturada ao ciclo de planejamento administrativo, em consonância com o disposto nos </w:t>
      </w:r>
      <w:proofErr w:type="spellStart"/>
      <w:r w:rsidRPr="00002DF3">
        <w:rPr>
          <w:rFonts w:ascii="Times New Roman" w:eastAsia="Arial Unicode MS" w:hAnsi="Times New Roman" w:cs="Times New Roman"/>
          <w:sz w:val="20"/>
        </w:rPr>
        <w:t>arts</w:t>
      </w:r>
      <w:proofErr w:type="spellEnd"/>
      <w:r w:rsidRPr="00002DF3">
        <w:rPr>
          <w:rFonts w:ascii="Times New Roman" w:eastAsia="Arial Unicode MS" w:hAnsi="Times New Roman" w:cs="Times New Roman"/>
          <w:sz w:val="20"/>
        </w:rPr>
        <w:t>. 11 e 18 da Lei nº 14.133/2021.</w:t>
      </w:r>
    </w:p>
    <w:p w14:paraId="4533BDE4" w14:textId="359A062F" w:rsidR="00DE3CB0" w:rsidRPr="00002DF3" w:rsidRDefault="00DE3CB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10.2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As despesas decorrentes da execução da obra de construção de 20 (vinte) unidades habitacionais de interesse social serão custeadas com recursos oriundos do Governo Federal, por intermédio do Ministério das Cidades, no âmbito de programa federal voltado à política habitacional, estando o empreendimento alinhado às diretrizes nacionais de promoção do direito à moradia digna. A contrapartida e os registros orçamentários correspondentes encontram-se compatibilizados com o orçamento municipal vigente, conforme manifestação do Setor de Contabilidade.</w:t>
      </w:r>
    </w:p>
    <w:p w14:paraId="7E690868" w14:textId="2A9BB852" w:rsidR="00DE3CB0" w:rsidRPr="00002DF3" w:rsidRDefault="00DE3CB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10.3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alinhamento orçamentário e financeiro da contratação </w:t>
      </w:r>
      <w:r w:rsidR="00061ECF" w:rsidRPr="00002DF3">
        <w:rPr>
          <w:rFonts w:ascii="Times New Roman" w:eastAsia="Arial Unicode MS" w:hAnsi="Times New Roman" w:cs="Times New Roman"/>
          <w:sz w:val="20"/>
        </w:rPr>
        <w:t xml:space="preserve">será </w:t>
      </w:r>
      <w:r w:rsidRPr="00002DF3">
        <w:rPr>
          <w:rFonts w:ascii="Times New Roman" w:eastAsia="Arial Unicode MS" w:hAnsi="Times New Roman" w:cs="Times New Roman"/>
          <w:sz w:val="20"/>
        </w:rPr>
        <w:t xml:space="preserve">verificado, </w:t>
      </w:r>
      <w:r w:rsidR="00061ECF" w:rsidRPr="00002DF3">
        <w:rPr>
          <w:rFonts w:ascii="Times New Roman" w:eastAsia="Arial Unicode MS" w:hAnsi="Times New Roman" w:cs="Times New Roman"/>
          <w:sz w:val="20"/>
        </w:rPr>
        <w:t xml:space="preserve">para </w:t>
      </w:r>
      <w:r w:rsidRPr="00002DF3">
        <w:rPr>
          <w:rFonts w:ascii="Times New Roman" w:eastAsia="Arial Unicode MS" w:hAnsi="Times New Roman" w:cs="Times New Roman"/>
          <w:sz w:val="20"/>
        </w:rPr>
        <w:t>assegura</w:t>
      </w:r>
      <w:r w:rsidR="00061ECF" w:rsidRPr="00002DF3">
        <w:rPr>
          <w:rFonts w:ascii="Times New Roman" w:eastAsia="Arial Unicode MS" w:hAnsi="Times New Roman" w:cs="Times New Roman"/>
          <w:sz w:val="20"/>
        </w:rPr>
        <w:t>r</w:t>
      </w:r>
      <w:r w:rsidRPr="00002DF3">
        <w:rPr>
          <w:rFonts w:ascii="Times New Roman" w:eastAsia="Arial Unicode MS" w:hAnsi="Times New Roman" w:cs="Times New Roman"/>
          <w:sz w:val="20"/>
        </w:rPr>
        <w:t xml:space="preserve"> a existência de dotação específica e suficiente para a execução integral do objeto, bem como a compatibilidade entre o cronograma físico-financeiro da obra e o fluxo de liberação dos recursos federais, de modo a garantir a continuidade da execução e evitar interrupções por insuficiência de cobertura financeira.</w:t>
      </w:r>
    </w:p>
    <w:p w14:paraId="73B65973" w14:textId="5F9A37EB" w:rsidR="00DE3CB0" w:rsidRPr="00002DF3" w:rsidRDefault="00DE3CB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10.4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contratação encontra-se</w:t>
      </w:r>
      <w:r w:rsidR="00061ECF" w:rsidRP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plenamente integrada ao planejamento estratégico municipal, especialmente no que se refere à política pública de habitação de interesse social, à promoção da inclusão social e à redução do déficit habitacional, em consonância com as diretrizes do Plano Plurianual e da Lei Orçamentária Anual, bem como com os instrumentos de planejamento urbano e social do Município.</w:t>
      </w:r>
    </w:p>
    <w:p w14:paraId="0441B72F" w14:textId="16E5CA10" w:rsidR="00061ECF" w:rsidRPr="00002DF3" w:rsidRDefault="00DE3CB0"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10.5</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articulação entre o planejamento orçamentário, o planejamento físico da obra e a execução contratual constitui condição essencial para assegurar a economicidade, a eficiência e a eficácia na aplicação dos recursos públicos. Nesse sentido, os projetos técnicos, o orçamento detalhado e o cronograma físico-financeiro foram elaborados de forma integrada, possibilitando o acompanhamento sistemático dos custos, das etapas executivas e do cumprimento dos prazos</w:t>
      </w:r>
      <w:r w:rsidR="00061ECF" w:rsidRPr="00002DF3">
        <w:rPr>
          <w:rFonts w:ascii="Times New Roman" w:eastAsia="Arial Unicode MS" w:hAnsi="Times New Roman" w:cs="Times New Roman"/>
          <w:sz w:val="20"/>
        </w:rPr>
        <w:t>.</w:t>
      </w:r>
    </w:p>
    <w:p w14:paraId="26A3788C" w14:textId="77777777" w:rsidR="00DE3CB0" w:rsidRPr="00002DF3" w:rsidRDefault="00DE3CB0" w:rsidP="00002DF3">
      <w:pPr>
        <w:spacing w:after="0" w:line="276" w:lineRule="auto"/>
        <w:jc w:val="both"/>
        <w:rPr>
          <w:rFonts w:ascii="Times New Roman" w:eastAsia="Arial Unicode MS" w:hAnsi="Times New Roman" w:cs="Times New Roman"/>
          <w:sz w:val="20"/>
        </w:rPr>
      </w:pPr>
    </w:p>
    <w:p w14:paraId="7B48B008" w14:textId="77777777" w:rsidR="006E786C" w:rsidRPr="00002DF3" w:rsidRDefault="006E786C"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b/>
          <w:sz w:val="20"/>
        </w:rPr>
        <w:t>11</w:t>
      </w:r>
      <w:r w:rsidR="0059033B"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RESULTADOS PRETENDIDOS</w:t>
      </w:r>
      <w:r w:rsidR="00C97D9E" w:rsidRPr="00002DF3">
        <w:rPr>
          <w:rFonts w:ascii="Times New Roman" w:eastAsia="Arial Unicode MS" w:hAnsi="Times New Roman" w:cs="Times New Roman"/>
          <w:b/>
          <w:sz w:val="20"/>
        </w:rPr>
        <w:t>:</w:t>
      </w:r>
    </w:p>
    <w:p w14:paraId="7915C4B5" w14:textId="08857333" w:rsidR="00D7782D"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presente processo de contratação tem como objetivo a seleção da proposta mais vantajosa para o Município de Paverama, considerando, de forma integrada, os aspectos econômicos, técnicos e qualitativos da execução da obra, bem como o cumprimento dos prazos contratuais, a durabilidade dos materiais empregados e a estrita observância das especificações constantes dos projetos e do memorial descritivo. Busca-se, assim, assegurar a aplicação eficiente, responsável e transparente dos recursos públicos, com a entrega de unidades habitacionais plenamente adequadas às finalidades da política habitacional municipal.</w:t>
      </w:r>
    </w:p>
    <w:p w14:paraId="4D2F6F7E" w14:textId="02A12587" w:rsidR="00D7782D"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Para o alcance dessa finalidade, o procedimento de contratação será estruturado de modo a garantir tratamento isonômico entre os licitantes, ampla competitividade e julgamento objetivo das propostas, em observância aos princípios da legalidade, impessoalidade, publicidade, transparência e eficiência, prevenindo a </w:t>
      </w:r>
      <w:r w:rsidRPr="00002DF3">
        <w:rPr>
          <w:rFonts w:ascii="Times New Roman" w:eastAsia="Arial Unicode MS" w:hAnsi="Times New Roman" w:cs="Times New Roman"/>
          <w:sz w:val="20"/>
        </w:rPr>
        <w:lastRenderedPageBreak/>
        <w:t>ocorrência de sobrepreço, preços inexequíveis, superfaturamento ou quaisquer distorções que comprometam a vantajosidade da contratação.</w:t>
      </w:r>
    </w:p>
    <w:p w14:paraId="1B5C51AF" w14:textId="7B294FC8" w:rsidR="00D7782D"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No âmbito da execução contratual, pretende-se assegurar que a empresa contratada adote boas práticas de engenharia e de sustentabilidade ambiental, social e econômica, incluindo a correta gestão dos resíduos da construção civil, o uso racional de materiais e insumos, o cumprimento das normas ambientais e de segurança e saúde no trabalho, bem como a mitigação de impactos negativos durante a execução da obra.</w:t>
      </w:r>
    </w:p>
    <w:p w14:paraId="544CF801" w14:textId="7AE69E25" w:rsidR="00D7782D"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construção das unidades habitacionais proporcionará benefícios diretos e imediatos às famílias beneficiárias, ao garantir o acesso a moradias dignas, seguras e adequadas, contribuindo para a redução da vulnerabilidade habitacional, a promoção da estabilidade residencial e a melhoria das condições de vida, saúde e bem-estar da população atendida.</w:t>
      </w:r>
    </w:p>
    <w:p w14:paraId="66DBC581" w14:textId="3A736810" w:rsidR="00D7782D"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11.5</w:t>
      </w:r>
      <w:r w:rsidR="005D6994">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Como resultado social estruturante, espera-se a redução do déficit habitacional local, bem como a promoção da inclusão social de famílias em situação de vulnerabilidade, assegurando condições mínimas de habitabilidade, segurança e conforto, em consonância com o direito social à moradia previsto no art. 6º da Constituição Federal.</w:t>
      </w:r>
    </w:p>
    <w:p w14:paraId="3B044A0E" w14:textId="786BF4FE" w:rsidR="00D7782D"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11.6</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execução do empreendimento deverá produzir, ainda, efeitos positivos no ordenamento urbano e territorial da região, contribuindo para a ocupação planejada do solo, a requalificação do entorno, a valorização da área e a adequada integração das novas unidades habitacionais à infraestrutura urbana e aos serviços públicos existentes.</w:t>
      </w:r>
    </w:p>
    <w:p w14:paraId="5C935066" w14:textId="60A2A38A" w:rsidR="00D7782D"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11.7</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Os resultados pretendidos encontram-se alinhados ao planejamento estratégico e orçamentário municipal, às políticas públicas locais de habitação e às diretrizes das ações federais coordenadas pelo Ministério das Cidades, especialmente no que se refere à promoção do acesso à moradia digna, à redução das desigualdades sociais e ao fortalecimento do desenvolvimento urbano sustentável.</w:t>
      </w:r>
    </w:p>
    <w:p w14:paraId="387F11F2" w14:textId="5A68DB4B" w:rsidR="00061ECF" w:rsidRPr="00002DF3" w:rsidRDefault="00D7782D"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11.8</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Por fim, espera-se que a concretização da presente contratação contribua para o fortalecimento da confiança da população na Administração Municipal, ao evidenciar planejamento adequado, boa governança, responsabilidade fiscal e compromisso efetivo com a implementação de políticas públicas de relevante interesse social, materializados na entrega de empreendimento habitacional estruturante para o Município de Paverama.</w:t>
      </w:r>
    </w:p>
    <w:p w14:paraId="625263C9" w14:textId="77777777" w:rsidR="00D7782D" w:rsidRPr="00002DF3" w:rsidRDefault="00D7782D" w:rsidP="00002DF3">
      <w:pPr>
        <w:spacing w:after="0" w:line="276" w:lineRule="auto"/>
        <w:jc w:val="both"/>
        <w:rPr>
          <w:rFonts w:ascii="Times New Roman" w:eastAsia="Arial Unicode MS" w:hAnsi="Times New Roman" w:cs="Times New Roman"/>
          <w:sz w:val="20"/>
        </w:rPr>
      </w:pPr>
    </w:p>
    <w:p w14:paraId="6317B346" w14:textId="77777777" w:rsidR="008327CD" w:rsidRPr="00002DF3" w:rsidRDefault="008327CD"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12</w:t>
      </w:r>
      <w:r w:rsidR="006B2F9C"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PROVIDÊNCIAS A SEREM ADOTADAS PREVIAMENTE À CELEBRAÇÃO DO CONTRATO</w:t>
      </w:r>
      <w:r w:rsidR="00C97D9E" w:rsidRPr="00002DF3">
        <w:rPr>
          <w:rFonts w:ascii="Times New Roman" w:eastAsia="Arial Unicode MS" w:hAnsi="Times New Roman" w:cs="Times New Roman"/>
          <w:b/>
          <w:sz w:val="20"/>
        </w:rPr>
        <w:t>:</w:t>
      </w:r>
    </w:p>
    <w:p w14:paraId="5FC2B874" w14:textId="03B1B73F"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12.1</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Com base nas conclusões deste Estudo Técnico Preliminar e nos documentos técnicos que o instruem — especialmente o Projeto Básico e Executivo, o Memorial Descritivo, a Planilha Orçamentária, a Memória de Cálculo e o Cronograma Físico-Financeiro — serão consolidados o Termo de Referência e a Matriz de Riscos, os quais constituem instrumentos essenciais para a precisa definição do objeto, a delimitação das responsabilidades das partes, a adequada alocação de riscos e o estabelecimento das condições técnicas, operacionais, financeiras e jurídicas da contratação, em conformidade com a Lei nº 14.133/2021 e com as exigências do programa federal de financiamento.</w:t>
      </w:r>
    </w:p>
    <w:p w14:paraId="2E1CF9AA" w14:textId="53CFAE0C"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12.2</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Considerando tratar-se de empreendimento financiado com recursos federais, formalizado por meio de Termo de Compromisso celebrado com a Caixa Econômica Federal, no âmbito do Programa de Aceleração do Crescimento – Novo PAC, será verificada, previamente à deflagração do certame, a plena compatibilidade dos documentos da fase preparatória com as diretrizes, manuais técnicos, normativos operacionais e condicionantes estabelecidas pelo Ministério das Cidades e pela CAIXA, assegurando a aderência do objeto aos padrões construtivos, aos critérios de medição, aos limites orçamentários e às exigências de prestação de contas do convênio.</w:t>
      </w:r>
    </w:p>
    <w:p w14:paraId="057E03B6" w14:textId="6154EB1B"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12.3</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Na sequência, o processo administrativo será encaminhado ao Setor de Contabilidade do Município, para manifestação formal acerca da disponibilidade orçamentária e financeira, bem como da compatibilidade da despesa com a Lei Orçamentária Anual, o Plano Plurianual e a Lei de Diretrizes Orçamentárias, observando-se, ainda, a correta vinculação das dotações orçamentárias específicas destinadas à execução do convênio federal.</w:t>
      </w:r>
    </w:p>
    <w:p w14:paraId="7A98C1FA" w14:textId="11CC6877"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12.4</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Após a manifestação contábil favorável, o expediente será submetido à Assessoria Jurídica do Município, que procederá à análise da regularidade formal e material do processo, verificando a conformidade dos documentos com a Lei nº 14.133/2021, com a legislação correlata e com as exigências do Termo de Compromisso firmado com a CAIXA, especialmente quanto à definição do objeto, ao regime de execução, aos critérios de seleção, às exigências de habilitação técnica e à adequação da Matriz de Riscos.</w:t>
      </w:r>
    </w:p>
    <w:p w14:paraId="007C8750" w14:textId="69D06828"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12.5</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Superadas as etapas de análise técnica, contábil e jurídica, serão formalmente designados, por ato da Prefeita Municipal, o Gestor do Contrato e o Fiscal do Contrato, nos termos da Lei nº 14.133/2021, observada a necessidade de acompanhamento técnico qualificado, especialmente em razão das obrigações de fiscalização, medição, </w:t>
      </w:r>
      <w:r w:rsidRPr="00002DF3">
        <w:rPr>
          <w:rFonts w:ascii="Times New Roman" w:eastAsia="Arial Unicode MS" w:hAnsi="Times New Roman" w:cs="Times New Roman"/>
          <w:bCs/>
          <w:sz w:val="20"/>
        </w:rPr>
        <w:lastRenderedPageBreak/>
        <w:t>controle de qualidade, atendimento ao cronograma físico-financeiro e observância das exigências do convênio federal. Os servidores designados deverão declarar ciência expressa de suas atribuições e disponibilidade funcional para o acompanhamento da execução contratual.</w:t>
      </w:r>
    </w:p>
    <w:p w14:paraId="257FA7C5" w14:textId="7B38B8F2"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12.6</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O procedimento licitatório observará rigorosamente os princípios da publicidade, da transparência e do controle social, com ampla divulgação nos meios e plataformas legalmente exigidos, incluindo, no mínimo:</w:t>
      </w:r>
    </w:p>
    <w:p w14:paraId="2D53E4CB" w14:textId="77777777"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a) sítio eletrônico oficial do Município de Paverama;</w:t>
      </w:r>
    </w:p>
    <w:p w14:paraId="067D0A61" w14:textId="77777777"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b) Portal Nacional de Contratações Públicas – PNCP;</w:t>
      </w:r>
    </w:p>
    <w:p w14:paraId="0603DB6C" w14:textId="77777777"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 xml:space="preserve">c) Portal </w:t>
      </w:r>
      <w:proofErr w:type="spellStart"/>
      <w:r w:rsidRPr="00002DF3">
        <w:rPr>
          <w:rFonts w:ascii="Times New Roman" w:eastAsia="Arial Unicode MS" w:hAnsi="Times New Roman" w:cs="Times New Roman"/>
          <w:bCs/>
          <w:sz w:val="20"/>
        </w:rPr>
        <w:t>LicitaCon</w:t>
      </w:r>
      <w:proofErr w:type="spellEnd"/>
      <w:r w:rsidRPr="00002DF3">
        <w:rPr>
          <w:rFonts w:ascii="Times New Roman" w:eastAsia="Arial Unicode MS" w:hAnsi="Times New Roman" w:cs="Times New Roman"/>
          <w:bCs/>
          <w:sz w:val="20"/>
        </w:rPr>
        <w:t>-RS do Tribunal de Contas do Estado do Rio Grande do Sul;</w:t>
      </w:r>
    </w:p>
    <w:p w14:paraId="5D0569D7" w14:textId="77777777"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d) Diário Oficial da União, quando exigido em razão da origem dos recursos;</w:t>
      </w:r>
    </w:p>
    <w:p w14:paraId="33BA525F" w14:textId="77777777"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e) jornal de circulação regional ou estadual; e</w:t>
      </w:r>
    </w:p>
    <w:p w14:paraId="0DF6C442" w14:textId="77777777"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f) plataforma eletrônica de compras públicas utilizada para a realização da sessão do certame.</w:t>
      </w:r>
    </w:p>
    <w:p w14:paraId="2C4E088A" w14:textId="4A1C03C4"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12.7</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Realizada a sessão pública, as propostas serão analisadas conforme os critérios de julgamento estabelecidos no edital, sendo a fase de habilitação destinada à verificação da regularidade jurídica, fiscal, econômico-financeira e, especialmente, da qualificação técnica, com ênfase na comprovação do registro profissional perante o CREA ou CAU, da capacidade técnico-operacional da empresa e da capacidade técnico-profissional do responsável técnico, em estrita consonância com o Memorial Descritivo e com as exigências do programa habitacional federal.</w:t>
      </w:r>
    </w:p>
    <w:p w14:paraId="4DCA32CD" w14:textId="2FC946C1"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12.8</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A empresa declarada vencedora deverá apresentar, previamente à assinatura do contrato, quando exigido no edital, a garantia contratual, nos percentuais e modalidades legalmente admitidos, como instrumento de mitigação de riscos e de resguardo do interesse público, assegurando o fiel cumprimento das obrigações assumidas, a adequada execução da obra e a correção de eventuais vícios construtivos.</w:t>
      </w:r>
    </w:p>
    <w:p w14:paraId="1A94971E" w14:textId="57AC17B4"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12.9</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Antes da emissão da Ordem de Início dos Serviços, será elaborado, validado e formalizado o Plano de Gestão de Riscos, em consonância com a Matriz de Riscos aprovada, bem como será homologado o cronograma detalhado de execução, com definição clara de etapas, marcos, prazos e critérios de medição, observando-se as exigências técnicas e procedimentais da CAIXA para fins de acompanhamento físico-financeiro e liberação de recursos.</w:t>
      </w:r>
    </w:p>
    <w:p w14:paraId="38CF2ED7" w14:textId="00163A13" w:rsidR="00D7782D"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12.10</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A Administração Municipal promoverá reunião prévia de alinhamento com a empresa contratada, a fiscalização designada e os setores técnicos envolvidos, com a finalidade de estabelecer fluxos de comunicação, esclarecer responsabilidades, alinhar critérios de medição e pagamento, definir diretrizes de segurança do trabalho, controle tecnológico, sustentabilidade e qualidade da execução, bem como reforçar as obrigações decorrentes do convênio federal.</w:t>
      </w:r>
    </w:p>
    <w:p w14:paraId="3709EB14" w14:textId="6FBE8AAB" w:rsidR="008C0ACC" w:rsidRPr="00002DF3" w:rsidRDefault="00D7782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12.11</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A celebração do contrato somente ocorrerá após a confirmação de que todos os documentos, autorizações, análises e validações necessárias foram devidamente concluídos, inclusive quanto à compatibilidade com o Termo de Compromisso firmado com a CAIXA, garantindo que a execução da obra se dê de forma planejada, regular, segura e plenamente aderente às exigências legais, técnicas, orçamentárias e financeiras aplicáveis.</w:t>
      </w:r>
    </w:p>
    <w:p w14:paraId="1CBFF98F" w14:textId="77777777" w:rsidR="00D7782D" w:rsidRPr="00002DF3" w:rsidRDefault="00D7782D" w:rsidP="00002DF3">
      <w:pPr>
        <w:spacing w:after="0" w:line="276" w:lineRule="auto"/>
        <w:jc w:val="both"/>
        <w:rPr>
          <w:rFonts w:ascii="Times New Roman" w:eastAsia="Arial Unicode MS" w:hAnsi="Times New Roman" w:cs="Times New Roman"/>
          <w:sz w:val="20"/>
        </w:rPr>
      </w:pPr>
    </w:p>
    <w:p w14:paraId="128C3CC1" w14:textId="77777777" w:rsidR="006B2F9C" w:rsidRPr="00002DF3" w:rsidRDefault="006E786C"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13</w:t>
      </w:r>
      <w:r w:rsidR="006B2F9C"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w:t>
      </w:r>
      <w:r w:rsidR="006B2F9C" w:rsidRPr="00002DF3">
        <w:rPr>
          <w:rFonts w:ascii="Times New Roman" w:eastAsia="Arial Unicode MS" w:hAnsi="Times New Roman" w:cs="Times New Roman"/>
          <w:b/>
          <w:sz w:val="20"/>
        </w:rPr>
        <w:t>POSSÍVEIS IMPACTOS AMBIENTAIS E MEDIDAS DE TRATAMENTO</w:t>
      </w:r>
      <w:r w:rsidR="00C97D9E" w:rsidRPr="00002DF3">
        <w:rPr>
          <w:rFonts w:ascii="Times New Roman" w:eastAsia="Arial Unicode MS" w:hAnsi="Times New Roman" w:cs="Times New Roman"/>
          <w:b/>
          <w:sz w:val="20"/>
        </w:rPr>
        <w:t>:</w:t>
      </w:r>
    </w:p>
    <w:p w14:paraId="193ED1FC" w14:textId="1274C881"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13.1</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Conforme os levantamentos técnicos realizados e os documentos elaborados pelo Setor de Engenharia Municipal, a área destinada à construção de 20 (vinte) unidades habitacionais de interesse social, localizada em zona urbana consolidada, encontra-se ambientalmente regularizada, inserida em perímetro já destinado à ocupação habitacional, não sendo identificada, a princípio, a necessidade de licenciamento ambiental específico para a execução da obra, sem prejuízo do atendimento integral à legislação ambiental vigente e às normas municipais aplicáveis.</w:t>
      </w:r>
    </w:p>
    <w:p w14:paraId="1C3EA542" w14:textId="2667F2B5"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13.2</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contratação foi concebida de modo a minimizar impactos ambientais adversos e, simultaneamente, promover impactos ambientais positivos, especialmente no que se refere à requalificação urbana da área, à melhoria das condições de habitabilidade e à organização do uso do solo. A empresa contratada deverá adotar critérios de sustentabilidade ambiental durante toda a execução da obra, observando o uso racional de recursos naturais, a redução de desperdícios e a conformidade com as boas práticas da engenharia civil.</w:t>
      </w:r>
    </w:p>
    <w:p w14:paraId="57ABDA0F" w14:textId="3B931EFC"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13.3</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Os materiais, insumos e sistemas construtivos empregados deverão atender às especificações técnicas constantes do Projeto Executivo e do Memorial Descritivo, priorizando-se, sempre que tecnicamente viável, materiais de maior durabilidade, menor impacto ambiental e potencial de reaproveitamento ou reciclagem, em consonância com os princípios da sustentabilidade e com a legislação ambiental aplicável.</w:t>
      </w:r>
    </w:p>
    <w:p w14:paraId="08E24ACB" w14:textId="452D61DF"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13.4</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gestão dos resíduos sólidos gerados durante a execução da obra será de inteira responsabilidade da empresa contratada, a qual deverá proceder à segregação, acondicionamento, armazenamento temporário, transporte e </w:t>
      </w:r>
      <w:r w:rsidRPr="00002DF3">
        <w:rPr>
          <w:rFonts w:ascii="Times New Roman" w:eastAsia="Arial Unicode MS" w:hAnsi="Times New Roman" w:cs="Times New Roman"/>
          <w:sz w:val="20"/>
        </w:rPr>
        <w:lastRenderedPageBreak/>
        <w:t>destinação final ambientalmente adequada dos resíduos, em conformidade com a Política Nacional de Resíduos Sólidos</w:t>
      </w:r>
      <w:r w:rsidR="00100C32" w:rsidRPr="00002DF3">
        <w:rPr>
          <w:rFonts w:ascii="Times New Roman" w:eastAsia="Arial Unicode MS" w:hAnsi="Times New Roman" w:cs="Times New Roman"/>
          <w:sz w:val="20"/>
        </w:rPr>
        <w:t xml:space="preserve"> e d</w:t>
      </w:r>
      <w:r w:rsidRPr="00002DF3">
        <w:rPr>
          <w:rFonts w:ascii="Times New Roman" w:eastAsia="Arial Unicode MS" w:hAnsi="Times New Roman" w:cs="Times New Roman"/>
          <w:sz w:val="20"/>
        </w:rPr>
        <w:t>a legislação ambiental vigente</w:t>
      </w:r>
      <w:r w:rsidR="00100C32" w:rsidRPr="00002DF3">
        <w:rPr>
          <w:rFonts w:ascii="Times New Roman" w:eastAsia="Arial Unicode MS" w:hAnsi="Times New Roman" w:cs="Times New Roman"/>
          <w:sz w:val="20"/>
        </w:rPr>
        <w:t>.</w:t>
      </w:r>
    </w:p>
    <w:p w14:paraId="1ECA8ED9" w14:textId="07724F78"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13.5</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Durante a execução da obra, deverão ser observadas práticas sustentáveis e preventivas, tais como a adequada organização do canteiro de obras, o controle de emissões de poeira e ruídos, o uso eficiente de água e energia e a proteção do entorno imediato, especialmente das áreas públicas adjacentes e das edificações existentes.</w:t>
      </w:r>
    </w:p>
    <w:p w14:paraId="5F6CC80D" w14:textId="30DAA2DE"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13.6</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Como medidas mitigatórias dos impactos ambientais eventualmente gerados, deverão ser adotadas, dentre outras, as seguintes providências:</w:t>
      </w:r>
    </w:p>
    <w:p w14:paraId="6B4395FA" w14:textId="77777777" w:rsidR="00C720FA" w:rsidRPr="00002DF3" w:rsidRDefault="00C720FA"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a) instalação de barreiras físicas provisórias para contenção de poeira, resíduos e sedimentos;</w:t>
      </w:r>
    </w:p>
    <w:p w14:paraId="1ADD904F" w14:textId="77777777" w:rsidR="00C720FA" w:rsidRPr="00002DF3" w:rsidRDefault="00C720FA"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b) controle de poeira por meio de umidificação de superfícies e vias internas, quando necessário;</w:t>
      </w:r>
    </w:p>
    <w:p w14:paraId="40F5DD2C" w14:textId="77777777" w:rsidR="00C720FA" w:rsidRPr="00002DF3" w:rsidRDefault="00C720FA"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c) implantação de drenagem provisória no canteiro, de modo a evitar acúmulo de águas pluviais e carreamento de sedimentos;</w:t>
      </w:r>
    </w:p>
    <w:p w14:paraId="3332BCD9" w14:textId="77777777" w:rsidR="00C720FA" w:rsidRPr="00002DF3" w:rsidRDefault="00C720FA"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d) controle da emissão de ruídos, mediante utilização de equipamentos em boas condições de uso e manutenção, respeitando os horários permitidos;</w:t>
      </w:r>
    </w:p>
    <w:p w14:paraId="3C839ED5" w14:textId="2DF4B937" w:rsidR="00C720FA" w:rsidRPr="00002DF3" w:rsidRDefault="00C720FA"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 xml:space="preserve">e) preservação da vegetação </w:t>
      </w:r>
      <w:r w:rsidR="00100C32" w:rsidRPr="00002DF3">
        <w:rPr>
          <w:rFonts w:ascii="Times New Roman" w:eastAsia="Arial Unicode MS" w:hAnsi="Times New Roman" w:cs="Times New Roman"/>
          <w:b/>
          <w:bCs/>
          <w:sz w:val="20"/>
        </w:rPr>
        <w:t>NATIVA</w:t>
      </w:r>
      <w:r w:rsidR="00100C32" w:rsidRP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existente na área e em seu entorno, conforme orientação do</w:t>
      </w:r>
      <w:r w:rsidR="00100C32" w:rsidRPr="00002DF3">
        <w:rPr>
          <w:rFonts w:ascii="Times New Roman" w:eastAsia="Arial Unicode MS" w:hAnsi="Times New Roman" w:cs="Times New Roman"/>
          <w:sz w:val="20"/>
        </w:rPr>
        <w:t xml:space="preserve"> Departamento do Meio Ambiente</w:t>
      </w:r>
      <w:r w:rsidRPr="00002DF3">
        <w:rPr>
          <w:rFonts w:ascii="Times New Roman" w:eastAsia="Arial Unicode MS" w:hAnsi="Times New Roman" w:cs="Times New Roman"/>
          <w:sz w:val="20"/>
        </w:rPr>
        <w:t>;</w:t>
      </w:r>
      <w:r w:rsidR="00100C32" w:rsidRPr="00002DF3">
        <w:rPr>
          <w:rFonts w:ascii="Times New Roman" w:eastAsia="Arial Unicode MS" w:hAnsi="Times New Roman" w:cs="Times New Roman"/>
          <w:sz w:val="20"/>
        </w:rPr>
        <w:t xml:space="preserve"> e</w:t>
      </w:r>
    </w:p>
    <w:p w14:paraId="20712E98" w14:textId="47521A83" w:rsidR="00C720FA" w:rsidRPr="00002DF3" w:rsidRDefault="00C720FA"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f) manutenção contínua da limpeza, organização e segurança do canteiro de obras</w:t>
      </w:r>
      <w:r w:rsidR="00100C32" w:rsidRPr="00002DF3">
        <w:rPr>
          <w:rFonts w:ascii="Times New Roman" w:eastAsia="Arial Unicode MS" w:hAnsi="Times New Roman" w:cs="Times New Roman"/>
          <w:sz w:val="20"/>
        </w:rPr>
        <w:t>.</w:t>
      </w:r>
    </w:p>
    <w:p w14:paraId="35B8ECD2" w14:textId="524A541C"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13.7</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O Município realizará o acompanhamento e a fiscalização periódica da execução da obra quanto ao cumprimento das diretrizes ambientais estabelecidas, podendo adotar medidas administrativas, inclusive determinações de correção, aplicação de sanções e</w:t>
      </w:r>
      <w:r w:rsidR="00100C32" w:rsidRP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suspensão parcial dos serviços, em caso de descumprimento das obrigações ambientais assumidas pela contratada.</w:t>
      </w:r>
    </w:p>
    <w:p w14:paraId="53E7DAA3" w14:textId="2844A13A"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13.8</w:t>
      </w:r>
      <w:r w:rsidR="005D6994">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A empresa contratada será integralmente responsável por quaisquer danos ambientais causados direta ou indiretamente durante a execução da obra, devendo arcar com todos os custos de reparação, mitigação, compensação ou regularização que se fizerem necessários, nos termos da legislação ambiental vigente, sem prejuízo das demais responsabilidades administrativas cabíveis.</w:t>
      </w:r>
    </w:p>
    <w:p w14:paraId="3550668A" w14:textId="0AB758E9" w:rsidR="00C720FA" w:rsidRPr="00002DF3" w:rsidRDefault="00C720FA"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13.9</w:t>
      </w:r>
      <w:r w:rsidR="005D6994">
        <w:rPr>
          <w:rFonts w:ascii="Times New Roman" w:eastAsia="Arial Unicode MS" w:hAnsi="Times New Roman" w:cs="Times New Roman"/>
          <w:sz w:val="20"/>
        </w:rPr>
        <w:t>.</w:t>
      </w:r>
      <w:r w:rsidRPr="00002DF3">
        <w:rPr>
          <w:rFonts w:ascii="Times New Roman" w:eastAsia="Arial Unicode MS" w:hAnsi="Times New Roman" w:cs="Times New Roman"/>
          <w:sz w:val="20"/>
        </w:rPr>
        <w:t xml:space="preserve"> A Administração Municipal reserva-se o direito de realizar vistorias e auditorias ambientais ao longo da execução contratual, com o objetivo de verificar a efetividade das medidas mitigatórias adotadas, a conformidade das práticas executivas e a observância das normas ambientais e contratuais estabelecidas.</w:t>
      </w:r>
    </w:p>
    <w:p w14:paraId="52C4293D" w14:textId="77777777" w:rsidR="00C720FA" w:rsidRPr="00002DF3" w:rsidRDefault="00C720FA" w:rsidP="00002DF3">
      <w:pPr>
        <w:spacing w:after="0" w:line="276" w:lineRule="auto"/>
        <w:jc w:val="both"/>
        <w:rPr>
          <w:rFonts w:ascii="Times New Roman" w:eastAsia="Arial Unicode MS" w:hAnsi="Times New Roman" w:cs="Times New Roman"/>
          <w:b/>
          <w:sz w:val="20"/>
        </w:rPr>
      </w:pPr>
    </w:p>
    <w:p w14:paraId="4A4766E2" w14:textId="77777777" w:rsidR="0034161A" w:rsidRPr="00002DF3" w:rsidRDefault="0034161A"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14</w:t>
      </w:r>
      <w:r w:rsidR="00BE12DA"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POSICIONAMENTO CONCLUSIVO SOBRE A ADEQUAÇÃO DA CONTRATAÇÃO</w:t>
      </w:r>
      <w:r w:rsidR="00C97D9E" w:rsidRPr="00002DF3">
        <w:rPr>
          <w:rFonts w:ascii="Times New Roman" w:eastAsia="Arial Unicode MS" w:hAnsi="Times New Roman" w:cs="Times New Roman"/>
          <w:b/>
          <w:sz w:val="20"/>
        </w:rPr>
        <w:t>:</w:t>
      </w:r>
    </w:p>
    <w:p w14:paraId="0F8BA56A" w14:textId="78738F50" w:rsidR="0059715D" w:rsidRPr="00002DF3" w:rsidRDefault="0059715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14.1</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Após a realização do presente Estudo Técnico Preliminar, conclui-se que a contratação de empresa especializada em obras e serviços de engenharia para a construção de 20 (vinte) unidades habitacionais de interesse social revela-se necessária, adequada e plenamente alinhada ao interesse público, considerando o déficit habitacional existente, a demanda social identificada e as diretrizes da política habitacional municipal e federal.</w:t>
      </w:r>
    </w:p>
    <w:p w14:paraId="1CE8AF0C" w14:textId="3C7778EB" w:rsidR="0059715D" w:rsidRPr="00002DF3" w:rsidRDefault="0059715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14.2</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Restou devidamente evidenciado que a necessidade de ampliação da oferta de moradias decorre de contexto urbano e social já consolidado, especialmente </w:t>
      </w:r>
      <w:r w:rsidR="00100C32" w:rsidRPr="00002DF3">
        <w:rPr>
          <w:rFonts w:ascii="Times New Roman" w:eastAsia="Arial Unicode MS" w:hAnsi="Times New Roman" w:cs="Times New Roman"/>
          <w:bCs/>
          <w:sz w:val="20"/>
        </w:rPr>
        <w:t xml:space="preserve">próximo ao </w:t>
      </w:r>
      <w:r w:rsidRPr="00002DF3">
        <w:rPr>
          <w:rFonts w:ascii="Times New Roman" w:eastAsia="Arial Unicode MS" w:hAnsi="Times New Roman" w:cs="Times New Roman"/>
          <w:bCs/>
          <w:sz w:val="20"/>
        </w:rPr>
        <w:t>Loteamento Morada Bonita, onde experiências anteriores demonstraram a importância do planejamento integrado de infraestrutura, serviços públicos e políticas sociais. A ausência de solução habitacional adequada tende a agravar situações de vulnerabilidade social</w:t>
      </w:r>
      <w:r w:rsidR="00100C32" w:rsidRPr="00002DF3">
        <w:rPr>
          <w:rFonts w:ascii="Times New Roman" w:eastAsia="Arial Unicode MS" w:hAnsi="Times New Roman" w:cs="Times New Roman"/>
          <w:bCs/>
          <w:sz w:val="20"/>
        </w:rPr>
        <w:t xml:space="preserve"> e</w:t>
      </w:r>
      <w:r w:rsidRPr="00002DF3">
        <w:rPr>
          <w:rFonts w:ascii="Times New Roman" w:eastAsia="Arial Unicode MS" w:hAnsi="Times New Roman" w:cs="Times New Roman"/>
          <w:bCs/>
          <w:sz w:val="20"/>
        </w:rPr>
        <w:t xml:space="preserve"> pressionar os serviços públicos existente</w:t>
      </w:r>
      <w:r w:rsidR="00100C32" w:rsidRPr="00002DF3">
        <w:rPr>
          <w:rFonts w:ascii="Times New Roman" w:eastAsia="Arial Unicode MS" w:hAnsi="Times New Roman" w:cs="Times New Roman"/>
          <w:bCs/>
          <w:sz w:val="20"/>
        </w:rPr>
        <w:t>s.</w:t>
      </w:r>
    </w:p>
    <w:p w14:paraId="691AD1AD" w14:textId="50D2CCAE" w:rsidR="0059715D" w:rsidRPr="00002DF3" w:rsidRDefault="0059715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14.3</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O Estudo Técnico Preliminar analisou de forma abrangente a necessidade pública e o alinhamento com o planejamento municipal, demonstrando que a construção das unidades habitacionais constitui a solução mais adequada sob os aspectos técnico, operacional, econômico e jurídico. Restou demonstrado que a execução integral da obra por uma única empresa especializada, sem parcelamento do objeto, é a alternativa mais vantajosa para a Administração, por garantir coordenação técnica unificada, economia de escala, controle eficiente de prazos e qualidade, bem como responsabilização contratual clara e objetiva, em consonância com os princípios do planejamento, da eficiência, da economicidade e da segurança jurídica.</w:t>
      </w:r>
    </w:p>
    <w:p w14:paraId="44EAD1BC" w14:textId="0AD51A02" w:rsidR="0059715D" w:rsidRPr="00002DF3" w:rsidRDefault="0059715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14.4</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Sob o aspecto ambiental, verificou-se que a obra será executada em área urbana consolidada, com impactos ambientais pontuais e plenamente mitigáveis, estando previstas medidas adequadas de controle, monitoramento e adoção de práticas sustentáveis durante a execução, conforme detalhado nos capítulos específicos deste Estudo Técnico Preliminar.</w:t>
      </w:r>
    </w:p>
    <w:p w14:paraId="75607037" w14:textId="197ED8FC" w:rsidR="0059715D" w:rsidRPr="00002DF3" w:rsidRDefault="0059715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14.5</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No que se refere à viabilidade orçamentária e financeira, constatou-se que a contratação </w:t>
      </w:r>
      <w:proofErr w:type="gramStart"/>
      <w:r w:rsidRPr="00002DF3">
        <w:rPr>
          <w:rFonts w:ascii="Times New Roman" w:eastAsia="Arial Unicode MS" w:hAnsi="Times New Roman" w:cs="Times New Roman"/>
          <w:bCs/>
          <w:sz w:val="20"/>
        </w:rPr>
        <w:t>encontra-se</w:t>
      </w:r>
      <w:proofErr w:type="gramEnd"/>
      <w:r w:rsidRPr="00002DF3">
        <w:rPr>
          <w:rFonts w:ascii="Times New Roman" w:eastAsia="Arial Unicode MS" w:hAnsi="Times New Roman" w:cs="Times New Roman"/>
          <w:bCs/>
          <w:sz w:val="20"/>
        </w:rPr>
        <w:t xml:space="preserve"> alinha</w:t>
      </w:r>
      <w:r w:rsidR="00254015" w:rsidRPr="00002DF3">
        <w:rPr>
          <w:rFonts w:ascii="Times New Roman" w:eastAsia="Arial Unicode MS" w:hAnsi="Times New Roman" w:cs="Times New Roman"/>
          <w:bCs/>
          <w:sz w:val="20"/>
        </w:rPr>
        <w:t>da</w:t>
      </w:r>
      <w:r w:rsidRPr="00002DF3">
        <w:rPr>
          <w:rFonts w:ascii="Times New Roman" w:eastAsia="Arial Unicode MS" w:hAnsi="Times New Roman" w:cs="Times New Roman"/>
          <w:bCs/>
          <w:sz w:val="20"/>
        </w:rPr>
        <w:t xml:space="preserve"> ao planejamento municipal e custeio assegurado por recursos oriundos do Governo Federal, por meio do Ministério </w:t>
      </w:r>
      <w:r w:rsidRPr="00002DF3">
        <w:rPr>
          <w:rFonts w:ascii="Times New Roman" w:eastAsia="Arial Unicode MS" w:hAnsi="Times New Roman" w:cs="Times New Roman"/>
          <w:bCs/>
          <w:sz w:val="20"/>
        </w:rPr>
        <w:lastRenderedPageBreak/>
        <w:t>das Cidades, com compatibilidade entre o cronograma físico-financeiro da obra e o fluxo de liberação dos recursos, garantindo a regularidade da despesa e a continuidade da execução.</w:t>
      </w:r>
    </w:p>
    <w:p w14:paraId="738D9CAB" w14:textId="502FFBE8" w:rsidR="0059715D" w:rsidRPr="00002DF3" w:rsidRDefault="0059715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14.6</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Dessa forma, conclui-se que a contratação pretendida </w:t>
      </w:r>
      <w:proofErr w:type="gramStart"/>
      <w:r w:rsidRPr="00002DF3">
        <w:rPr>
          <w:rFonts w:ascii="Times New Roman" w:eastAsia="Arial Unicode MS" w:hAnsi="Times New Roman" w:cs="Times New Roman"/>
          <w:bCs/>
          <w:sz w:val="20"/>
        </w:rPr>
        <w:t>encontra-se</w:t>
      </w:r>
      <w:proofErr w:type="gramEnd"/>
      <w:r w:rsidRPr="00002DF3">
        <w:rPr>
          <w:rFonts w:ascii="Times New Roman" w:eastAsia="Arial Unicode MS" w:hAnsi="Times New Roman" w:cs="Times New Roman"/>
          <w:bCs/>
          <w:sz w:val="20"/>
        </w:rPr>
        <w:t xml:space="preserve"> plenamente justificada sob os aspectos técnico, administrativo, social, ambiental, orçamentário e legal, apresentando-se como medida estratégica para a promoção do direito social à moradia digna, para a redução das desigualdades sociais e para o desenvolvimento urbano ordenado do Município de Paverama.</w:t>
      </w:r>
    </w:p>
    <w:p w14:paraId="348A7312" w14:textId="33C45053" w:rsidR="008C0ACC" w:rsidRPr="00002DF3" w:rsidRDefault="0059715D" w:rsidP="00002DF3">
      <w:pPr>
        <w:spacing w:after="0" w:line="276" w:lineRule="auto"/>
        <w:jc w:val="both"/>
        <w:rPr>
          <w:rFonts w:ascii="Times New Roman" w:eastAsia="Arial Unicode MS" w:hAnsi="Times New Roman" w:cs="Times New Roman"/>
          <w:bCs/>
          <w:sz w:val="20"/>
        </w:rPr>
      </w:pPr>
      <w:r w:rsidRPr="00002DF3">
        <w:rPr>
          <w:rFonts w:ascii="Times New Roman" w:eastAsia="Arial Unicode MS" w:hAnsi="Times New Roman" w:cs="Times New Roman"/>
          <w:bCs/>
          <w:sz w:val="20"/>
        </w:rPr>
        <w:t>14.7</w:t>
      </w:r>
      <w:r w:rsidR="005D6994">
        <w:rPr>
          <w:rFonts w:ascii="Times New Roman" w:eastAsia="Arial Unicode MS" w:hAnsi="Times New Roman" w:cs="Times New Roman"/>
          <w:bCs/>
          <w:sz w:val="20"/>
        </w:rPr>
        <w:t>.</w:t>
      </w:r>
      <w:r w:rsidRPr="00002DF3">
        <w:rPr>
          <w:rFonts w:ascii="Times New Roman" w:eastAsia="Arial Unicode MS" w:hAnsi="Times New Roman" w:cs="Times New Roman"/>
          <w:bCs/>
          <w:sz w:val="20"/>
        </w:rPr>
        <w:t xml:space="preserve"> Diante do exposto, </w:t>
      </w:r>
      <w:r w:rsidR="00100C32" w:rsidRPr="00002DF3">
        <w:rPr>
          <w:rFonts w:ascii="Times New Roman" w:eastAsia="Arial Unicode MS" w:hAnsi="Times New Roman" w:cs="Times New Roman"/>
          <w:b/>
          <w:sz w:val="20"/>
        </w:rPr>
        <w:t xml:space="preserve">MANIFESTA-SE POSICIONAMENTO </w:t>
      </w:r>
      <w:r w:rsidR="00100C32" w:rsidRPr="00002DF3">
        <w:rPr>
          <w:rFonts w:ascii="Times New Roman" w:eastAsia="Arial Unicode MS" w:hAnsi="Times New Roman" w:cs="Times New Roman"/>
          <w:b/>
          <w:sz w:val="20"/>
          <w:u w:val="single"/>
        </w:rPr>
        <w:t>FAVORÁVEL</w:t>
      </w:r>
      <w:r w:rsidR="00100C32" w:rsidRPr="00002DF3">
        <w:rPr>
          <w:rFonts w:ascii="Times New Roman" w:eastAsia="Arial Unicode MS" w:hAnsi="Times New Roman" w:cs="Times New Roman"/>
          <w:b/>
          <w:sz w:val="20"/>
        </w:rPr>
        <w:t xml:space="preserve"> AO REGULAR PROSSEGUIMENTO DO PROCESSO DE CONTRATAÇÃO, DECLARANDO-SE A VIABILIDADE E A ADEQUAÇÃO DA SOLUÇÃO PROPOSTA</w:t>
      </w:r>
      <w:r w:rsidRPr="00002DF3">
        <w:rPr>
          <w:rFonts w:ascii="Times New Roman" w:eastAsia="Arial Unicode MS" w:hAnsi="Times New Roman" w:cs="Times New Roman"/>
          <w:bCs/>
          <w:sz w:val="20"/>
        </w:rPr>
        <w:t>. Em decorrência, deverá ser elaborado o respectivo Termo de Referência, com base neste Estudo Técnico Preliminar, a fim de dar continuidade à fase interna do procedimento.</w:t>
      </w:r>
    </w:p>
    <w:p w14:paraId="6BB34364" w14:textId="77777777" w:rsidR="00100C32" w:rsidRPr="00002DF3" w:rsidRDefault="00100C32" w:rsidP="00002DF3">
      <w:pPr>
        <w:spacing w:after="0" w:line="276" w:lineRule="auto"/>
        <w:jc w:val="both"/>
        <w:rPr>
          <w:rFonts w:ascii="Times New Roman" w:eastAsia="Arial Unicode MS" w:hAnsi="Times New Roman" w:cs="Times New Roman"/>
          <w:bCs/>
          <w:sz w:val="20"/>
        </w:rPr>
      </w:pPr>
    </w:p>
    <w:p w14:paraId="3E6D49B6" w14:textId="77777777" w:rsidR="006E786C" w:rsidRPr="00002DF3" w:rsidRDefault="006E786C"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b/>
          <w:sz w:val="20"/>
        </w:rPr>
        <w:t>15</w:t>
      </w:r>
      <w:r w:rsidR="00C97D9E" w:rsidRPr="00002DF3">
        <w:rPr>
          <w:rFonts w:ascii="Times New Roman" w:eastAsia="Arial Unicode MS" w:hAnsi="Times New Roman" w:cs="Times New Roman"/>
          <w:b/>
          <w:sz w:val="20"/>
        </w:rPr>
        <w:t>.</w:t>
      </w:r>
      <w:r w:rsidRPr="00002DF3">
        <w:rPr>
          <w:rFonts w:ascii="Times New Roman" w:eastAsia="Arial Unicode MS" w:hAnsi="Times New Roman" w:cs="Times New Roman"/>
          <w:b/>
          <w:sz w:val="20"/>
        </w:rPr>
        <w:t xml:space="preserve"> ANEXOS:</w:t>
      </w:r>
      <w:r w:rsidRPr="00002DF3">
        <w:rPr>
          <w:rFonts w:ascii="Times New Roman" w:eastAsia="Arial Unicode MS" w:hAnsi="Times New Roman" w:cs="Times New Roman"/>
          <w:sz w:val="20"/>
        </w:rPr>
        <w:t xml:space="preserve"> </w:t>
      </w:r>
    </w:p>
    <w:p w14:paraId="5750911C" w14:textId="7F279328" w:rsidR="00354CE2" w:rsidRPr="00002DF3" w:rsidRDefault="00354CE2" w:rsidP="00002DF3">
      <w:pPr>
        <w:spacing w:after="0" w:line="276" w:lineRule="auto"/>
        <w:jc w:val="both"/>
        <w:rPr>
          <w:rFonts w:ascii="Times New Roman" w:eastAsia="Arial Unicode MS" w:hAnsi="Times New Roman" w:cs="Times New Roman"/>
          <w:sz w:val="20"/>
        </w:rPr>
      </w:pPr>
      <w:r w:rsidRPr="00002DF3">
        <w:rPr>
          <w:rFonts w:ascii="Times New Roman" w:eastAsia="Arial Unicode MS" w:hAnsi="Times New Roman" w:cs="Times New Roman"/>
          <w:sz w:val="20"/>
        </w:rPr>
        <w:t>15.1 Integram o presente Estudo Técnico Preliminar, para viabilização da contratação e adequada compreensão da solução proposta, os seguintes documentos técnicos:</w:t>
      </w:r>
    </w:p>
    <w:p w14:paraId="53FBE69C" w14:textId="59247587" w:rsidR="00354CE2" w:rsidRPr="00002DF3" w:rsidRDefault="00354CE2" w:rsidP="00002DF3">
      <w:pPr>
        <w:spacing w:after="0" w:line="276" w:lineRule="auto"/>
        <w:ind w:firstLine="708"/>
        <w:jc w:val="both"/>
        <w:rPr>
          <w:rFonts w:ascii="Times New Roman" w:eastAsia="Arial Unicode MS" w:hAnsi="Times New Roman" w:cs="Times New Roman"/>
          <w:b/>
          <w:bCs/>
          <w:sz w:val="20"/>
        </w:rPr>
      </w:pPr>
      <w:r w:rsidRPr="00002DF3">
        <w:rPr>
          <w:rFonts w:ascii="Times New Roman" w:eastAsia="Arial Unicode MS" w:hAnsi="Times New Roman" w:cs="Times New Roman"/>
          <w:b/>
          <w:bCs/>
          <w:sz w:val="20"/>
        </w:rPr>
        <w:t xml:space="preserve">– PROJETO BÁSICO: </w:t>
      </w:r>
    </w:p>
    <w:p w14:paraId="2C662A91" w14:textId="0D4A3F8C"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M</w:t>
      </w:r>
      <w:r w:rsidR="00354CE2" w:rsidRPr="00002DF3">
        <w:rPr>
          <w:rFonts w:ascii="Times New Roman" w:eastAsia="Arial Unicode MS" w:hAnsi="Times New Roman" w:cs="Times New Roman"/>
          <w:sz w:val="20"/>
        </w:rPr>
        <w:t>emorial Descritivo – especificação técnica dos serviços, materiais e métodos construtivos;</w:t>
      </w:r>
    </w:p>
    <w:p w14:paraId="667BB804" w14:textId="74748498"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Planilha Orçamentária – estimativa de custos por item e etapa da obra;</w:t>
      </w:r>
    </w:p>
    <w:p w14:paraId="334F6C43" w14:textId="350FB7E7"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Planilha de Levantamento de Quantidades – discriminação dos quantitativos dos serviços e insumos;</w:t>
      </w:r>
    </w:p>
    <w:p w14:paraId="08F91505" w14:textId="370ED5FC"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Cronograma Físico-Financeiro – programação das etapas da obra e respectivos desembolsos;</w:t>
      </w:r>
    </w:p>
    <w:p w14:paraId="56A809A7" w14:textId="4F33FFCF"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Cronograma Previsto (PLE) – planejamento preliminar das fases e prazos do empreendimento;</w:t>
      </w:r>
    </w:p>
    <w:p w14:paraId="07872549" w14:textId="18E98B2F"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Quadro de Composição de Investimentos – consolidação dos valores previstos por grupo de serviços;</w:t>
      </w:r>
    </w:p>
    <w:p w14:paraId="66AE1E49" w14:textId="528D3B87"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Composição de Custos – detalhamento dos custos unitários de insumos, mão de obra e equipamentos;</w:t>
      </w:r>
    </w:p>
    <w:p w14:paraId="40CCBC46" w14:textId="0F317F64"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w:t>
      </w:r>
      <w:r w:rsidR="00354CE2" w:rsidRPr="00002DF3">
        <w:rPr>
          <w:rFonts w:ascii="Times New Roman" w:eastAsia="Arial Unicode MS" w:hAnsi="Times New Roman" w:cs="Times New Roman"/>
          <w:sz w:val="20"/>
        </w:rPr>
        <w:t xml:space="preserve"> Cotações – referências de mercado utilizadas para apoio à estimativa de preços;</w:t>
      </w:r>
    </w:p>
    <w:p w14:paraId="095F9689" w14:textId="78F0CE88"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Quadro de Composição do BDI – demonstrativo dos benefícios e despesas indiretas aplicáveis;</w:t>
      </w:r>
    </w:p>
    <w:p w14:paraId="331EB5BA" w14:textId="493021E1"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Agrupadores de Eventos – organização das etapas e marcos da execução para fins de controle;</w:t>
      </w:r>
    </w:p>
    <w:p w14:paraId="59CB117A" w14:textId="569092EC" w:rsidR="00354CE2" w:rsidRPr="00002DF3" w:rsidRDefault="005D6994" w:rsidP="00002DF3">
      <w:pPr>
        <w:spacing w:after="0" w:line="276" w:lineRule="auto"/>
        <w:jc w:val="both"/>
        <w:rPr>
          <w:rFonts w:ascii="Times New Roman" w:eastAsia="Arial Unicode MS" w:hAnsi="Times New Roman" w:cs="Times New Roman"/>
          <w:sz w:val="20"/>
        </w:rPr>
      </w:pPr>
      <w:r>
        <w:rPr>
          <w:rFonts w:ascii="Times New Roman" w:eastAsia="Arial Unicode MS" w:hAnsi="Times New Roman" w:cs="Times New Roman"/>
          <w:sz w:val="20"/>
        </w:rPr>
        <w:tab/>
      </w:r>
      <w:r w:rsidR="00100C32" w:rsidRPr="00002DF3">
        <w:rPr>
          <w:rFonts w:ascii="Times New Roman" w:eastAsia="Arial Unicode MS" w:hAnsi="Times New Roman" w:cs="Times New Roman"/>
          <w:sz w:val="20"/>
        </w:rPr>
        <w:t xml:space="preserve">- </w:t>
      </w:r>
      <w:r w:rsidR="00354CE2" w:rsidRPr="00002DF3">
        <w:rPr>
          <w:rFonts w:ascii="Times New Roman" w:eastAsia="Arial Unicode MS" w:hAnsi="Times New Roman" w:cs="Times New Roman"/>
          <w:sz w:val="20"/>
        </w:rPr>
        <w:t>Plantas Básicas – desenhos técnicos de implantação, layout e concepção geral da obra.</w:t>
      </w:r>
    </w:p>
    <w:p w14:paraId="30CA59CA" w14:textId="203753D2" w:rsidR="00354CE2" w:rsidRPr="00002DF3" w:rsidRDefault="00354CE2" w:rsidP="00002DF3">
      <w:pPr>
        <w:spacing w:after="0" w:line="276" w:lineRule="auto"/>
        <w:ind w:firstLine="708"/>
        <w:jc w:val="both"/>
        <w:rPr>
          <w:rFonts w:ascii="Times New Roman" w:eastAsia="Arial Unicode MS" w:hAnsi="Times New Roman" w:cs="Times New Roman"/>
          <w:b/>
          <w:bCs/>
          <w:sz w:val="20"/>
        </w:rPr>
      </w:pPr>
      <w:r w:rsidRPr="00002DF3">
        <w:rPr>
          <w:rFonts w:ascii="Times New Roman" w:eastAsia="Arial Unicode MS" w:hAnsi="Times New Roman" w:cs="Times New Roman"/>
          <w:b/>
          <w:bCs/>
          <w:sz w:val="20"/>
        </w:rPr>
        <w:t>– PROJETO EXECUTIVO:</w:t>
      </w:r>
    </w:p>
    <w:p w14:paraId="0F833CA0" w14:textId="3EE94459" w:rsidR="00354CE2" w:rsidRPr="00002DF3" w:rsidRDefault="00354CE2"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a)</w:t>
      </w:r>
      <w:r w:rsidR="00100C32" w:rsidRPr="00002DF3">
        <w:rPr>
          <w:rFonts w:ascii="Times New Roman" w:eastAsia="Arial Unicode MS" w:hAnsi="Times New Roman" w:cs="Times New Roman"/>
          <w:sz w:val="20"/>
        </w:rPr>
        <w:t xml:space="preserve"> </w:t>
      </w:r>
      <w:r w:rsidRPr="00002DF3">
        <w:rPr>
          <w:rFonts w:ascii="Times New Roman" w:eastAsia="Arial Unicode MS" w:hAnsi="Times New Roman" w:cs="Times New Roman"/>
          <w:sz w:val="20"/>
        </w:rPr>
        <w:t>Plantas Executivas – desenhos técnicos completos, contendo dimensões, cortes, detalhes construtivos e especificações finais;</w:t>
      </w:r>
    </w:p>
    <w:p w14:paraId="38B9860A" w14:textId="77777777" w:rsidR="00354CE2" w:rsidRPr="00002DF3" w:rsidRDefault="00354CE2" w:rsidP="00002DF3">
      <w:pPr>
        <w:spacing w:after="0" w:line="276" w:lineRule="auto"/>
        <w:ind w:firstLine="709"/>
        <w:jc w:val="both"/>
        <w:rPr>
          <w:rFonts w:ascii="Times New Roman" w:eastAsia="Arial Unicode MS" w:hAnsi="Times New Roman" w:cs="Times New Roman"/>
          <w:sz w:val="20"/>
        </w:rPr>
      </w:pPr>
      <w:r w:rsidRPr="00002DF3">
        <w:rPr>
          <w:rFonts w:ascii="Times New Roman" w:eastAsia="Arial Unicode MS" w:hAnsi="Times New Roman" w:cs="Times New Roman"/>
          <w:sz w:val="20"/>
        </w:rPr>
        <w:t>b) Detalhamentos Técnicos Complementares – informações adicionais indispensáveis à perfeita execução dos serviços.</w:t>
      </w:r>
    </w:p>
    <w:p w14:paraId="32B1E38D" w14:textId="46F7C0BC" w:rsidR="00354CE2" w:rsidRPr="00002DF3" w:rsidRDefault="00354CE2" w:rsidP="00002DF3">
      <w:pPr>
        <w:spacing w:after="0" w:line="276" w:lineRule="auto"/>
        <w:jc w:val="both"/>
        <w:rPr>
          <w:rFonts w:ascii="Times New Roman" w:eastAsia="Arial Unicode MS" w:hAnsi="Times New Roman" w:cs="Times New Roman"/>
          <w:b/>
          <w:bCs/>
          <w:sz w:val="20"/>
        </w:rPr>
      </w:pPr>
      <w:r w:rsidRPr="00002DF3">
        <w:rPr>
          <w:rFonts w:ascii="Times New Roman" w:eastAsia="Arial Unicode MS" w:hAnsi="Times New Roman" w:cs="Times New Roman"/>
          <w:sz w:val="20"/>
        </w:rPr>
        <w:tab/>
      </w:r>
      <w:r w:rsidRPr="00002DF3">
        <w:rPr>
          <w:rFonts w:ascii="Times New Roman" w:eastAsia="Arial Unicode MS" w:hAnsi="Times New Roman" w:cs="Times New Roman"/>
          <w:b/>
          <w:bCs/>
          <w:sz w:val="20"/>
        </w:rPr>
        <w:t xml:space="preserve">- TERMO DE REFERÊNCIA; </w:t>
      </w:r>
      <w:r w:rsidR="005D6994">
        <w:rPr>
          <w:rFonts w:ascii="Times New Roman" w:eastAsia="Arial Unicode MS" w:hAnsi="Times New Roman" w:cs="Times New Roman"/>
          <w:b/>
          <w:bCs/>
          <w:sz w:val="20"/>
        </w:rPr>
        <w:t>e</w:t>
      </w:r>
    </w:p>
    <w:p w14:paraId="061D5950" w14:textId="38EDE69A" w:rsidR="00354CE2" w:rsidRPr="00002DF3" w:rsidRDefault="00354CE2" w:rsidP="00002DF3">
      <w:pPr>
        <w:spacing w:after="0" w:line="276" w:lineRule="auto"/>
        <w:jc w:val="both"/>
        <w:rPr>
          <w:rFonts w:ascii="Times New Roman" w:eastAsia="Arial Unicode MS" w:hAnsi="Times New Roman" w:cs="Times New Roman"/>
          <w:b/>
          <w:bCs/>
          <w:sz w:val="20"/>
        </w:rPr>
      </w:pPr>
      <w:r w:rsidRPr="00002DF3">
        <w:rPr>
          <w:rFonts w:ascii="Times New Roman" w:eastAsia="Arial Unicode MS" w:hAnsi="Times New Roman" w:cs="Times New Roman"/>
          <w:b/>
          <w:bCs/>
          <w:sz w:val="20"/>
        </w:rPr>
        <w:tab/>
        <w:t>- MATRIZ DE RISCOS.</w:t>
      </w:r>
    </w:p>
    <w:p w14:paraId="18FB9EA1" w14:textId="77777777" w:rsidR="00354CE2" w:rsidRPr="00002DF3" w:rsidRDefault="00354CE2" w:rsidP="00002DF3">
      <w:pPr>
        <w:spacing w:after="0" w:line="276" w:lineRule="auto"/>
        <w:jc w:val="both"/>
        <w:rPr>
          <w:rFonts w:ascii="Times New Roman" w:eastAsia="Arial Unicode MS" w:hAnsi="Times New Roman" w:cs="Times New Roman"/>
          <w:sz w:val="20"/>
        </w:rPr>
      </w:pPr>
    </w:p>
    <w:p w14:paraId="02BA04AC" w14:textId="05975099" w:rsidR="008C0ACC" w:rsidRPr="00002DF3" w:rsidRDefault="008C0ACC" w:rsidP="00002DF3">
      <w:pPr>
        <w:spacing w:after="0" w:line="276" w:lineRule="auto"/>
        <w:jc w:val="both"/>
        <w:rPr>
          <w:rFonts w:ascii="Times New Roman" w:eastAsia="Arial Unicode MS" w:hAnsi="Times New Roman" w:cs="Times New Roman"/>
          <w:b/>
          <w:sz w:val="20"/>
        </w:rPr>
      </w:pPr>
      <w:r w:rsidRPr="00002DF3">
        <w:rPr>
          <w:rFonts w:ascii="Times New Roman" w:eastAsia="Arial Unicode MS" w:hAnsi="Times New Roman" w:cs="Times New Roman"/>
          <w:b/>
          <w:sz w:val="20"/>
        </w:rPr>
        <w:t>1</w:t>
      </w:r>
      <w:r w:rsidR="00C026FA" w:rsidRPr="00002DF3">
        <w:rPr>
          <w:rFonts w:ascii="Times New Roman" w:eastAsia="Arial Unicode MS" w:hAnsi="Times New Roman" w:cs="Times New Roman"/>
          <w:b/>
          <w:sz w:val="20"/>
        </w:rPr>
        <w:t>6.</w:t>
      </w:r>
      <w:r w:rsidRPr="00002DF3">
        <w:rPr>
          <w:rFonts w:ascii="Times New Roman" w:eastAsia="Arial Unicode MS" w:hAnsi="Times New Roman" w:cs="Times New Roman"/>
          <w:b/>
          <w:sz w:val="20"/>
        </w:rPr>
        <w:t xml:space="preserve"> RESPONSÁVEL: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834"/>
        <w:gridCol w:w="2835"/>
        <w:gridCol w:w="1836"/>
      </w:tblGrid>
      <w:tr w:rsidR="008C0ACC" w:rsidRPr="00002DF3" w14:paraId="001F208B" w14:textId="77777777" w:rsidTr="00565429">
        <w:tc>
          <w:tcPr>
            <w:tcW w:w="1556" w:type="dxa"/>
            <w:vMerge w:val="restart"/>
            <w:vAlign w:val="center"/>
            <w:hideMark/>
          </w:tcPr>
          <w:p w14:paraId="3551DF0D" w14:textId="77777777" w:rsidR="008C0ACC" w:rsidRPr="00002DF3" w:rsidRDefault="008C0ACC" w:rsidP="00002DF3">
            <w:pPr>
              <w:spacing w:after="0" w:line="276" w:lineRule="auto"/>
              <w:jc w:val="center"/>
              <w:rPr>
                <w:rFonts w:ascii="Times New Roman" w:eastAsia="Arial Unicode MS" w:hAnsi="Times New Roman" w:cs="Times New Roman"/>
                <w:b/>
                <w:bCs/>
                <w:sz w:val="20"/>
              </w:rPr>
            </w:pPr>
            <w:r w:rsidRPr="00002DF3">
              <w:rPr>
                <w:rFonts w:ascii="Times New Roman" w:eastAsia="Arial Unicode MS" w:hAnsi="Times New Roman" w:cs="Times New Roman"/>
                <w:b/>
                <w:bCs/>
                <w:sz w:val="20"/>
              </w:rPr>
              <w:t>Responsáveis pelo Estudo:</w:t>
            </w:r>
          </w:p>
        </w:tc>
        <w:tc>
          <w:tcPr>
            <w:tcW w:w="2834" w:type="dxa"/>
            <w:vAlign w:val="center"/>
          </w:tcPr>
          <w:p w14:paraId="20E6C1C8" w14:textId="77777777" w:rsidR="008C0ACC" w:rsidRPr="00002DF3" w:rsidRDefault="008C0ACC" w:rsidP="00002DF3">
            <w:pPr>
              <w:spacing w:after="0" w:line="276" w:lineRule="auto"/>
              <w:rPr>
                <w:rFonts w:ascii="Times New Roman" w:eastAsia="Arial Unicode MS" w:hAnsi="Times New Roman" w:cs="Times New Roman"/>
                <w:sz w:val="20"/>
              </w:rPr>
            </w:pPr>
            <w:proofErr w:type="spellStart"/>
            <w:r w:rsidRPr="00002DF3">
              <w:rPr>
                <w:rFonts w:ascii="Times New Roman" w:eastAsia="Arial Unicode MS" w:hAnsi="Times New Roman" w:cs="Times New Roman"/>
                <w:sz w:val="20"/>
              </w:rPr>
              <w:t>Ueslei</w:t>
            </w:r>
            <w:proofErr w:type="spellEnd"/>
            <w:r w:rsidRPr="00002DF3">
              <w:rPr>
                <w:rFonts w:ascii="Times New Roman" w:eastAsia="Arial Unicode MS" w:hAnsi="Times New Roman" w:cs="Times New Roman"/>
                <w:sz w:val="20"/>
              </w:rPr>
              <w:t xml:space="preserve"> José Garcia</w:t>
            </w:r>
          </w:p>
        </w:tc>
        <w:tc>
          <w:tcPr>
            <w:tcW w:w="2835" w:type="dxa"/>
            <w:vAlign w:val="center"/>
          </w:tcPr>
          <w:p w14:paraId="4FA4C7C8" w14:textId="77777777" w:rsidR="008C0ACC" w:rsidRPr="00002DF3" w:rsidRDefault="008C0ACC" w:rsidP="00002DF3">
            <w:pPr>
              <w:spacing w:after="0" w:line="276" w:lineRule="auto"/>
              <w:rPr>
                <w:rFonts w:ascii="Times New Roman" w:eastAsia="Arial Unicode MS" w:hAnsi="Times New Roman" w:cs="Times New Roman"/>
                <w:sz w:val="20"/>
              </w:rPr>
            </w:pPr>
            <w:r w:rsidRPr="00002DF3">
              <w:rPr>
                <w:rFonts w:ascii="Times New Roman" w:eastAsia="Arial Unicode MS" w:hAnsi="Times New Roman" w:cs="Times New Roman"/>
                <w:sz w:val="20"/>
              </w:rPr>
              <w:t>Chefe do Setor de Compras</w:t>
            </w:r>
          </w:p>
        </w:tc>
        <w:tc>
          <w:tcPr>
            <w:tcW w:w="1836" w:type="dxa"/>
            <w:vAlign w:val="center"/>
            <w:hideMark/>
          </w:tcPr>
          <w:p w14:paraId="7F913159" w14:textId="77777777" w:rsidR="008C0ACC" w:rsidRPr="00002DF3" w:rsidRDefault="008C0ACC" w:rsidP="00002DF3">
            <w:pPr>
              <w:spacing w:after="0" w:line="276" w:lineRule="auto"/>
              <w:jc w:val="center"/>
              <w:rPr>
                <w:rFonts w:ascii="Times New Roman" w:eastAsia="Arial Unicode MS" w:hAnsi="Times New Roman" w:cs="Times New Roman"/>
                <w:sz w:val="20"/>
              </w:rPr>
            </w:pPr>
            <w:r w:rsidRPr="00002DF3">
              <w:rPr>
                <w:rFonts w:ascii="Times New Roman" w:eastAsia="Arial Unicode MS" w:hAnsi="Times New Roman" w:cs="Times New Roman"/>
                <w:b/>
                <w:bCs/>
                <w:sz w:val="20"/>
              </w:rPr>
              <w:t>Matrícula:</w:t>
            </w:r>
            <w:r w:rsidRPr="00002DF3">
              <w:rPr>
                <w:rFonts w:ascii="Times New Roman" w:eastAsia="Arial Unicode MS" w:hAnsi="Times New Roman" w:cs="Times New Roman"/>
                <w:sz w:val="20"/>
              </w:rPr>
              <w:t xml:space="preserve"> 1449</w:t>
            </w:r>
          </w:p>
        </w:tc>
      </w:tr>
      <w:tr w:rsidR="008C0ACC" w:rsidRPr="00002DF3" w14:paraId="33DC44F5" w14:textId="77777777" w:rsidTr="00565429">
        <w:tc>
          <w:tcPr>
            <w:tcW w:w="1556" w:type="dxa"/>
            <w:vMerge/>
            <w:vAlign w:val="center"/>
          </w:tcPr>
          <w:p w14:paraId="453015B0" w14:textId="77777777" w:rsidR="008C0ACC" w:rsidRPr="00002DF3" w:rsidRDefault="008C0ACC" w:rsidP="00002DF3">
            <w:pPr>
              <w:spacing w:after="0" w:line="276" w:lineRule="auto"/>
              <w:jc w:val="center"/>
              <w:rPr>
                <w:rFonts w:ascii="Times New Roman" w:eastAsia="Arial Unicode MS" w:hAnsi="Times New Roman" w:cs="Times New Roman"/>
                <w:sz w:val="20"/>
              </w:rPr>
            </w:pPr>
          </w:p>
        </w:tc>
        <w:tc>
          <w:tcPr>
            <w:tcW w:w="2834" w:type="dxa"/>
            <w:vAlign w:val="center"/>
          </w:tcPr>
          <w:p w14:paraId="60BCECAF" w14:textId="77777777" w:rsidR="008C0ACC" w:rsidRPr="00002DF3" w:rsidRDefault="008C0ACC" w:rsidP="00002DF3">
            <w:pPr>
              <w:spacing w:after="0" w:line="276" w:lineRule="auto"/>
              <w:rPr>
                <w:rFonts w:ascii="Times New Roman" w:eastAsia="Arial Unicode MS" w:hAnsi="Times New Roman" w:cs="Times New Roman"/>
                <w:sz w:val="20"/>
              </w:rPr>
            </w:pPr>
            <w:r w:rsidRPr="00002DF3">
              <w:rPr>
                <w:rFonts w:ascii="Times New Roman" w:eastAsia="Arial Unicode MS" w:hAnsi="Times New Roman" w:cs="Times New Roman"/>
                <w:sz w:val="20"/>
              </w:rPr>
              <w:t>Frederico da Silva Pacheco</w:t>
            </w:r>
          </w:p>
        </w:tc>
        <w:tc>
          <w:tcPr>
            <w:tcW w:w="2835" w:type="dxa"/>
            <w:vAlign w:val="center"/>
          </w:tcPr>
          <w:p w14:paraId="4AD0E571" w14:textId="77777777" w:rsidR="008C0ACC" w:rsidRPr="00002DF3" w:rsidRDefault="008C0ACC" w:rsidP="00002DF3">
            <w:pPr>
              <w:spacing w:after="0" w:line="276" w:lineRule="auto"/>
              <w:rPr>
                <w:rFonts w:ascii="Times New Roman" w:eastAsia="Arial Unicode MS" w:hAnsi="Times New Roman" w:cs="Times New Roman"/>
                <w:sz w:val="20"/>
              </w:rPr>
            </w:pPr>
            <w:r w:rsidRPr="00002DF3">
              <w:rPr>
                <w:rFonts w:ascii="Times New Roman" w:eastAsia="Arial Unicode MS" w:hAnsi="Times New Roman" w:cs="Times New Roman"/>
                <w:sz w:val="20"/>
              </w:rPr>
              <w:t>Estagiário</w:t>
            </w:r>
          </w:p>
        </w:tc>
        <w:tc>
          <w:tcPr>
            <w:tcW w:w="1836" w:type="dxa"/>
            <w:vAlign w:val="center"/>
          </w:tcPr>
          <w:p w14:paraId="4AFF0128" w14:textId="77777777" w:rsidR="008C0ACC" w:rsidRPr="00002DF3" w:rsidRDefault="008C0ACC" w:rsidP="00002DF3">
            <w:pPr>
              <w:spacing w:after="0" w:line="276" w:lineRule="auto"/>
              <w:jc w:val="center"/>
              <w:rPr>
                <w:rFonts w:ascii="Times New Roman" w:eastAsia="Arial Unicode MS" w:hAnsi="Times New Roman" w:cs="Times New Roman"/>
                <w:sz w:val="20"/>
              </w:rPr>
            </w:pPr>
            <w:r w:rsidRPr="00002DF3">
              <w:rPr>
                <w:rFonts w:ascii="Times New Roman" w:eastAsia="Arial Unicode MS" w:hAnsi="Times New Roman" w:cs="Times New Roman"/>
                <w:b/>
                <w:bCs/>
                <w:sz w:val="20"/>
              </w:rPr>
              <w:t>Matrícula:</w:t>
            </w:r>
            <w:r w:rsidRPr="00002DF3">
              <w:rPr>
                <w:rFonts w:ascii="Times New Roman" w:eastAsia="Arial Unicode MS" w:hAnsi="Times New Roman" w:cs="Times New Roman"/>
                <w:sz w:val="20"/>
              </w:rPr>
              <w:t xml:space="preserve"> 1972</w:t>
            </w:r>
          </w:p>
        </w:tc>
      </w:tr>
      <w:tr w:rsidR="008C0ACC" w:rsidRPr="00002DF3" w14:paraId="027AA8A3" w14:textId="77777777" w:rsidTr="00565429">
        <w:trPr>
          <w:trHeight w:val="70"/>
        </w:trPr>
        <w:tc>
          <w:tcPr>
            <w:tcW w:w="4390" w:type="dxa"/>
            <w:gridSpan w:val="2"/>
            <w:vAlign w:val="center"/>
            <w:hideMark/>
          </w:tcPr>
          <w:p w14:paraId="244E3449" w14:textId="77777777" w:rsidR="008C0ACC" w:rsidRPr="00002DF3" w:rsidRDefault="008C0ACC" w:rsidP="00002DF3">
            <w:pPr>
              <w:spacing w:after="0" w:line="276" w:lineRule="auto"/>
              <w:jc w:val="center"/>
              <w:rPr>
                <w:rFonts w:ascii="Times New Roman" w:eastAsia="Arial Unicode MS" w:hAnsi="Times New Roman" w:cs="Times New Roman"/>
                <w:sz w:val="20"/>
              </w:rPr>
            </w:pPr>
            <w:r w:rsidRPr="00002DF3">
              <w:rPr>
                <w:rFonts w:ascii="Times New Roman" w:eastAsia="Arial Unicode MS" w:hAnsi="Times New Roman" w:cs="Times New Roman"/>
                <w:b/>
                <w:bCs/>
                <w:sz w:val="20"/>
              </w:rPr>
              <w:t>E-mail:</w:t>
            </w:r>
            <w:r w:rsidRPr="00002DF3">
              <w:rPr>
                <w:rFonts w:ascii="Times New Roman" w:eastAsia="Arial Unicode MS" w:hAnsi="Times New Roman" w:cs="Times New Roman"/>
                <w:sz w:val="20"/>
              </w:rPr>
              <w:t xml:space="preserve"> compras@paverama.rs.gov.br</w:t>
            </w:r>
          </w:p>
        </w:tc>
        <w:tc>
          <w:tcPr>
            <w:tcW w:w="4671" w:type="dxa"/>
            <w:gridSpan w:val="2"/>
            <w:vAlign w:val="center"/>
          </w:tcPr>
          <w:p w14:paraId="6738A0B8" w14:textId="77777777" w:rsidR="008C0ACC" w:rsidRPr="00002DF3" w:rsidRDefault="008C0ACC" w:rsidP="00002DF3">
            <w:pPr>
              <w:spacing w:after="0" w:line="276" w:lineRule="auto"/>
              <w:jc w:val="center"/>
              <w:rPr>
                <w:rFonts w:ascii="Times New Roman" w:eastAsia="Arial Unicode MS" w:hAnsi="Times New Roman" w:cs="Times New Roman"/>
                <w:sz w:val="20"/>
              </w:rPr>
            </w:pPr>
            <w:r w:rsidRPr="00002DF3">
              <w:rPr>
                <w:rFonts w:ascii="Times New Roman" w:eastAsia="Arial Unicode MS" w:hAnsi="Times New Roman" w:cs="Times New Roman"/>
                <w:b/>
                <w:bCs/>
                <w:sz w:val="20"/>
              </w:rPr>
              <w:t>Fone:</w:t>
            </w:r>
            <w:r w:rsidRPr="00002DF3">
              <w:rPr>
                <w:rFonts w:ascii="Times New Roman" w:eastAsia="Arial Unicode MS" w:hAnsi="Times New Roman" w:cs="Times New Roman"/>
                <w:sz w:val="20"/>
              </w:rPr>
              <w:t xml:space="preserve"> (51) 3761-1044</w:t>
            </w:r>
          </w:p>
        </w:tc>
      </w:tr>
    </w:tbl>
    <w:p w14:paraId="36A41702" w14:textId="77777777" w:rsidR="008C0ACC" w:rsidRPr="00002DF3" w:rsidRDefault="008C0ACC" w:rsidP="00002DF3">
      <w:pPr>
        <w:spacing w:after="0" w:line="276" w:lineRule="auto"/>
        <w:ind w:firstLine="708"/>
        <w:jc w:val="both"/>
        <w:rPr>
          <w:rFonts w:ascii="Times New Roman" w:eastAsia="Arial Unicode MS" w:hAnsi="Times New Roman" w:cs="Times New Roman"/>
          <w:sz w:val="20"/>
        </w:rPr>
      </w:pPr>
    </w:p>
    <w:p w14:paraId="50137E7F" w14:textId="19B47CE9" w:rsidR="008C0ACC" w:rsidRPr="00002DF3" w:rsidRDefault="008C0ACC" w:rsidP="00002DF3">
      <w:pPr>
        <w:spacing w:after="0" w:line="276" w:lineRule="auto"/>
        <w:ind w:firstLine="708"/>
        <w:jc w:val="both"/>
        <w:rPr>
          <w:rFonts w:ascii="Times New Roman" w:eastAsia="Arial Unicode MS" w:hAnsi="Times New Roman" w:cs="Times New Roman"/>
          <w:sz w:val="20"/>
        </w:rPr>
      </w:pPr>
      <w:r w:rsidRPr="00002DF3">
        <w:rPr>
          <w:rFonts w:ascii="Times New Roman" w:eastAsia="Arial Unicode MS" w:hAnsi="Times New Roman" w:cs="Times New Roman"/>
          <w:sz w:val="20"/>
        </w:rPr>
        <w:t>Realizadas as tarefas pertinentes ao ETP, encaminho o documento solicitando ciência e aprovação para posterior elaboração do Termo de Referência.</w:t>
      </w:r>
    </w:p>
    <w:p w14:paraId="16E8A5A8" w14:textId="77777777" w:rsidR="008C0ACC" w:rsidRPr="00002DF3" w:rsidRDefault="008C0ACC" w:rsidP="00002DF3">
      <w:pPr>
        <w:spacing w:after="0" w:line="276" w:lineRule="auto"/>
        <w:jc w:val="both"/>
        <w:rPr>
          <w:rFonts w:ascii="Times New Roman" w:eastAsia="Arial Unicode MS" w:hAnsi="Times New Roman" w:cs="Times New Roman"/>
          <w:sz w:val="20"/>
        </w:rPr>
      </w:pPr>
    </w:p>
    <w:p w14:paraId="7627D780" w14:textId="43EF03AF" w:rsidR="008C0ACC" w:rsidRPr="00002DF3" w:rsidRDefault="008C0ACC" w:rsidP="00002DF3">
      <w:pPr>
        <w:spacing w:after="0" w:line="276" w:lineRule="auto"/>
        <w:jc w:val="center"/>
        <w:rPr>
          <w:rFonts w:ascii="Times New Roman" w:eastAsia="Arial Unicode MS" w:hAnsi="Times New Roman" w:cs="Times New Roman"/>
          <w:sz w:val="20"/>
        </w:rPr>
      </w:pPr>
      <w:r w:rsidRPr="00002DF3">
        <w:rPr>
          <w:rFonts w:ascii="Times New Roman" w:eastAsia="Arial Unicode MS" w:hAnsi="Times New Roman" w:cs="Times New Roman"/>
          <w:sz w:val="20"/>
        </w:rPr>
        <w:t xml:space="preserve">Paverama/RS, </w:t>
      </w:r>
      <w:r w:rsidR="00354CE2" w:rsidRPr="00002DF3">
        <w:rPr>
          <w:rFonts w:ascii="Times New Roman" w:eastAsia="Arial Unicode MS" w:hAnsi="Times New Roman" w:cs="Times New Roman"/>
          <w:sz w:val="20"/>
        </w:rPr>
        <w:t xml:space="preserve">03 </w:t>
      </w:r>
      <w:r w:rsidRPr="00002DF3">
        <w:rPr>
          <w:rFonts w:ascii="Times New Roman" w:eastAsia="Arial Unicode MS" w:hAnsi="Times New Roman" w:cs="Times New Roman"/>
          <w:sz w:val="20"/>
        </w:rPr>
        <w:t xml:space="preserve">de </w:t>
      </w:r>
      <w:r w:rsidR="00354CE2" w:rsidRPr="00002DF3">
        <w:rPr>
          <w:rFonts w:ascii="Times New Roman" w:eastAsia="Arial Unicode MS" w:hAnsi="Times New Roman" w:cs="Times New Roman"/>
          <w:sz w:val="20"/>
        </w:rPr>
        <w:t>feverei</w:t>
      </w:r>
      <w:r w:rsidRPr="00002DF3">
        <w:rPr>
          <w:rFonts w:ascii="Times New Roman" w:eastAsia="Arial Unicode MS" w:hAnsi="Times New Roman" w:cs="Times New Roman"/>
          <w:sz w:val="20"/>
        </w:rPr>
        <w:t>ro de 202</w:t>
      </w:r>
      <w:r w:rsidR="00354CE2" w:rsidRPr="00002DF3">
        <w:rPr>
          <w:rFonts w:ascii="Times New Roman" w:eastAsia="Arial Unicode MS" w:hAnsi="Times New Roman" w:cs="Times New Roman"/>
          <w:sz w:val="20"/>
        </w:rPr>
        <w:t>6</w:t>
      </w:r>
      <w:r w:rsidRPr="00002DF3">
        <w:rPr>
          <w:rFonts w:ascii="Times New Roman" w:eastAsia="Arial Unicode MS" w:hAnsi="Times New Roman" w:cs="Times New Roman"/>
          <w:sz w:val="20"/>
        </w:rPr>
        <w:t>.</w:t>
      </w:r>
    </w:p>
    <w:p w14:paraId="19359FEC" w14:textId="77777777" w:rsidR="00254015" w:rsidRDefault="00254015" w:rsidP="00002DF3">
      <w:pPr>
        <w:spacing w:after="0" w:line="276" w:lineRule="auto"/>
        <w:jc w:val="center"/>
        <w:rPr>
          <w:rFonts w:ascii="Times New Roman" w:eastAsia="Arial Unicode MS" w:hAnsi="Times New Roman" w:cs="Times New Roman"/>
          <w:sz w:val="20"/>
        </w:rPr>
      </w:pPr>
    </w:p>
    <w:p w14:paraId="3BA8C6A5" w14:textId="77777777" w:rsidR="00D60675" w:rsidRPr="00002DF3" w:rsidRDefault="00D60675" w:rsidP="00002DF3">
      <w:pPr>
        <w:spacing w:after="0" w:line="276" w:lineRule="auto"/>
        <w:jc w:val="center"/>
        <w:rPr>
          <w:rFonts w:ascii="Times New Roman" w:eastAsia="Arial Unicode MS" w:hAnsi="Times New Roman" w:cs="Times New Roman"/>
          <w:sz w:val="20"/>
        </w:rPr>
      </w:pPr>
    </w:p>
    <w:p w14:paraId="50C41D59" w14:textId="77777777" w:rsidR="008C0ACC" w:rsidRPr="00002DF3" w:rsidRDefault="008C0ACC" w:rsidP="00002DF3">
      <w:pPr>
        <w:spacing w:after="0" w:line="276" w:lineRule="auto"/>
        <w:jc w:val="center"/>
        <w:rPr>
          <w:rFonts w:ascii="Times New Roman" w:eastAsia="Arial Unicode MS" w:hAnsi="Times New Roman" w:cs="Times New Roman"/>
          <w:sz w:val="20"/>
        </w:rPr>
      </w:pPr>
    </w:p>
    <w:p w14:paraId="3C28BDC1" w14:textId="77777777" w:rsidR="00354CE2" w:rsidRPr="00002DF3" w:rsidRDefault="00354CE2" w:rsidP="00002DF3">
      <w:pPr>
        <w:spacing w:after="0" w:line="276" w:lineRule="auto"/>
        <w:jc w:val="center"/>
        <w:rPr>
          <w:rFonts w:ascii="Times New Roman" w:eastAsia="Arial Unicode MS" w:hAnsi="Times New Roman" w:cs="Times New Roman"/>
          <w:b/>
          <w:sz w:val="20"/>
        </w:rPr>
        <w:sectPr w:rsidR="00354CE2" w:rsidRPr="00002DF3" w:rsidSect="00254015">
          <w:headerReference w:type="default" r:id="rId7"/>
          <w:footerReference w:type="default" r:id="rId8"/>
          <w:pgSz w:w="11906" w:h="16838"/>
          <w:pgMar w:top="1843" w:right="1134" w:bottom="1276" w:left="1701" w:header="709" w:footer="709" w:gutter="0"/>
          <w:cols w:space="708"/>
          <w:docGrid w:linePitch="360"/>
        </w:sectPr>
      </w:pPr>
    </w:p>
    <w:p w14:paraId="2C34A901" w14:textId="77777777" w:rsidR="008C0ACC" w:rsidRPr="00002DF3" w:rsidRDefault="008C0ACC" w:rsidP="00002DF3">
      <w:pPr>
        <w:spacing w:after="0" w:line="276" w:lineRule="auto"/>
        <w:jc w:val="center"/>
        <w:rPr>
          <w:rFonts w:ascii="Times New Roman" w:eastAsia="Arial Unicode MS" w:hAnsi="Times New Roman" w:cs="Times New Roman"/>
          <w:b/>
          <w:sz w:val="20"/>
        </w:rPr>
      </w:pPr>
      <w:r w:rsidRPr="00002DF3">
        <w:rPr>
          <w:rFonts w:ascii="Times New Roman" w:eastAsia="Arial Unicode MS" w:hAnsi="Times New Roman" w:cs="Times New Roman"/>
          <w:b/>
          <w:sz w:val="20"/>
        </w:rPr>
        <w:t>UESLEI JOSÉ GARCIA</w:t>
      </w:r>
    </w:p>
    <w:p w14:paraId="7B44552A" w14:textId="77777777" w:rsidR="008C0ACC" w:rsidRPr="00002DF3" w:rsidRDefault="008C0ACC" w:rsidP="00002DF3">
      <w:pPr>
        <w:spacing w:after="0" w:line="276" w:lineRule="auto"/>
        <w:jc w:val="center"/>
        <w:rPr>
          <w:rFonts w:ascii="Times New Roman" w:eastAsia="Arial Unicode MS" w:hAnsi="Times New Roman" w:cs="Times New Roman"/>
          <w:b/>
          <w:sz w:val="20"/>
        </w:rPr>
      </w:pPr>
      <w:r w:rsidRPr="00002DF3">
        <w:rPr>
          <w:rFonts w:ascii="Times New Roman" w:eastAsia="Arial Unicode MS" w:hAnsi="Times New Roman" w:cs="Times New Roman"/>
          <w:b/>
          <w:sz w:val="20"/>
        </w:rPr>
        <w:t>CHEFE DO SETOR DE COMPRAS</w:t>
      </w:r>
    </w:p>
    <w:p w14:paraId="0784293E" w14:textId="77777777" w:rsidR="008C0ACC" w:rsidRPr="00002DF3" w:rsidRDefault="008C0ACC" w:rsidP="00002DF3">
      <w:pPr>
        <w:spacing w:after="0" w:line="276" w:lineRule="auto"/>
        <w:jc w:val="center"/>
        <w:rPr>
          <w:rFonts w:ascii="Times New Roman" w:eastAsia="Arial Unicode MS" w:hAnsi="Times New Roman" w:cs="Times New Roman"/>
          <w:b/>
          <w:sz w:val="20"/>
        </w:rPr>
      </w:pPr>
    </w:p>
    <w:p w14:paraId="5DEED156" w14:textId="77777777" w:rsidR="008C0ACC" w:rsidRPr="00002DF3" w:rsidRDefault="008C0ACC" w:rsidP="00002DF3">
      <w:pPr>
        <w:spacing w:after="0" w:line="276" w:lineRule="auto"/>
        <w:jc w:val="center"/>
        <w:rPr>
          <w:rFonts w:ascii="Times New Roman" w:eastAsia="Arial Unicode MS" w:hAnsi="Times New Roman" w:cs="Times New Roman"/>
          <w:b/>
          <w:sz w:val="20"/>
        </w:rPr>
      </w:pPr>
      <w:r w:rsidRPr="00002DF3">
        <w:rPr>
          <w:rFonts w:ascii="Times New Roman" w:eastAsia="Arial Unicode MS" w:hAnsi="Times New Roman" w:cs="Times New Roman"/>
          <w:b/>
          <w:sz w:val="20"/>
        </w:rPr>
        <w:t>FREDERICO DA SILVA PACHECO</w:t>
      </w:r>
    </w:p>
    <w:p w14:paraId="2DE1A7E9" w14:textId="77777777" w:rsidR="008C0ACC" w:rsidRPr="00002DF3" w:rsidRDefault="008C0ACC" w:rsidP="00002DF3">
      <w:pPr>
        <w:spacing w:after="0" w:line="276" w:lineRule="auto"/>
        <w:jc w:val="center"/>
        <w:rPr>
          <w:rFonts w:ascii="Times New Roman" w:eastAsia="Arial Unicode MS" w:hAnsi="Times New Roman" w:cs="Times New Roman"/>
          <w:b/>
          <w:sz w:val="20"/>
        </w:rPr>
      </w:pPr>
      <w:r w:rsidRPr="00002DF3">
        <w:rPr>
          <w:rFonts w:ascii="Times New Roman" w:eastAsia="Arial Unicode MS" w:hAnsi="Times New Roman" w:cs="Times New Roman"/>
          <w:b/>
          <w:sz w:val="20"/>
        </w:rPr>
        <w:t>ESTAGIÁRIO</w:t>
      </w:r>
    </w:p>
    <w:p w14:paraId="0204570E" w14:textId="77777777" w:rsidR="00354CE2" w:rsidRPr="00002DF3" w:rsidRDefault="00354CE2" w:rsidP="00002DF3">
      <w:pPr>
        <w:spacing w:after="0" w:line="276" w:lineRule="auto"/>
        <w:jc w:val="both"/>
        <w:rPr>
          <w:rFonts w:ascii="Times New Roman" w:eastAsia="Arial Unicode MS" w:hAnsi="Times New Roman" w:cs="Times New Roman"/>
          <w:sz w:val="20"/>
        </w:rPr>
        <w:sectPr w:rsidR="00354CE2" w:rsidRPr="00002DF3" w:rsidSect="00354CE2">
          <w:type w:val="continuous"/>
          <w:pgSz w:w="11906" w:h="16838"/>
          <w:pgMar w:top="1843" w:right="1134" w:bottom="1276" w:left="1701" w:header="709" w:footer="709" w:gutter="0"/>
          <w:cols w:num="2" w:space="708"/>
          <w:docGrid w:linePitch="360"/>
        </w:sectPr>
      </w:pPr>
    </w:p>
    <w:p w14:paraId="47459988" w14:textId="1AE1B7F3" w:rsidR="008C0ACC" w:rsidRPr="00002DF3" w:rsidRDefault="008C0ACC" w:rsidP="00002DF3">
      <w:pPr>
        <w:spacing w:after="0" w:line="276" w:lineRule="auto"/>
        <w:ind w:firstLine="708"/>
        <w:jc w:val="both"/>
        <w:rPr>
          <w:rFonts w:ascii="Times New Roman" w:eastAsia="Arial Unicode MS" w:hAnsi="Times New Roman" w:cs="Times New Roman"/>
          <w:sz w:val="20"/>
        </w:rPr>
      </w:pPr>
      <w:r w:rsidRPr="00002DF3">
        <w:rPr>
          <w:rFonts w:ascii="Times New Roman" w:eastAsia="Arial Unicode MS" w:hAnsi="Times New Roman" w:cs="Times New Roman"/>
          <w:sz w:val="20"/>
        </w:rPr>
        <w:t>Realizadas as tarefas pertinentes ao ETP, encaminho o documento solicitando ciência e aprovação para posterior</w:t>
      </w:r>
      <w:r w:rsidR="00354CE2" w:rsidRPr="00002DF3">
        <w:rPr>
          <w:rFonts w:ascii="Times New Roman" w:eastAsia="Arial Unicode MS" w:hAnsi="Times New Roman" w:cs="Times New Roman"/>
          <w:sz w:val="20"/>
        </w:rPr>
        <w:t xml:space="preserve"> formalização da contratação</w:t>
      </w:r>
      <w:r w:rsidRPr="00002DF3">
        <w:rPr>
          <w:rFonts w:ascii="Times New Roman" w:eastAsia="Arial Unicode MS" w:hAnsi="Times New Roman" w:cs="Times New Roman"/>
          <w:sz w:val="20"/>
        </w:rPr>
        <w:t>.</w:t>
      </w:r>
    </w:p>
    <w:p w14:paraId="541FE021" w14:textId="77777777" w:rsidR="008C0ACC" w:rsidRPr="00002DF3" w:rsidRDefault="008C0ACC" w:rsidP="00002DF3">
      <w:pPr>
        <w:widowControl w:val="0"/>
        <w:spacing w:after="0" w:line="276" w:lineRule="auto"/>
        <w:jc w:val="center"/>
        <w:rPr>
          <w:rFonts w:ascii="Times New Roman" w:eastAsia="Arial Unicode MS" w:hAnsi="Times New Roman" w:cs="Times New Roman"/>
          <w:b/>
          <w:bCs/>
          <w:sz w:val="20"/>
          <w:u w:val="single"/>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8C0ACC" w:rsidRPr="00002DF3" w14:paraId="62041BAE" w14:textId="77777777" w:rsidTr="000379E2">
        <w:tc>
          <w:tcPr>
            <w:tcW w:w="9211" w:type="dxa"/>
            <w:tcBorders>
              <w:top w:val="single" w:sz="4" w:space="0" w:color="000000"/>
              <w:left w:val="single" w:sz="4" w:space="0" w:color="000000"/>
              <w:bottom w:val="single" w:sz="4" w:space="0" w:color="000000"/>
              <w:right w:val="single" w:sz="4" w:space="0" w:color="000000"/>
            </w:tcBorders>
          </w:tcPr>
          <w:p w14:paraId="65E63724" w14:textId="77777777" w:rsidR="008C0ACC" w:rsidRPr="00002DF3" w:rsidRDefault="008C0ACC" w:rsidP="00002DF3">
            <w:pPr>
              <w:spacing w:after="0" w:line="276" w:lineRule="auto"/>
              <w:jc w:val="center"/>
              <w:rPr>
                <w:rFonts w:ascii="Times New Roman" w:eastAsia="Arial Unicode MS" w:hAnsi="Times New Roman" w:cs="Times New Roman"/>
                <w:b/>
                <w:bCs/>
                <w:sz w:val="20"/>
              </w:rPr>
            </w:pPr>
          </w:p>
          <w:p w14:paraId="4BDE4229" w14:textId="77777777" w:rsidR="008C0ACC" w:rsidRPr="00002DF3" w:rsidRDefault="008C0ACC" w:rsidP="00002DF3">
            <w:pPr>
              <w:spacing w:after="0" w:line="276" w:lineRule="auto"/>
              <w:jc w:val="center"/>
              <w:rPr>
                <w:rFonts w:ascii="Times New Roman" w:eastAsia="Arial Unicode MS" w:hAnsi="Times New Roman" w:cs="Times New Roman"/>
                <w:b/>
                <w:bCs/>
                <w:sz w:val="20"/>
              </w:rPr>
            </w:pPr>
            <w:r w:rsidRPr="00002DF3">
              <w:rPr>
                <w:rFonts w:ascii="Times New Roman" w:eastAsia="Arial Unicode MS" w:hAnsi="Times New Roman" w:cs="Times New Roman"/>
                <w:b/>
                <w:bCs/>
                <w:sz w:val="20"/>
              </w:rPr>
              <w:t>SECRETARIA MUNICIPAL DE ADMINISTRAÇÃO, FAZENDA E PLANEJAMENTO</w:t>
            </w:r>
          </w:p>
          <w:p w14:paraId="289CEFD2" w14:textId="77777777" w:rsidR="008C0ACC" w:rsidRPr="00002DF3" w:rsidRDefault="008C0ACC" w:rsidP="00002DF3">
            <w:pPr>
              <w:spacing w:after="0" w:line="276" w:lineRule="auto"/>
              <w:ind w:firstLine="709"/>
              <w:rPr>
                <w:rFonts w:ascii="Times New Roman" w:eastAsia="Arial Unicode MS" w:hAnsi="Times New Roman" w:cs="Times New Roman"/>
                <w:sz w:val="20"/>
              </w:rPr>
            </w:pPr>
            <w:r w:rsidRPr="00002DF3">
              <w:rPr>
                <w:rFonts w:ascii="Times New Roman" w:eastAsia="Arial Unicode MS" w:hAnsi="Times New Roman" w:cs="Times New Roman"/>
                <w:sz w:val="20"/>
              </w:rPr>
              <w:t>Parecer conclusivo de ciência e aprovação:</w:t>
            </w:r>
          </w:p>
          <w:p w14:paraId="27A9055C" w14:textId="5FA2894A" w:rsidR="008C0ACC" w:rsidRPr="00002DF3" w:rsidRDefault="008C0ACC" w:rsidP="00002DF3">
            <w:pPr>
              <w:spacing w:after="0" w:line="276" w:lineRule="auto"/>
              <w:ind w:firstLine="1156"/>
              <w:rPr>
                <w:rFonts w:ascii="Times New Roman" w:eastAsia="Arial Unicode MS" w:hAnsi="Times New Roman" w:cs="Times New Roman"/>
                <w:sz w:val="20"/>
              </w:rPr>
            </w:pPr>
            <w:r w:rsidRPr="00002DF3">
              <w:rPr>
                <w:rFonts w:ascii="Times New Roman" w:eastAsia="Arial Unicode MS" w:hAnsi="Times New Roman" w:cs="Times New Roman"/>
                <w:sz w:val="20"/>
              </w:rPr>
              <w:t>(</w:t>
            </w:r>
            <w:r w:rsidR="009F7F7A" w:rsidRPr="00002DF3">
              <w:rPr>
                <w:rFonts w:ascii="Times New Roman" w:eastAsia="Arial Unicode MS" w:hAnsi="Times New Roman" w:cs="Times New Roman"/>
                <w:sz w:val="20"/>
              </w:rPr>
              <w:t>X</w:t>
            </w:r>
            <w:r w:rsidRPr="00002DF3">
              <w:rPr>
                <w:rFonts w:ascii="Times New Roman" w:eastAsia="Arial Unicode MS" w:hAnsi="Times New Roman" w:cs="Times New Roman"/>
                <w:sz w:val="20"/>
              </w:rPr>
              <w:t>) Defiro; ou</w:t>
            </w:r>
          </w:p>
          <w:p w14:paraId="1A3F6B7F" w14:textId="4E42E01C" w:rsidR="008C0ACC" w:rsidRPr="00002DF3" w:rsidRDefault="008C0ACC" w:rsidP="00002DF3">
            <w:pPr>
              <w:spacing w:after="0" w:line="276" w:lineRule="auto"/>
              <w:ind w:firstLine="1156"/>
              <w:rPr>
                <w:rFonts w:ascii="Times New Roman" w:eastAsia="Arial Unicode MS" w:hAnsi="Times New Roman" w:cs="Times New Roman"/>
                <w:sz w:val="20"/>
              </w:rPr>
            </w:pPr>
            <w:proofErr w:type="gramStart"/>
            <w:r w:rsidRPr="00002DF3">
              <w:rPr>
                <w:rFonts w:ascii="Times New Roman" w:eastAsia="Arial Unicode MS" w:hAnsi="Times New Roman" w:cs="Times New Roman"/>
                <w:sz w:val="20"/>
              </w:rPr>
              <w:t>(  )</w:t>
            </w:r>
            <w:proofErr w:type="gramEnd"/>
            <w:r w:rsidRPr="00002DF3">
              <w:rPr>
                <w:rFonts w:ascii="Times New Roman" w:eastAsia="Arial Unicode MS" w:hAnsi="Times New Roman" w:cs="Times New Roman"/>
                <w:sz w:val="20"/>
              </w:rPr>
              <w:t xml:space="preserve"> Indefiro</w:t>
            </w:r>
          </w:p>
          <w:p w14:paraId="0E0BAF25" w14:textId="4DFCEC80" w:rsidR="008C0ACC" w:rsidRPr="00002DF3" w:rsidRDefault="008C0ACC" w:rsidP="00002DF3">
            <w:pPr>
              <w:spacing w:after="0" w:line="276" w:lineRule="auto"/>
              <w:ind w:firstLine="709"/>
              <w:rPr>
                <w:rFonts w:ascii="Times New Roman" w:eastAsia="Arial Unicode MS" w:hAnsi="Times New Roman" w:cs="Times New Roman"/>
                <w:sz w:val="20"/>
              </w:rPr>
            </w:pPr>
            <w:r w:rsidRPr="00002DF3">
              <w:rPr>
                <w:rFonts w:ascii="Times New Roman" w:eastAsia="Arial Unicode MS" w:hAnsi="Times New Roman" w:cs="Times New Roman"/>
                <w:sz w:val="20"/>
              </w:rPr>
              <w:t xml:space="preserve">Motivar: </w:t>
            </w:r>
            <w:r w:rsidR="009F7F7A" w:rsidRPr="00002DF3">
              <w:rPr>
                <w:rFonts w:ascii="Times New Roman" w:eastAsia="Arial Unicode MS" w:hAnsi="Times New Roman" w:cs="Times New Roman"/>
                <w:sz w:val="20"/>
              </w:rPr>
              <w:t>Após an</w:t>
            </w:r>
            <w:r w:rsidR="0010344E" w:rsidRPr="00002DF3">
              <w:rPr>
                <w:rFonts w:ascii="Times New Roman" w:eastAsia="Arial Unicode MS" w:hAnsi="Times New Roman" w:cs="Times New Roman"/>
                <w:sz w:val="20"/>
              </w:rPr>
              <w:t>á</w:t>
            </w:r>
            <w:r w:rsidR="009F7F7A" w:rsidRPr="00002DF3">
              <w:rPr>
                <w:rFonts w:ascii="Times New Roman" w:eastAsia="Arial Unicode MS" w:hAnsi="Times New Roman" w:cs="Times New Roman"/>
                <w:sz w:val="20"/>
              </w:rPr>
              <w:t>lise e fundamentações postas, defiro a solicitação.</w:t>
            </w:r>
          </w:p>
          <w:p w14:paraId="714AE745" w14:textId="77777777" w:rsidR="008C0ACC" w:rsidRPr="00002DF3" w:rsidRDefault="008C0ACC" w:rsidP="00002DF3">
            <w:pPr>
              <w:spacing w:after="0" w:line="276" w:lineRule="auto"/>
              <w:jc w:val="center"/>
              <w:rPr>
                <w:rFonts w:ascii="Times New Roman" w:eastAsia="Arial Unicode MS" w:hAnsi="Times New Roman" w:cs="Times New Roman"/>
                <w:sz w:val="20"/>
              </w:rPr>
            </w:pPr>
          </w:p>
          <w:p w14:paraId="6197312F" w14:textId="1415073B" w:rsidR="008C0ACC" w:rsidRPr="00002DF3" w:rsidRDefault="008C0ACC" w:rsidP="00002DF3">
            <w:pPr>
              <w:spacing w:after="0" w:line="276" w:lineRule="auto"/>
              <w:jc w:val="center"/>
              <w:rPr>
                <w:rFonts w:ascii="Times New Roman" w:eastAsia="Arial Unicode MS" w:hAnsi="Times New Roman" w:cs="Times New Roman"/>
                <w:sz w:val="20"/>
              </w:rPr>
            </w:pPr>
            <w:r w:rsidRPr="00002DF3">
              <w:rPr>
                <w:rFonts w:ascii="Times New Roman" w:eastAsia="Arial Unicode MS" w:hAnsi="Times New Roman" w:cs="Times New Roman"/>
                <w:sz w:val="20"/>
              </w:rPr>
              <w:t xml:space="preserve">Paverama/RS, </w:t>
            </w:r>
            <w:r w:rsidR="00100C32" w:rsidRPr="00002DF3">
              <w:rPr>
                <w:rFonts w:ascii="Times New Roman" w:eastAsia="Arial Unicode MS" w:hAnsi="Times New Roman" w:cs="Times New Roman"/>
                <w:sz w:val="20"/>
              </w:rPr>
              <w:t>04</w:t>
            </w:r>
            <w:r w:rsidRPr="00002DF3">
              <w:rPr>
                <w:rFonts w:ascii="Times New Roman" w:eastAsia="Arial Unicode MS" w:hAnsi="Times New Roman" w:cs="Times New Roman"/>
                <w:sz w:val="20"/>
              </w:rPr>
              <w:t xml:space="preserve"> de </w:t>
            </w:r>
            <w:r w:rsidR="00100C32" w:rsidRPr="00002DF3">
              <w:rPr>
                <w:rFonts w:ascii="Times New Roman" w:eastAsia="Arial Unicode MS" w:hAnsi="Times New Roman" w:cs="Times New Roman"/>
                <w:sz w:val="20"/>
              </w:rPr>
              <w:t>feverei</w:t>
            </w:r>
            <w:r w:rsidRPr="00002DF3">
              <w:rPr>
                <w:rFonts w:ascii="Times New Roman" w:eastAsia="Arial Unicode MS" w:hAnsi="Times New Roman" w:cs="Times New Roman"/>
                <w:sz w:val="20"/>
              </w:rPr>
              <w:t>ro de 202</w:t>
            </w:r>
            <w:r w:rsidR="00100C32" w:rsidRPr="00002DF3">
              <w:rPr>
                <w:rFonts w:ascii="Times New Roman" w:eastAsia="Arial Unicode MS" w:hAnsi="Times New Roman" w:cs="Times New Roman"/>
                <w:sz w:val="20"/>
              </w:rPr>
              <w:t>6</w:t>
            </w:r>
            <w:r w:rsidRPr="00002DF3">
              <w:rPr>
                <w:rFonts w:ascii="Times New Roman" w:eastAsia="Arial Unicode MS" w:hAnsi="Times New Roman" w:cs="Times New Roman"/>
                <w:sz w:val="20"/>
              </w:rPr>
              <w:t>.</w:t>
            </w:r>
          </w:p>
          <w:p w14:paraId="0046C04E" w14:textId="77777777" w:rsidR="008C0ACC" w:rsidRPr="00002DF3" w:rsidRDefault="008C0ACC" w:rsidP="00002DF3">
            <w:pPr>
              <w:spacing w:after="0" w:line="276" w:lineRule="auto"/>
              <w:jc w:val="center"/>
              <w:rPr>
                <w:rFonts w:ascii="Times New Roman" w:eastAsia="Arial Unicode MS" w:hAnsi="Times New Roman" w:cs="Times New Roman"/>
                <w:sz w:val="20"/>
              </w:rPr>
            </w:pPr>
          </w:p>
          <w:p w14:paraId="1E820D3F" w14:textId="77777777" w:rsidR="0010344E" w:rsidRPr="00002DF3" w:rsidRDefault="0010344E" w:rsidP="00002DF3">
            <w:pPr>
              <w:widowControl w:val="0"/>
              <w:spacing w:after="0" w:line="276" w:lineRule="auto"/>
              <w:jc w:val="center"/>
              <w:rPr>
                <w:rFonts w:ascii="Times New Roman" w:eastAsia="Arial Unicode MS" w:hAnsi="Times New Roman" w:cs="Times New Roman"/>
                <w:b/>
                <w:bCs/>
                <w:sz w:val="20"/>
              </w:rPr>
            </w:pPr>
          </w:p>
          <w:p w14:paraId="693567CC" w14:textId="77777777" w:rsidR="0010344E" w:rsidRPr="00002DF3" w:rsidRDefault="0010344E" w:rsidP="00002DF3">
            <w:pPr>
              <w:widowControl w:val="0"/>
              <w:spacing w:after="0" w:line="276" w:lineRule="auto"/>
              <w:jc w:val="center"/>
              <w:rPr>
                <w:rFonts w:ascii="Times New Roman" w:eastAsia="Arial Unicode MS" w:hAnsi="Times New Roman" w:cs="Times New Roman"/>
                <w:b/>
                <w:bCs/>
                <w:sz w:val="20"/>
              </w:rPr>
            </w:pPr>
          </w:p>
          <w:p w14:paraId="43156A9C" w14:textId="77777777" w:rsidR="008C0ACC" w:rsidRPr="00002DF3" w:rsidRDefault="008C0ACC" w:rsidP="00002DF3">
            <w:pPr>
              <w:widowControl w:val="0"/>
              <w:spacing w:after="0" w:line="276" w:lineRule="auto"/>
              <w:jc w:val="center"/>
              <w:rPr>
                <w:rFonts w:ascii="Times New Roman" w:eastAsia="Arial Unicode MS" w:hAnsi="Times New Roman" w:cs="Times New Roman"/>
                <w:b/>
                <w:bCs/>
                <w:sz w:val="20"/>
                <w:lang w:eastAsia="x-none"/>
              </w:rPr>
            </w:pPr>
            <w:r w:rsidRPr="00002DF3">
              <w:rPr>
                <w:rFonts w:ascii="Times New Roman" w:eastAsia="Arial Unicode MS" w:hAnsi="Times New Roman" w:cs="Times New Roman"/>
                <w:b/>
                <w:bCs/>
                <w:sz w:val="20"/>
                <w:lang w:eastAsia="x-none"/>
              </w:rPr>
              <w:t>ALEXANDRE LUÍS KLEBER</w:t>
            </w:r>
          </w:p>
          <w:p w14:paraId="27A7BA7D" w14:textId="77777777" w:rsidR="008C0ACC" w:rsidRPr="00002DF3" w:rsidRDefault="008C0ACC" w:rsidP="00002DF3">
            <w:pPr>
              <w:widowControl w:val="0"/>
              <w:spacing w:after="0" w:line="276" w:lineRule="auto"/>
              <w:jc w:val="center"/>
              <w:rPr>
                <w:rFonts w:ascii="Times New Roman" w:eastAsia="Arial Unicode MS" w:hAnsi="Times New Roman" w:cs="Times New Roman"/>
                <w:b/>
                <w:bCs/>
                <w:sz w:val="20"/>
                <w:lang w:eastAsia="x-none"/>
              </w:rPr>
            </w:pPr>
            <w:r w:rsidRPr="00002DF3">
              <w:rPr>
                <w:rFonts w:ascii="Times New Roman" w:eastAsia="Arial Unicode MS" w:hAnsi="Times New Roman" w:cs="Times New Roman"/>
                <w:b/>
                <w:bCs/>
                <w:sz w:val="20"/>
                <w:lang w:eastAsia="x-none"/>
              </w:rPr>
              <w:t>Secretário Municipal de Administração, Fazenda e Planejamento</w:t>
            </w:r>
          </w:p>
          <w:p w14:paraId="68AA22C0" w14:textId="77777777" w:rsidR="008C0ACC" w:rsidRPr="00002DF3" w:rsidRDefault="008C0ACC" w:rsidP="00002DF3">
            <w:pPr>
              <w:widowControl w:val="0"/>
              <w:spacing w:after="0" w:line="276" w:lineRule="auto"/>
              <w:jc w:val="center"/>
              <w:rPr>
                <w:rFonts w:ascii="Times New Roman" w:eastAsia="Arial Unicode MS" w:hAnsi="Times New Roman" w:cs="Times New Roman"/>
                <w:b/>
                <w:bCs/>
                <w:sz w:val="20"/>
                <w:lang w:eastAsia="x-none"/>
              </w:rPr>
            </w:pPr>
          </w:p>
        </w:tc>
      </w:tr>
    </w:tbl>
    <w:p w14:paraId="52A6CCAF" w14:textId="77777777" w:rsidR="00E762DA" w:rsidRPr="00002DF3" w:rsidRDefault="00E762DA" w:rsidP="00002DF3">
      <w:pPr>
        <w:spacing w:after="0" w:line="276" w:lineRule="auto"/>
        <w:jc w:val="both"/>
        <w:rPr>
          <w:rFonts w:ascii="Times New Roman" w:hAnsi="Times New Roman" w:cs="Times New Roman"/>
          <w:sz w:val="20"/>
        </w:rPr>
      </w:pPr>
    </w:p>
    <w:sectPr w:rsidR="00E762DA" w:rsidRPr="00002DF3" w:rsidSect="00354CE2">
      <w:type w:val="continuous"/>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5FBB64" w14:textId="77777777" w:rsidR="00B92C9D" w:rsidRDefault="00B92C9D">
      <w:pPr>
        <w:spacing w:after="0" w:line="240" w:lineRule="auto"/>
      </w:pPr>
      <w:r>
        <w:separator/>
      </w:r>
    </w:p>
  </w:endnote>
  <w:endnote w:type="continuationSeparator" w:id="0">
    <w:p w14:paraId="0A3EC190" w14:textId="77777777" w:rsidR="00B92C9D" w:rsidRDefault="00B92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6D8D8" w14:textId="77777777" w:rsidR="00CC2FEC" w:rsidRDefault="0007260B">
    <w:pPr>
      <w:pStyle w:val="Rodap"/>
    </w:pPr>
    <w:r>
      <w:rPr>
        <w:noProof/>
      </w:rPr>
      <w:drawing>
        <wp:anchor distT="0" distB="0" distL="114300" distR="114300" simplePos="0" relativeHeight="251660288" behindDoc="1" locked="0" layoutInCell="1" allowOverlap="1" wp14:anchorId="4CD915E5" wp14:editId="1AB37E4D">
          <wp:simplePos x="0" y="0"/>
          <wp:positionH relativeFrom="margin">
            <wp:align>center</wp:align>
          </wp:positionH>
          <wp:positionV relativeFrom="paragraph">
            <wp:posOffset>-30235</wp:posOffset>
          </wp:positionV>
          <wp:extent cx="4714240" cy="781050"/>
          <wp:effectExtent l="0" t="0" r="0" b="0"/>
          <wp:wrapNone/>
          <wp:docPr id="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4E9987C" w14:textId="77777777"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33D37" w14:textId="77777777" w:rsidR="00B92C9D" w:rsidRDefault="00B92C9D">
      <w:pPr>
        <w:spacing w:after="0" w:line="240" w:lineRule="auto"/>
      </w:pPr>
      <w:r>
        <w:separator/>
      </w:r>
    </w:p>
  </w:footnote>
  <w:footnote w:type="continuationSeparator" w:id="0">
    <w:p w14:paraId="373DEB54" w14:textId="77777777" w:rsidR="00B92C9D" w:rsidRDefault="00B92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DBEBE" w14:textId="77777777" w:rsidR="00CC2FEC" w:rsidRDefault="00CC2FEC">
    <w:pPr>
      <w:pStyle w:val="Cabealho"/>
    </w:pPr>
    <w:r>
      <w:rPr>
        <w:noProof/>
        <w:lang w:eastAsia="pt-BR"/>
      </w:rPr>
      <w:drawing>
        <wp:anchor distT="0" distB="0" distL="114300" distR="114300" simplePos="0" relativeHeight="251659264" behindDoc="1" locked="0" layoutInCell="1" allowOverlap="1" wp14:anchorId="3CCCC4AA" wp14:editId="17B3452C">
          <wp:simplePos x="0" y="0"/>
          <wp:positionH relativeFrom="margin">
            <wp:align>center</wp:align>
          </wp:positionH>
          <wp:positionV relativeFrom="paragraph">
            <wp:posOffset>-361950</wp:posOffset>
          </wp:positionV>
          <wp:extent cx="4381500" cy="981710"/>
          <wp:effectExtent l="0" t="0" r="0" b="889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B75EF"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0508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2DF3"/>
    <w:rsid w:val="00005532"/>
    <w:rsid w:val="000254E2"/>
    <w:rsid w:val="00037BAF"/>
    <w:rsid w:val="00054310"/>
    <w:rsid w:val="00061ECF"/>
    <w:rsid w:val="000648A3"/>
    <w:rsid w:val="0007260B"/>
    <w:rsid w:val="000829DF"/>
    <w:rsid w:val="00090694"/>
    <w:rsid w:val="00095AF3"/>
    <w:rsid w:val="00100C32"/>
    <w:rsid w:val="0010344E"/>
    <w:rsid w:val="00140BED"/>
    <w:rsid w:val="001433DA"/>
    <w:rsid w:val="001453C1"/>
    <w:rsid w:val="0014751F"/>
    <w:rsid w:val="00173EB2"/>
    <w:rsid w:val="00186683"/>
    <w:rsid w:val="00195E10"/>
    <w:rsid w:val="001A40F7"/>
    <w:rsid w:val="001A518A"/>
    <w:rsid w:val="001B2EEA"/>
    <w:rsid w:val="001B6F41"/>
    <w:rsid w:val="001C786C"/>
    <w:rsid w:val="00217597"/>
    <w:rsid w:val="00231D1D"/>
    <w:rsid w:val="00242D32"/>
    <w:rsid w:val="00244ED4"/>
    <w:rsid w:val="00254015"/>
    <w:rsid w:val="00275D93"/>
    <w:rsid w:val="002811DE"/>
    <w:rsid w:val="00290E5C"/>
    <w:rsid w:val="00295590"/>
    <w:rsid w:val="002969B7"/>
    <w:rsid w:val="002A64AC"/>
    <w:rsid w:val="002A6584"/>
    <w:rsid w:val="002B36DE"/>
    <w:rsid w:val="002C1128"/>
    <w:rsid w:val="002F1231"/>
    <w:rsid w:val="002F758D"/>
    <w:rsid w:val="00314449"/>
    <w:rsid w:val="00337414"/>
    <w:rsid w:val="0034161A"/>
    <w:rsid w:val="00351B14"/>
    <w:rsid w:val="00354B4D"/>
    <w:rsid w:val="00354CE2"/>
    <w:rsid w:val="003619F0"/>
    <w:rsid w:val="00382B99"/>
    <w:rsid w:val="00391F04"/>
    <w:rsid w:val="00393F3F"/>
    <w:rsid w:val="004301F5"/>
    <w:rsid w:val="004377BA"/>
    <w:rsid w:val="004429CB"/>
    <w:rsid w:val="0045591F"/>
    <w:rsid w:val="0046337F"/>
    <w:rsid w:val="004720CF"/>
    <w:rsid w:val="00472BC9"/>
    <w:rsid w:val="00486D6B"/>
    <w:rsid w:val="004979DA"/>
    <w:rsid w:val="004979FD"/>
    <w:rsid w:val="004A0DDD"/>
    <w:rsid w:val="004A3D98"/>
    <w:rsid w:val="005074A0"/>
    <w:rsid w:val="0051464A"/>
    <w:rsid w:val="005170D1"/>
    <w:rsid w:val="00532970"/>
    <w:rsid w:val="0053719A"/>
    <w:rsid w:val="0054574C"/>
    <w:rsid w:val="00565429"/>
    <w:rsid w:val="005676AE"/>
    <w:rsid w:val="0059033B"/>
    <w:rsid w:val="00595D67"/>
    <w:rsid w:val="0059715D"/>
    <w:rsid w:val="005A2ED6"/>
    <w:rsid w:val="005B7CDE"/>
    <w:rsid w:val="005C0BB8"/>
    <w:rsid w:val="005D6994"/>
    <w:rsid w:val="005E4F41"/>
    <w:rsid w:val="00601C03"/>
    <w:rsid w:val="00621D5A"/>
    <w:rsid w:val="00631468"/>
    <w:rsid w:val="00652F36"/>
    <w:rsid w:val="00655D89"/>
    <w:rsid w:val="006627E2"/>
    <w:rsid w:val="00676535"/>
    <w:rsid w:val="00681EF9"/>
    <w:rsid w:val="00683BCF"/>
    <w:rsid w:val="00685C47"/>
    <w:rsid w:val="006A1544"/>
    <w:rsid w:val="006B017F"/>
    <w:rsid w:val="006B01EB"/>
    <w:rsid w:val="006B2F9C"/>
    <w:rsid w:val="006E0F08"/>
    <w:rsid w:val="006E786C"/>
    <w:rsid w:val="0073230F"/>
    <w:rsid w:val="00733F97"/>
    <w:rsid w:val="007534F0"/>
    <w:rsid w:val="007536E3"/>
    <w:rsid w:val="00762AD8"/>
    <w:rsid w:val="007805B9"/>
    <w:rsid w:val="0078281B"/>
    <w:rsid w:val="00795ECA"/>
    <w:rsid w:val="007C46A4"/>
    <w:rsid w:val="007D2FB8"/>
    <w:rsid w:val="007E76DC"/>
    <w:rsid w:val="007F25A5"/>
    <w:rsid w:val="008327CD"/>
    <w:rsid w:val="00837C8F"/>
    <w:rsid w:val="00862BB7"/>
    <w:rsid w:val="00880582"/>
    <w:rsid w:val="008B00BF"/>
    <w:rsid w:val="008C0ACC"/>
    <w:rsid w:val="008C6D6F"/>
    <w:rsid w:val="008D1473"/>
    <w:rsid w:val="008F32AD"/>
    <w:rsid w:val="008F742D"/>
    <w:rsid w:val="009020FF"/>
    <w:rsid w:val="009264B9"/>
    <w:rsid w:val="009914EE"/>
    <w:rsid w:val="00995344"/>
    <w:rsid w:val="009A45E7"/>
    <w:rsid w:val="009B6FCB"/>
    <w:rsid w:val="009F7F7A"/>
    <w:rsid w:val="00A060D4"/>
    <w:rsid w:val="00A11551"/>
    <w:rsid w:val="00A16E5E"/>
    <w:rsid w:val="00A26C15"/>
    <w:rsid w:val="00A45C9D"/>
    <w:rsid w:val="00A564F4"/>
    <w:rsid w:val="00AA7742"/>
    <w:rsid w:val="00AB1D36"/>
    <w:rsid w:val="00AB1FBD"/>
    <w:rsid w:val="00AB3C11"/>
    <w:rsid w:val="00AC54FB"/>
    <w:rsid w:val="00AC7E05"/>
    <w:rsid w:val="00AE0D8A"/>
    <w:rsid w:val="00AE4ECF"/>
    <w:rsid w:val="00B03EEE"/>
    <w:rsid w:val="00B579C9"/>
    <w:rsid w:val="00B81197"/>
    <w:rsid w:val="00B92C9D"/>
    <w:rsid w:val="00BB5D4D"/>
    <w:rsid w:val="00BC0A7F"/>
    <w:rsid w:val="00BD425B"/>
    <w:rsid w:val="00BE12DA"/>
    <w:rsid w:val="00BE1B96"/>
    <w:rsid w:val="00BE2FD9"/>
    <w:rsid w:val="00C026FA"/>
    <w:rsid w:val="00C04DEF"/>
    <w:rsid w:val="00C25C8F"/>
    <w:rsid w:val="00C4718B"/>
    <w:rsid w:val="00C62440"/>
    <w:rsid w:val="00C720FA"/>
    <w:rsid w:val="00C767AA"/>
    <w:rsid w:val="00C84007"/>
    <w:rsid w:val="00C97D9E"/>
    <w:rsid w:val="00CA6663"/>
    <w:rsid w:val="00CC2FEC"/>
    <w:rsid w:val="00CC77C0"/>
    <w:rsid w:val="00CC780A"/>
    <w:rsid w:val="00CE1738"/>
    <w:rsid w:val="00CE347D"/>
    <w:rsid w:val="00D45F05"/>
    <w:rsid w:val="00D569BA"/>
    <w:rsid w:val="00D60675"/>
    <w:rsid w:val="00D65BC3"/>
    <w:rsid w:val="00D70A66"/>
    <w:rsid w:val="00D76F99"/>
    <w:rsid w:val="00D772CA"/>
    <w:rsid w:val="00D7782D"/>
    <w:rsid w:val="00D85B36"/>
    <w:rsid w:val="00DA1A29"/>
    <w:rsid w:val="00DA452F"/>
    <w:rsid w:val="00DC6860"/>
    <w:rsid w:val="00DD353E"/>
    <w:rsid w:val="00DE3893"/>
    <w:rsid w:val="00DE3CB0"/>
    <w:rsid w:val="00DE3FC8"/>
    <w:rsid w:val="00E069BF"/>
    <w:rsid w:val="00E11E43"/>
    <w:rsid w:val="00E17DCF"/>
    <w:rsid w:val="00E21276"/>
    <w:rsid w:val="00E21CD5"/>
    <w:rsid w:val="00E31DA2"/>
    <w:rsid w:val="00E51BC4"/>
    <w:rsid w:val="00E6249E"/>
    <w:rsid w:val="00E6668F"/>
    <w:rsid w:val="00E71A16"/>
    <w:rsid w:val="00E74D59"/>
    <w:rsid w:val="00E762DA"/>
    <w:rsid w:val="00E7710C"/>
    <w:rsid w:val="00EA150E"/>
    <w:rsid w:val="00EB75BA"/>
    <w:rsid w:val="00EC3CEA"/>
    <w:rsid w:val="00EE2FAC"/>
    <w:rsid w:val="00F06D06"/>
    <w:rsid w:val="00F34550"/>
    <w:rsid w:val="00F46594"/>
    <w:rsid w:val="00F526D5"/>
    <w:rsid w:val="00F67A4E"/>
    <w:rsid w:val="00F85573"/>
    <w:rsid w:val="00F931ED"/>
    <w:rsid w:val="00FA0B37"/>
    <w:rsid w:val="00FA63D2"/>
    <w:rsid w:val="00FB2ACD"/>
    <w:rsid w:val="00FC3550"/>
    <w:rsid w:val="00FC5356"/>
    <w:rsid w:val="00FC67DF"/>
    <w:rsid w:val="00FC7AFE"/>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6DA66"/>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 w:type="character" w:styleId="MenoPendente">
    <w:name w:val="Unresolved Mention"/>
    <w:basedOn w:val="Fontepargpadro"/>
    <w:uiPriority w:val="99"/>
    <w:semiHidden/>
    <w:unhideWhenUsed/>
    <w:rsid w:val="00C97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2782">
      <w:bodyDiv w:val="1"/>
      <w:marLeft w:val="0"/>
      <w:marRight w:val="0"/>
      <w:marTop w:val="0"/>
      <w:marBottom w:val="0"/>
      <w:divBdr>
        <w:top w:val="none" w:sz="0" w:space="0" w:color="auto"/>
        <w:left w:val="none" w:sz="0" w:space="0" w:color="auto"/>
        <w:bottom w:val="none" w:sz="0" w:space="0" w:color="auto"/>
        <w:right w:val="none" w:sz="0" w:space="0" w:color="auto"/>
      </w:divBdr>
    </w:div>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718090889">
      <w:bodyDiv w:val="1"/>
      <w:marLeft w:val="0"/>
      <w:marRight w:val="0"/>
      <w:marTop w:val="0"/>
      <w:marBottom w:val="0"/>
      <w:divBdr>
        <w:top w:val="none" w:sz="0" w:space="0" w:color="auto"/>
        <w:left w:val="none" w:sz="0" w:space="0" w:color="auto"/>
        <w:bottom w:val="none" w:sz="0" w:space="0" w:color="auto"/>
        <w:right w:val="none" w:sz="0" w:space="0" w:color="auto"/>
      </w:divBdr>
    </w:div>
    <w:div w:id="788663811">
      <w:bodyDiv w:val="1"/>
      <w:marLeft w:val="0"/>
      <w:marRight w:val="0"/>
      <w:marTop w:val="0"/>
      <w:marBottom w:val="0"/>
      <w:divBdr>
        <w:top w:val="none" w:sz="0" w:space="0" w:color="auto"/>
        <w:left w:val="none" w:sz="0" w:space="0" w:color="auto"/>
        <w:bottom w:val="none" w:sz="0" w:space="0" w:color="auto"/>
        <w:right w:val="none" w:sz="0" w:space="0" w:color="auto"/>
      </w:divBdr>
    </w:div>
    <w:div w:id="808134099">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1259102449">
      <w:bodyDiv w:val="1"/>
      <w:marLeft w:val="0"/>
      <w:marRight w:val="0"/>
      <w:marTop w:val="0"/>
      <w:marBottom w:val="0"/>
      <w:divBdr>
        <w:top w:val="none" w:sz="0" w:space="0" w:color="auto"/>
        <w:left w:val="none" w:sz="0" w:space="0" w:color="auto"/>
        <w:bottom w:val="none" w:sz="0" w:space="0" w:color="auto"/>
        <w:right w:val="none" w:sz="0" w:space="0" w:color="auto"/>
      </w:divBdr>
    </w:div>
    <w:div w:id="1416515595">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09959966">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1301</TotalTime>
  <Pages>14</Pages>
  <Words>9554</Words>
  <Characters>51593</Characters>
  <Application>Microsoft Office Word</Application>
  <DocSecurity>0</DocSecurity>
  <Lines>429</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76</cp:revision>
  <cp:lastPrinted>2025-12-18T17:48:00Z</cp:lastPrinted>
  <dcterms:created xsi:type="dcterms:W3CDTF">2024-01-29T12:19:00Z</dcterms:created>
  <dcterms:modified xsi:type="dcterms:W3CDTF">2026-02-06T17:37:00Z</dcterms:modified>
</cp:coreProperties>
</file>