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DEAF6" w14:textId="77777777" w:rsidR="00477F4D" w:rsidRPr="00134594" w:rsidRDefault="00477F4D" w:rsidP="00134594">
      <w:pPr>
        <w:spacing w:after="0" w:line="240" w:lineRule="auto"/>
        <w:jc w:val="center"/>
        <w:rPr>
          <w:rFonts w:eastAsia="Arial Unicode MS"/>
          <w:b/>
          <w:sz w:val="20"/>
          <w:u w:val="single"/>
        </w:rPr>
      </w:pPr>
    </w:p>
    <w:p w14:paraId="49F1D8A8" w14:textId="6A4E0385" w:rsidR="008A6408" w:rsidRPr="00134594" w:rsidRDefault="006E786C" w:rsidP="00134594">
      <w:pPr>
        <w:spacing w:after="0" w:line="240" w:lineRule="auto"/>
        <w:jc w:val="center"/>
        <w:rPr>
          <w:rFonts w:eastAsia="Arial Unicode MS"/>
          <w:b/>
          <w:sz w:val="28"/>
          <w:szCs w:val="28"/>
          <w:u w:val="single"/>
        </w:rPr>
      </w:pPr>
      <w:r w:rsidRPr="00134594">
        <w:rPr>
          <w:rFonts w:eastAsia="Arial Unicode MS"/>
          <w:b/>
          <w:sz w:val="28"/>
          <w:szCs w:val="28"/>
          <w:u w:val="single"/>
        </w:rPr>
        <w:t>ESTUDO TÉCNICO PRELIMINAR (ETP)</w:t>
      </w:r>
      <w:r w:rsidR="008A6408" w:rsidRPr="00134594">
        <w:rPr>
          <w:rFonts w:eastAsia="Arial Unicode MS"/>
          <w:b/>
          <w:sz w:val="28"/>
          <w:szCs w:val="28"/>
          <w:u w:val="single"/>
        </w:rPr>
        <w:t xml:space="preserve"> </w:t>
      </w:r>
    </w:p>
    <w:p w14:paraId="22FFD23A" w14:textId="77777777" w:rsidR="00477F4D" w:rsidRPr="00134594" w:rsidRDefault="00477F4D" w:rsidP="00134594">
      <w:pPr>
        <w:spacing w:after="0" w:line="240" w:lineRule="auto"/>
        <w:jc w:val="center"/>
        <w:rPr>
          <w:rFonts w:eastAsia="Arial Unicode MS"/>
          <w:b/>
          <w:sz w:val="20"/>
          <w:u w:val="single"/>
        </w:rPr>
      </w:pPr>
    </w:p>
    <w:p w14:paraId="17B2D112" w14:textId="46A8848C" w:rsidR="006E786C" w:rsidRPr="00134594" w:rsidRDefault="006E786C" w:rsidP="00134594">
      <w:pPr>
        <w:spacing w:after="0" w:line="240" w:lineRule="auto"/>
        <w:rPr>
          <w:rFonts w:eastAsia="Arial Unicode MS"/>
          <w:b/>
          <w:sz w:val="20"/>
          <w:u w:val="single"/>
        </w:rPr>
      </w:pPr>
      <w:r w:rsidRPr="00134594">
        <w:rPr>
          <w:rFonts w:eastAsia="Arial Unicode MS"/>
          <w:b/>
          <w:sz w:val="20"/>
        </w:rPr>
        <w:t>1</w:t>
      </w:r>
      <w:r w:rsidR="007805B9" w:rsidRPr="00134594">
        <w:rPr>
          <w:rFonts w:eastAsia="Arial Unicode MS"/>
          <w:b/>
          <w:sz w:val="20"/>
        </w:rPr>
        <w:t>.</w:t>
      </w:r>
      <w:r w:rsidRPr="00134594">
        <w:rPr>
          <w:rFonts w:eastAsia="Arial Unicode MS"/>
          <w:b/>
          <w:sz w:val="20"/>
        </w:rPr>
        <w:t xml:space="preserve"> INFORMAÇÕES BÁSICAS:</w:t>
      </w:r>
    </w:p>
    <w:p w14:paraId="420B5AA8" w14:textId="335702A6" w:rsidR="006E786C" w:rsidRPr="00134594" w:rsidRDefault="006E786C" w:rsidP="00134594">
      <w:pPr>
        <w:spacing w:after="0" w:line="240" w:lineRule="auto"/>
        <w:ind w:firstLine="709"/>
        <w:jc w:val="both"/>
        <w:rPr>
          <w:rFonts w:eastAsia="Arial Unicode MS"/>
          <w:sz w:val="20"/>
        </w:rPr>
      </w:pPr>
      <w:r w:rsidRPr="00134594">
        <w:rPr>
          <w:rFonts w:eastAsia="Arial Unicode MS"/>
          <w:b/>
          <w:bCs/>
          <w:sz w:val="20"/>
        </w:rPr>
        <w:t>1.1</w:t>
      </w:r>
      <w:r w:rsidR="007805B9" w:rsidRPr="00134594">
        <w:rPr>
          <w:rFonts w:eastAsia="Arial Unicode MS"/>
          <w:b/>
          <w:bCs/>
          <w:sz w:val="20"/>
        </w:rPr>
        <w:t>.</w:t>
      </w:r>
      <w:r w:rsidRPr="00134594">
        <w:rPr>
          <w:rFonts w:eastAsia="Arial Unicode MS"/>
          <w:b/>
          <w:bCs/>
          <w:sz w:val="20"/>
        </w:rPr>
        <w:t xml:space="preserve"> Processo Administrativo: </w:t>
      </w:r>
      <w:r w:rsidR="006A130A">
        <w:rPr>
          <w:rFonts w:eastAsia="Arial Unicode MS"/>
          <w:sz w:val="20"/>
        </w:rPr>
        <w:t>716</w:t>
      </w:r>
      <w:r w:rsidR="00E069BF" w:rsidRPr="00134594">
        <w:rPr>
          <w:rFonts w:eastAsia="Arial Unicode MS"/>
          <w:sz w:val="20"/>
        </w:rPr>
        <w:t>/202</w:t>
      </w:r>
      <w:r w:rsidR="008F742D" w:rsidRPr="00134594">
        <w:rPr>
          <w:rFonts w:eastAsia="Arial Unicode MS"/>
          <w:sz w:val="20"/>
        </w:rPr>
        <w:t>6</w:t>
      </w:r>
      <w:r w:rsidRPr="00134594">
        <w:rPr>
          <w:rFonts w:eastAsia="Arial Unicode MS"/>
          <w:sz w:val="20"/>
        </w:rPr>
        <w:t>.</w:t>
      </w:r>
    </w:p>
    <w:p w14:paraId="48A1C4EF" w14:textId="77777777" w:rsidR="006E786C" w:rsidRPr="00134594" w:rsidRDefault="006E786C" w:rsidP="00134594">
      <w:pPr>
        <w:spacing w:after="0" w:line="240" w:lineRule="auto"/>
        <w:ind w:firstLine="709"/>
        <w:jc w:val="both"/>
        <w:rPr>
          <w:rFonts w:eastAsia="Arial Unicode MS"/>
          <w:sz w:val="20"/>
        </w:rPr>
      </w:pPr>
      <w:r w:rsidRPr="00134594">
        <w:rPr>
          <w:rFonts w:eastAsia="Arial Unicode MS"/>
          <w:b/>
          <w:bCs/>
          <w:sz w:val="20"/>
        </w:rPr>
        <w:t>1.2</w:t>
      </w:r>
      <w:r w:rsidR="007805B9" w:rsidRPr="00134594">
        <w:rPr>
          <w:rFonts w:eastAsia="Arial Unicode MS"/>
          <w:b/>
          <w:bCs/>
          <w:sz w:val="20"/>
        </w:rPr>
        <w:t>.</w:t>
      </w:r>
      <w:r w:rsidRPr="00134594">
        <w:rPr>
          <w:rFonts w:eastAsia="Arial Unicode MS"/>
          <w:b/>
          <w:bCs/>
          <w:sz w:val="20"/>
        </w:rPr>
        <w:t xml:space="preserve"> Área Requisitante: </w:t>
      </w:r>
      <w:r w:rsidR="00290E5C" w:rsidRPr="00134594">
        <w:rPr>
          <w:rFonts w:eastAsia="Arial Unicode MS"/>
          <w:sz w:val="20"/>
        </w:rPr>
        <w:t xml:space="preserve">Secretaria </w:t>
      </w:r>
      <w:r w:rsidR="00AA7742" w:rsidRPr="00134594">
        <w:rPr>
          <w:rFonts w:eastAsia="Arial Unicode MS"/>
          <w:sz w:val="20"/>
        </w:rPr>
        <w:t xml:space="preserve">Municipal </w:t>
      </w:r>
      <w:r w:rsidR="00290E5C" w:rsidRPr="00134594">
        <w:rPr>
          <w:rFonts w:eastAsia="Arial Unicode MS"/>
          <w:sz w:val="20"/>
        </w:rPr>
        <w:t>de Administração, Fazenda e Planejamento</w:t>
      </w:r>
      <w:r w:rsidRPr="00134594">
        <w:rPr>
          <w:rFonts w:eastAsia="Arial Unicode MS"/>
          <w:sz w:val="20"/>
        </w:rPr>
        <w:t>.</w:t>
      </w:r>
    </w:p>
    <w:p w14:paraId="010CDFDE" w14:textId="77777777" w:rsidR="006E786C" w:rsidRPr="00134594" w:rsidRDefault="006E786C" w:rsidP="00134594">
      <w:pPr>
        <w:spacing w:after="0" w:line="240" w:lineRule="auto"/>
        <w:jc w:val="both"/>
        <w:rPr>
          <w:rFonts w:eastAsia="Arial Unicode MS"/>
          <w:b/>
          <w:sz w:val="20"/>
        </w:rPr>
      </w:pPr>
    </w:p>
    <w:p w14:paraId="65F4EF5C" w14:textId="77777777" w:rsidR="006E786C" w:rsidRPr="00134594" w:rsidRDefault="006E786C" w:rsidP="00134594">
      <w:pPr>
        <w:spacing w:after="0" w:line="240" w:lineRule="auto"/>
        <w:jc w:val="both"/>
        <w:rPr>
          <w:rFonts w:eastAsia="Arial Unicode MS"/>
          <w:b/>
          <w:sz w:val="20"/>
        </w:rPr>
      </w:pPr>
      <w:r w:rsidRPr="00134594">
        <w:rPr>
          <w:rFonts w:eastAsia="Arial Unicode MS"/>
          <w:b/>
          <w:sz w:val="20"/>
        </w:rPr>
        <w:t>2</w:t>
      </w:r>
      <w:r w:rsidR="007805B9" w:rsidRPr="00134594">
        <w:rPr>
          <w:rFonts w:eastAsia="Arial Unicode MS"/>
          <w:b/>
          <w:sz w:val="20"/>
        </w:rPr>
        <w:t>.</w:t>
      </w:r>
      <w:r w:rsidRPr="00134594">
        <w:rPr>
          <w:rFonts w:eastAsia="Arial Unicode MS"/>
          <w:b/>
          <w:sz w:val="20"/>
        </w:rPr>
        <w:t xml:space="preserve"> DESCRIÇÃO DA NECESSIDADE: </w:t>
      </w:r>
    </w:p>
    <w:p w14:paraId="52765B5C" w14:textId="77777777" w:rsidR="00477F4D" w:rsidRPr="00477F4D" w:rsidRDefault="00477F4D" w:rsidP="00134594">
      <w:pPr>
        <w:spacing w:after="0" w:line="240" w:lineRule="auto"/>
        <w:jc w:val="both"/>
        <w:rPr>
          <w:rFonts w:eastAsia="Arial Unicode MS"/>
          <w:sz w:val="20"/>
        </w:rPr>
      </w:pPr>
      <w:r w:rsidRPr="00477F4D">
        <w:rPr>
          <w:rFonts w:eastAsia="Arial Unicode MS"/>
          <w:sz w:val="20"/>
        </w:rPr>
        <w:t>2.1. O presente Estudo Técnico Preliminar tem por finalidade demonstrar, sob perspectiva técnica, administrativa e operacional, a necessidade de contratação de empresa especializada para execução de serviços comuns de engenharia de baixa complexidade consistentes na pintura interna e externa da Farmácia Básica da Unidade Básica de Saúde Central do Município de Paverama, realização de reparos pontuais no telhado e nos rufos, bem como adequações no sistema elétrico com instalação de gerador de energia para contingência.</w:t>
      </w:r>
    </w:p>
    <w:p w14:paraId="219BAA78" w14:textId="7D4701CC" w:rsidR="00477F4D" w:rsidRPr="00477F4D" w:rsidRDefault="00477F4D" w:rsidP="00134594">
      <w:pPr>
        <w:spacing w:after="0" w:line="240" w:lineRule="auto"/>
        <w:jc w:val="both"/>
        <w:rPr>
          <w:rFonts w:eastAsia="Arial Unicode MS"/>
          <w:sz w:val="20"/>
        </w:rPr>
      </w:pPr>
      <w:r w:rsidRPr="00477F4D">
        <w:rPr>
          <w:rFonts w:eastAsia="Arial Unicode MS"/>
          <w:sz w:val="20"/>
        </w:rPr>
        <w:t>2.2. A Farmácia Básica da Unidade Básica de Saúde Central constitui setor essencial da política municipal de assistência farmacêutica, sendo responsável pela guarda, organização, controle e dispensação regular de medicamentos à população. A adequada conservação física do ambiente onde se desenvolvem tais atividades não possui natureza meramente estética, mas guarda relação direta com a segurança, preservação patrimonial e regularidade do serviço público prestado.</w:t>
      </w:r>
    </w:p>
    <w:p w14:paraId="6BE79376" w14:textId="77777777" w:rsidR="00477F4D" w:rsidRPr="00477F4D" w:rsidRDefault="00477F4D" w:rsidP="00134594">
      <w:pPr>
        <w:spacing w:after="0" w:line="240" w:lineRule="auto"/>
        <w:jc w:val="both"/>
        <w:rPr>
          <w:rFonts w:eastAsia="Arial Unicode MS"/>
          <w:sz w:val="20"/>
        </w:rPr>
      </w:pPr>
      <w:r w:rsidRPr="00477F4D">
        <w:rPr>
          <w:rFonts w:eastAsia="Arial Unicode MS"/>
          <w:sz w:val="20"/>
        </w:rPr>
        <w:t>2.3. No curso das atividades rotineiras de acompanhamento predial, foram identificados desgastes significativos na pintura interna e externa da edificação, caracterizados por descascamentos, perda de aderência do revestimento e redução da proteção superficial das paredes, especialmente em áreas mais expostas à umidade e intempéries. Embora tais ocorrências não representem risco estrutural imediato, evidenciam deterioração progressiva que, se não tratada tempestivamente, poderá comprometer a durabilidade dos elementos construtivos.</w:t>
      </w:r>
    </w:p>
    <w:p w14:paraId="2E10F5DA" w14:textId="77777777" w:rsidR="00477F4D" w:rsidRPr="00477F4D" w:rsidRDefault="00477F4D" w:rsidP="00134594">
      <w:pPr>
        <w:spacing w:after="0" w:line="240" w:lineRule="auto"/>
        <w:jc w:val="both"/>
        <w:rPr>
          <w:rFonts w:eastAsia="Arial Unicode MS"/>
          <w:sz w:val="20"/>
        </w:rPr>
      </w:pPr>
      <w:r w:rsidRPr="00477F4D">
        <w:rPr>
          <w:rFonts w:eastAsia="Arial Unicode MS"/>
          <w:sz w:val="20"/>
        </w:rPr>
        <w:t>2.4. Paralelamente, constatou-se a existência de pontos localizados de infiltração decorrentes de desgaste natural de elementos da cobertura, notadamente no telhado e nos rufos metálicos responsáveis pela vedação e escoamento das águas pluviais. A manutenção inadequada desses componentes favorece o ingresso de umidade no interior da edificação, com potencial de provocar danos a revestimentos internos, mobiliário, equipamentos e, sobretudo, ao estoque de medicamentos armazenados.</w:t>
      </w:r>
    </w:p>
    <w:p w14:paraId="5BB479E5" w14:textId="77777777" w:rsidR="00477F4D" w:rsidRPr="00477F4D" w:rsidRDefault="00477F4D" w:rsidP="00134594">
      <w:pPr>
        <w:spacing w:after="0" w:line="240" w:lineRule="auto"/>
        <w:jc w:val="both"/>
        <w:rPr>
          <w:rFonts w:eastAsia="Arial Unicode MS"/>
          <w:sz w:val="20"/>
        </w:rPr>
      </w:pPr>
      <w:r w:rsidRPr="00477F4D">
        <w:rPr>
          <w:rFonts w:eastAsia="Arial Unicode MS"/>
          <w:sz w:val="20"/>
        </w:rPr>
        <w:t>2.5. A não realização de reparos preventivos em sistemas de cobertura tende a gerar agravamento progressivo das patologias construtivas, ampliando o alcance dos danos e elevando significativamente os custos futuros de recuperação. Sob a ótica da gestão patrimonial, a intervenção ora proposta configura medida de manutenção corretiva e preventiva programada, destinada a preservar a integridade do ativo público e maximizar sua vida útil, evitando intervenções de maior vulto decorrentes de omissão administrativa.</w:t>
      </w:r>
    </w:p>
    <w:p w14:paraId="35B52DE5" w14:textId="25B98097" w:rsidR="00477F4D" w:rsidRPr="00477F4D" w:rsidRDefault="00477F4D" w:rsidP="00134594">
      <w:pPr>
        <w:spacing w:after="0" w:line="240" w:lineRule="auto"/>
        <w:jc w:val="both"/>
        <w:rPr>
          <w:rFonts w:eastAsia="Arial Unicode MS"/>
          <w:sz w:val="20"/>
        </w:rPr>
      </w:pPr>
      <w:r w:rsidRPr="00477F4D">
        <w:rPr>
          <w:rFonts w:eastAsia="Arial Unicode MS"/>
          <w:sz w:val="20"/>
        </w:rPr>
        <w:t xml:space="preserve">2.6. No que se refere ao sistema elétrico, identificou-se vulnerabilidade operacional relacionada à ausência de fonte alternativa de energia capaz de garantir funcionamento contínuo da Farmácia Básica em situações de interrupção no fornecimento pela concessionária. Registra-se que, historicamente, a região central do Município apresenta episódios recorrentes de instabilidade no </w:t>
      </w:r>
      <w:r w:rsidRPr="00477F4D">
        <w:rPr>
          <w:rFonts w:eastAsia="Arial Unicode MS"/>
          <w:sz w:val="20"/>
        </w:rPr>
        <w:lastRenderedPageBreak/>
        <w:t xml:space="preserve">fornecimento de energia elétrica, </w:t>
      </w:r>
      <w:r w:rsidRPr="00134594">
        <w:rPr>
          <w:rFonts w:eastAsia="Arial Unicode MS"/>
          <w:sz w:val="20"/>
        </w:rPr>
        <w:t xml:space="preserve">principalmente em dias de chuva </w:t>
      </w:r>
      <w:r w:rsidR="00CA7843">
        <w:rPr>
          <w:rFonts w:eastAsia="Arial Unicode MS"/>
          <w:sz w:val="20"/>
        </w:rPr>
        <w:t>forte ou temporal ou em manutenções da Rede de Energia Elétrica</w:t>
      </w:r>
      <w:r w:rsidRPr="00134594">
        <w:rPr>
          <w:rFonts w:eastAsia="Arial Unicode MS"/>
          <w:sz w:val="20"/>
        </w:rPr>
        <w:t xml:space="preserve">, </w:t>
      </w:r>
      <w:r w:rsidRPr="00477F4D">
        <w:rPr>
          <w:rFonts w:eastAsia="Arial Unicode MS"/>
          <w:sz w:val="20"/>
        </w:rPr>
        <w:t>circunstância que tem gerado risco à conservação de medicamentos e vacinas armazenados sob regime de refrigeração.</w:t>
      </w:r>
    </w:p>
    <w:p w14:paraId="02AE6CA8" w14:textId="31BA6BA1" w:rsidR="00477F4D" w:rsidRPr="00477F4D" w:rsidRDefault="00477F4D" w:rsidP="00134594">
      <w:pPr>
        <w:spacing w:after="0" w:line="240" w:lineRule="auto"/>
        <w:jc w:val="both"/>
        <w:rPr>
          <w:rFonts w:eastAsia="Arial Unicode MS"/>
          <w:sz w:val="20"/>
        </w:rPr>
      </w:pPr>
      <w:r w:rsidRPr="00477F4D">
        <w:rPr>
          <w:rFonts w:eastAsia="Arial Unicode MS"/>
          <w:sz w:val="20"/>
        </w:rPr>
        <w:t>2.7. A inexistência de sistema de geração de energia de contingência expõe o Município a riscos operacionais relevantes, dentre os quais se destacam a quebra da cadeia de frio, o comprometimento da estabilidade térmica de medicamentos termossensíveis</w:t>
      </w:r>
      <w:r w:rsidR="00CA7843">
        <w:rPr>
          <w:rFonts w:eastAsia="Arial Unicode MS"/>
          <w:sz w:val="20"/>
        </w:rPr>
        <w:t xml:space="preserve"> e de Vacinas</w:t>
      </w:r>
      <w:r w:rsidRPr="00477F4D">
        <w:rPr>
          <w:rFonts w:eastAsia="Arial Unicode MS"/>
          <w:sz w:val="20"/>
        </w:rPr>
        <w:t xml:space="preserve">, a necessidade de descarte de insumos de elevado valor financeiro e eventual descontinuidade temporária da dispensação farmacêutica. </w:t>
      </w:r>
    </w:p>
    <w:p w14:paraId="6852677E" w14:textId="795EF310" w:rsidR="00477F4D" w:rsidRPr="00477F4D" w:rsidRDefault="00477F4D" w:rsidP="00134594">
      <w:pPr>
        <w:spacing w:after="0" w:line="240" w:lineRule="auto"/>
        <w:jc w:val="both"/>
        <w:rPr>
          <w:rFonts w:eastAsia="Arial Unicode MS"/>
          <w:sz w:val="20"/>
        </w:rPr>
      </w:pPr>
      <w:r w:rsidRPr="00477F4D">
        <w:rPr>
          <w:rFonts w:eastAsia="Arial Unicode MS"/>
          <w:sz w:val="20"/>
        </w:rPr>
        <w:t>2.</w:t>
      </w:r>
      <w:r w:rsidRPr="00134594">
        <w:rPr>
          <w:rFonts w:eastAsia="Arial Unicode MS"/>
          <w:sz w:val="20"/>
        </w:rPr>
        <w:t>8</w:t>
      </w:r>
      <w:r w:rsidRPr="00477F4D">
        <w:rPr>
          <w:rFonts w:eastAsia="Arial Unicode MS"/>
          <w:sz w:val="20"/>
        </w:rPr>
        <w:t>.</w:t>
      </w:r>
      <w:r w:rsidR="00CA7843">
        <w:rPr>
          <w:rFonts w:eastAsia="Arial Unicode MS"/>
          <w:sz w:val="20"/>
        </w:rPr>
        <w:t xml:space="preserve"> </w:t>
      </w:r>
      <w:r w:rsidRPr="00477F4D">
        <w:rPr>
          <w:rFonts w:eastAsia="Arial Unicode MS"/>
          <w:sz w:val="20"/>
        </w:rPr>
        <w:t>Importa destacar que a intervenção não contempla ampliação de áreas, reconfiguração estrutural, alteração de layout funcional ou execução de obras de grande porte, restringindo-se a serviços pontuais de manutenção e adequação técnica. Tal delimitação objetiva assegura clareza no escopo, previsibilidade executiva e mensurabilidade dos quantitativos envolvidos.</w:t>
      </w:r>
    </w:p>
    <w:p w14:paraId="30C70056" w14:textId="6DF96F7D" w:rsidR="00477F4D" w:rsidRPr="00477F4D" w:rsidRDefault="00477F4D" w:rsidP="00134594">
      <w:pPr>
        <w:spacing w:after="0" w:line="240" w:lineRule="auto"/>
        <w:jc w:val="both"/>
        <w:rPr>
          <w:rFonts w:eastAsia="Arial Unicode MS"/>
          <w:sz w:val="20"/>
        </w:rPr>
      </w:pPr>
      <w:r w:rsidRPr="00477F4D">
        <w:rPr>
          <w:rFonts w:eastAsia="Arial Unicode MS"/>
          <w:sz w:val="20"/>
        </w:rPr>
        <w:t>2.</w:t>
      </w:r>
      <w:r w:rsidR="00CA7843">
        <w:rPr>
          <w:rFonts w:eastAsia="Arial Unicode MS"/>
          <w:sz w:val="20"/>
        </w:rPr>
        <w:t xml:space="preserve">9. </w:t>
      </w:r>
      <w:r w:rsidRPr="00477F4D">
        <w:rPr>
          <w:rFonts w:eastAsia="Arial Unicode MS"/>
          <w:sz w:val="20"/>
        </w:rPr>
        <w:t>À luz do conjunto de elementos técnicos apresentados, conclui-se que a contratação pretendida é necessária, adequada e proporcional à demanda identificada, estando orientada à mitigação de riscos operacionais, preservação do patrimônio público, continuidade da assistência farmacêutica e aprimoramento das condições físicas da unidade. A medida demonstra alinhamento com princípios de planejamento, eficiência administrativa e governança pública, encontrando-se devidamente fundamentada para fins de prosseguimento da fase preparatória da contratação.</w:t>
      </w:r>
    </w:p>
    <w:p w14:paraId="77F9F53E" w14:textId="77777777" w:rsidR="009020FF" w:rsidRPr="00134594" w:rsidRDefault="009020FF" w:rsidP="00134594">
      <w:pPr>
        <w:spacing w:after="0" w:line="240" w:lineRule="auto"/>
        <w:jc w:val="both"/>
        <w:rPr>
          <w:rFonts w:eastAsia="Arial Unicode MS"/>
          <w:sz w:val="20"/>
        </w:rPr>
      </w:pPr>
    </w:p>
    <w:p w14:paraId="0F42A326" w14:textId="77777777" w:rsidR="006E786C" w:rsidRPr="00134594" w:rsidRDefault="006E786C" w:rsidP="00134594">
      <w:pPr>
        <w:spacing w:after="0" w:line="240" w:lineRule="auto"/>
        <w:jc w:val="both"/>
        <w:rPr>
          <w:rFonts w:eastAsia="Arial Unicode MS"/>
          <w:b/>
          <w:sz w:val="20"/>
        </w:rPr>
      </w:pPr>
      <w:r w:rsidRPr="00134594">
        <w:rPr>
          <w:rFonts w:eastAsia="Arial Unicode MS"/>
          <w:b/>
          <w:sz w:val="20"/>
        </w:rPr>
        <w:t>3</w:t>
      </w:r>
      <w:r w:rsidR="007805B9" w:rsidRPr="00134594">
        <w:rPr>
          <w:rFonts w:eastAsia="Arial Unicode MS"/>
          <w:b/>
          <w:sz w:val="20"/>
        </w:rPr>
        <w:t>.</w:t>
      </w:r>
      <w:r w:rsidRPr="00134594">
        <w:rPr>
          <w:rFonts w:eastAsia="Arial Unicode MS"/>
          <w:b/>
          <w:sz w:val="20"/>
        </w:rPr>
        <w:t xml:space="preserve"> DESCRIÇÃO DOS REQUISITOS DA CONTRATAÇÃO:</w:t>
      </w:r>
    </w:p>
    <w:p w14:paraId="68622746" w14:textId="08B61953" w:rsidR="000D355E" w:rsidRPr="00134594" w:rsidRDefault="00C41A32" w:rsidP="00134594">
      <w:pPr>
        <w:spacing w:after="0" w:line="240" w:lineRule="auto"/>
        <w:jc w:val="both"/>
        <w:rPr>
          <w:rFonts w:eastAsia="Arial Unicode MS"/>
          <w:sz w:val="20"/>
        </w:rPr>
      </w:pPr>
      <w:r w:rsidRPr="00C41A32">
        <w:rPr>
          <w:rFonts w:eastAsia="Arial Unicode MS"/>
          <w:sz w:val="20"/>
        </w:rPr>
        <w:t xml:space="preserve">3.1. Para assegurar a adequada, regular e eficiente execução dos serviços de engenharia </w:t>
      </w:r>
      <w:r w:rsidR="00CA7843">
        <w:rPr>
          <w:rFonts w:eastAsia="Arial Unicode MS"/>
          <w:sz w:val="20"/>
        </w:rPr>
        <w:t>n</w:t>
      </w:r>
      <w:r w:rsidRPr="00C41A32">
        <w:rPr>
          <w:rFonts w:eastAsia="Arial Unicode MS"/>
          <w:sz w:val="20"/>
        </w:rPr>
        <w:t xml:space="preserve">a Farmácia Básica da Unidade Básica de Saúde Central, as planilhas orçamentárias, composições de custos e quantitativos apresentados pelos licitantes deverão estar integralmente preenchidos, detalhados e compatíveis com os serviços previstos no Projeto de Engenharia, no Memorial Descritivo e no Termo de Referência. </w:t>
      </w:r>
    </w:p>
    <w:p w14:paraId="71B5B398" w14:textId="16DD4FD7" w:rsidR="00C41A32" w:rsidRPr="00C41A32" w:rsidRDefault="000D355E" w:rsidP="00134594">
      <w:pPr>
        <w:spacing w:after="0" w:line="240" w:lineRule="auto"/>
        <w:ind w:firstLine="708"/>
        <w:jc w:val="both"/>
        <w:rPr>
          <w:rFonts w:eastAsia="Arial Unicode MS"/>
          <w:sz w:val="20"/>
        </w:rPr>
      </w:pPr>
      <w:r w:rsidRPr="00134594">
        <w:rPr>
          <w:rFonts w:eastAsia="Arial Unicode MS"/>
          <w:sz w:val="20"/>
        </w:rPr>
        <w:t xml:space="preserve">3.1.1. </w:t>
      </w:r>
      <w:r w:rsidR="00C41A32" w:rsidRPr="00C41A32">
        <w:rPr>
          <w:rFonts w:eastAsia="Arial Unicode MS"/>
          <w:sz w:val="20"/>
        </w:rPr>
        <w:t xml:space="preserve">As propostas deverão evidenciar coerência técnica e econômica, compatibilidade entre valores unitários, métodos executivos e materiais empregados, observando, como referência, os parâmetros oficiais adotados pela Administração, notadamente aqueles constantes do Sistema Nacional de Pesquisa de Custos e Índices da Construção Civil – SINAPI + </w:t>
      </w:r>
      <w:r w:rsidR="00CA7843">
        <w:rPr>
          <w:rFonts w:eastAsia="Arial Unicode MS"/>
          <w:sz w:val="20"/>
        </w:rPr>
        <w:t>as Cotações do ORSE.</w:t>
      </w:r>
    </w:p>
    <w:p w14:paraId="62B7CDAC" w14:textId="77777777" w:rsidR="00C41A32" w:rsidRPr="00C41A32" w:rsidRDefault="00C41A32" w:rsidP="00134594">
      <w:pPr>
        <w:spacing w:after="0" w:line="240" w:lineRule="auto"/>
        <w:jc w:val="both"/>
        <w:rPr>
          <w:rFonts w:eastAsia="Arial Unicode MS"/>
          <w:sz w:val="20"/>
        </w:rPr>
      </w:pPr>
      <w:r w:rsidRPr="00C41A32">
        <w:rPr>
          <w:rFonts w:eastAsia="Arial Unicode MS"/>
          <w:sz w:val="20"/>
        </w:rPr>
        <w:t>3.2. O objeto da contratação caracteriza-se como obra e serviço comum de engenharia, envolvendo execução contínua, métodos construtivos padronizados, resultados objetivamente mensuráveis e exigência de responsabilidade técnica legalmente habilitada, o que justifica a imposição de requisitos técnicos, operacionais e profissionais compatíveis com o porte, o risco e a relevância social do empreendimento.</w:t>
      </w:r>
    </w:p>
    <w:p w14:paraId="405A1846" w14:textId="77777777" w:rsidR="00C41A32" w:rsidRPr="00C41A32" w:rsidRDefault="00C41A32" w:rsidP="00134594">
      <w:pPr>
        <w:spacing w:after="0" w:line="240" w:lineRule="auto"/>
        <w:jc w:val="both"/>
        <w:rPr>
          <w:rFonts w:eastAsia="Arial Unicode MS"/>
          <w:sz w:val="20"/>
        </w:rPr>
      </w:pPr>
      <w:r w:rsidRPr="00C41A32">
        <w:rPr>
          <w:rFonts w:eastAsia="Arial Unicode MS"/>
          <w:sz w:val="20"/>
        </w:rPr>
        <w:t>3.3. Todos os encargos de natureza tributária, trabalhista, previdenciária, securitária, ambiental, técnica e operacional decorrentes da execução dos serviços serão de inteira e exclusiva responsabilidade da empresa contratada, incluindo taxas, registros, licenças, autorizações e demais exigências impostas pelos órgãos competentes. Compete à contratada arcar integralmente com os custos relativos ao transporte, armazenamento, manuseio e aplicação de materiais, insumos, equipamentos, ferramentas e mão de obra necessários à execução do objeto.</w:t>
      </w:r>
    </w:p>
    <w:p w14:paraId="6A8D886F" w14:textId="77777777" w:rsidR="000D355E" w:rsidRPr="00134594" w:rsidRDefault="00C41A32" w:rsidP="006A130A">
      <w:pPr>
        <w:spacing w:after="0" w:line="240" w:lineRule="auto"/>
        <w:jc w:val="both"/>
        <w:rPr>
          <w:rFonts w:eastAsia="Arial Unicode MS"/>
          <w:sz w:val="20"/>
        </w:rPr>
      </w:pPr>
      <w:r w:rsidRPr="00C41A32">
        <w:rPr>
          <w:rFonts w:eastAsia="Arial Unicode MS"/>
          <w:sz w:val="20"/>
        </w:rPr>
        <w:lastRenderedPageBreak/>
        <w:t>3.4. A execução dos serviços ficará sujeita à fiscalização permanente da Administração Pública, que verificará o fiel cumprimento das obrigações contratuais, abrangendo, entre outros aspectos:</w:t>
      </w:r>
    </w:p>
    <w:p w14:paraId="4BC91DB0" w14:textId="77777777" w:rsidR="000D355E" w:rsidRPr="00134594" w:rsidRDefault="00C41A32" w:rsidP="00134594">
      <w:pPr>
        <w:spacing w:after="0" w:line="240" w:lineRule="auto"/>
        <w:ind w:firstLine="851"/>
        <w:jc w:val="both"/>
        <w:rPr>
          <w:rFonts w:eastAsia="Arial Unicode MS"/>
          <w:sz w:val="20"/>
        </w:rPr>
      </w:pPr>
      <w:r w:rsidRPr="00C41A32">
        <w:rPr>
          <w:rFonts w:eastAsia="Arial Unicode MS"/>
          <w:sz w:val="20"/>
        </w:rPr>
        <w:t>a) o atendimento às normas de segurança e saúde no trabalho, inclusive quanto ao uso obrigatório de Equipamentos de Proteção Individual – EPIs e à adoção de medidas preventivas de acidentes;</w:t>
      </w:r>
    </w:p>
    <w:p w14:paraId="5A84EDC3" w14:textId="76343458" w:rsidR="000D355E" w:rsidRPr="00134594" w:rsidRDefault="00C41A32" w:rsidP="00134594">
      <w:pPr>
        <w:spacing w:after="0" w:line="240" w:lineRule="auto"/>
        <w:ind w:firstLine="851"/>
        <w:jc w:val="both"/>
        <w:rPr>
          <w:rFonts w:eastAsia="Arial Unicode MS"/>
          <w:sz w:val="20"/>
        </w:rPr>
      </w:pPr>
      <w:r w:rsidRPr="00C41A32">
        <w:rPr>
          <w:rFonts w:eastAsia="Arial Unicode MS"/>
          <w:sz w:val="20"/>
        </w:rPr>
        <w:t>b) a conformidade dos materiais, equipamentos e serviços executados com os projetos, o Memorial Descritivo e as normas técnicas aplicáveis; e</w:t>
      </w:r>
    </w:p>
    <w:p w14:paraId="5B6218A2" w14:textId="1A5F7129" w:rsidR="00C41A32" w:rsidRPr="00C41A32" w:rsidRDefault="00C41A32" w:rsidP="00134594">
      <w:pPr>
        <w:spacing w:after="0" w:line="240" w:lineRule="auto"/>
        <w:ind w:firstLine="851"/>
        <w:jc w:val="both"/>
        <w:rPr>
          <w:rFonts w:eastAsia="Arial Unicode MS"/>
          <w:sz w:val="20"/>
        </w:rPr>
      </w:pPr>
      <w:r w:rsidRPr="00C41A32">
        <w:rPr>
          <w:rFonts w:eastAsia="Arial Unicode MS"/>
          <w:sz w:val="20"/>
        </w:rPr>
        <w:t>c) a observância de critérios de sustentabilidade ambiental, social e econômica, incluindo o correto manejo de resíduos da construção civil, a mitigação de impactos ambientais e a adoção de condutas ambientalmente responsáveis durante toda a execução dos serviços.</w:t>
      </w:r>
    </w:p>
    <w:p w14:paraId="5D57EB92" w14:textId="77777777" w:rsidR="00C41A32" w:rsidRPr="00C41A32" w:rsidRDefault="00C41A32" w:rsidP="00134594">
      <w:pPr>
        <w:spacing w:after="0" w:line="240" w:lineRule="auto"/>
        <w:jc w:val="both"/>
        <w:rPr>
          <w:rFonts w:eastAsia="Arial Unicode MS"/>
          <w:sz w:val="20"/>
        </w:rPr>
      </w:pPr>
      <w:r w:rsidRPr="00C41A32">
        <w:rPr>
          <w:rFonts w:eastAsia="Arial Unicode MS"/>
          <w:sz w:val="20"/>
        </w:rPr>
        <w:t>3.5. O prazo de vigência contratual abrangerá o período necessário à execução integral dos serviços, às medições finais, ao recebimento provisório e definitivo e à resolução de eventuais pendências técnico-administrativas, não se confundindo com o prazo de execução física dos serviços. Eventual prorrogação somente poderá ocorrer nas hipóteses legalmente admitidas, mediante justificativa técnica formal e prévia autorização da Administração.</w:t>
      </w:r>
    </w:p>
    <w:p w14:paraId="10F52F63" w14:textId="06889436" w:rsidR="00C41A32" w:rsidRPr="00C41A32" w:rsidRDefault="00C41A32" w:rsidP="00134594">
      <w:pPr>
        <w:spacing w:after="0" w:line="240" w:lineRule="auto"/>
        <w:jc w:val="both"/>
        <w:rPr>
          <w:rFonts w:eastAsia="Arial Unicode MS"/>
          <w:b/>
          <w:bCs/>
          <w:sz w:val="20"/>
        </w:rPr>
      </w:pPr>
      <w:r w:rsidRPr="00C41A32">
        <w:rPr>
          <w:rFonts w:eastAsia="Arial Unicode MS"/>
          <w:sz w:val="20"/>
        </w:rPr>
        <w:t xml:space="preserve">3.6. A vistoria técnica no local dos serviços será </w:t>
      </w:r>
      <w:r w:rsidR="00CA7843" w:rsidRPr="00C41A32">
        <w:rPr>
          <w:rFonts w:eastAsia="Arial Unicode MS"/>
          <w:b/>
          <w:bCs/>
          <w:sz w:val="20"/>
        </w:rPr>
        <w:t>FACULTATIVA</w:t>
      </w:r>
      <w:r w:rsidRPr="00C41A32">
        <w:rPr>
          <w:rFonts w:eastAsia="Arial Unicode MS"/>
          <w:sz w:val="20"/>
        </w:rPr>
        <w:t xml:space="preserve">, cabendo às licitantes avaliar a necessidade de sua realização para pleno conhecimento das condições locais de execução. </w:t>
      </w:r>
      <w:r w:rsidRPr="00C41A32">
        <w:rPr>
          <w:rFonts w:eastAsia="Arial Unicode MS"/>
          <w:b/>
          <w:bCs/>
          <w:sz w:val="20"/>
        </w:rPr>
        <w:t>A opção pela vistoria facultativa visa preservar a competitividade do certame e afastar exigências desnecessárias à habilitação, não sendo admitidas, posteriormente, alegações de desconhecimento das condições do local como fundamento para pleitos de reequilíbrio econômico-financeiro, atrasos ou aditivos indevidos.</w:t>
      </w:r>
    </w:p>
    <w:p w14:paraId="2927994C" w14:textId="77777777" w:rsidR="00C41A32" w:rsidRPr="00C41A32" w:rsidRDefault="00C41A32" w:rsidP="00134594">
      <w:pPr>
        <w:spacing w:after="0" w:line="240" w:lineRule="auto"/>
        <w:jc w:val="both"/>
        <w:rPr>
          <w:rFonts w:eastAsia="Arial Unicode MS"/>
          <w:sz w:val="20"/>
        </w:rPr>
      </w:pPr>
      <w:r w:rsidRPr="00C41A32">
        <w:rPr>
          <w:rFonts w:eastAsia="Arial Unicode MS"/>
          <w:sz w:val="20"/>
        </w:rPr>
        <w:t>3.7. A execução dos serviços não gerará, em nenhuma hipótese, vínculo empregatício entre os empregados, prepostos ou subcontratados da empresa contratada e a Administração Pública, sendo vedada qualquer relação que caracterize pessoalidade ou subordinação direta, competindo exclusivamente à contratada o cumprimento das obrigações trabalhistas, previdenciárias e correlatas.</w:t>
      </w:r>
    </w:p>
    <w:p w14:paraId="6F30B227" w14:textId="68B2D32D" w:rsidR="00C41A32" w:rsidRPr="00134594" w:rsidRDefault="00C41A32" w:rsidP="00134594">
      <w:pPr>
        <w:spacing w:after="0" w:line="240" w:lineRule="auto"/>
        <w:jc w:val="both"/>
        <w:rPr>
          <w:rFonts w:eastAsia="Arial Unicode MS"/>
          <w:sz w:val="20"/>
        </w:rPr>
      </w:pPr>
      <w:r w:rsidRPr="00C41A32">
        <w:rPr>
          <w:rFonts w:eastAsia="Arial Unicode MS"/>
          <w:sz w:val="20"/>
        </w:rPr>
        <w:t>3.8</w:t>
      </w:r>
      <w:r w:rsidRPr="00134594">
        <w:rPr>
          <w:rFonts w:eastAsia="Arial Unicode MS"/>
          <w:sz w:val="20"/>
        </w:rPr>
        <w:t xml:space="preserve">. </w:t>
      </w:r>
      <w:r w:rsidRPr="00C41A32">
        <w:rPr>
          <w:rFonts w:eastAsia="Arial Unicode MS"/>
          <w:sz w:val="20"/>
        </w:rPr>
        <w:t>Para a prestação dos serviços pretendidos, os licitantes deverão comprovar atuação em ramo de atividade compatível com o objeto da licitação, bem como apresentar, a título de qualificação técnica, nos termos do art. 62, inciso II, da Lei nº 14.133/2021, a seguinte documentação:</w:t>
      </w:r>
    </w:p>
    <w:p w14:paraId="6F16D568" w14:textId="0FBFEE52" w:rsidR="00477F4D" w:rsidRPr="00CA7843" w:rsidRDefault="00C41A32" w:rsidP="00134594">
      <w:pPr>
        <w:spacing w:after="0" w:line="240" w:lineRule="auto"/>
        <w:jc w:val="both"/>
        <w:rPr>
          <w:rFonts w:eastAsia="Arial Unicode MS"/>
          <w:b/>
          <w:bCs/>
          <w:sz w:val="20"/>
          <w:u w:val="single"/>
        </w:rPr>
      </w:pPr>
      <w:r w:rsidRPr="00134594">
        <w:rPr>
          <w:rFonts w:eastAsia="Arial Unicode MS"/>
          <w:sz w:val="20"/>
        </w:rPr>
        <w:tab/>
      </w:r>
      <w:r w:rsidR="00477F4D" w:rsidRPr="00477F4D">
        <w:rPr>
          <w:rFonts w:eastAsia="Arial Unicode MS"/>
          <w:b/>
          <w:bCs/>
          <w:sz w:val="20"/>
        </w:rPr>
        <w:t>3.</w:t>
      </w:r>
      <w:r w:rsidR="00477F4D" w:rsidRPr="00CA7843">
        <w:rPr>
          <w:rFonts w:eastAsia="Arial Unicode MS"/>
          <w:b/>
          <w:bCs/>
          <w:sz w:val="20"/>
        </w:rPr>
        <w:t>8</w:t>
      </w:r>
      <w:r w:rsidR="00477F4D" w:rsidRPr="00477F4D">
        <w:rPr>
          <w:rFonts w:eastAsia="Arial Unicode MS"/>
          <w:b/>
          <w:bCs/>
          <w:sz w:val="20"/>
        </w:rPr>
        <w:t>.1</w:t>
      </w:r>
      <w:r w:rsidR="00477F4D" w:rsidRPr="00CA7843">
        <w:rPr>
          <w:rFonts w:eastAsia="Arial Unicode MS" w:hint="eastAsia"/>
          <w:b/>
          <w:bCs/>
          <w:sz w:val="20"/>
        </w:rPr>
        <w:t>. HABILITAÇÃO JURÍDICA:</w:t>
      </w:r>
    </w:p>
    <w:p w14:paraId="5A05D7F6" w14:textId="3743D9CE"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a) No caso de empresário individual: Inscrição no Registro Público de Empresas Mercantis</w:t>
      </w:r>
      <w:r w:rsidR="000D355E" w:rsidRPr="00134594">
        <w:rPr>
          <w:rFonts w:eastAsia="Arial Unicode MS"/>
          <w:sz w:val="20"/>
        </w:rPr>
        <w:t>.</w:t>
      </w:r>
    </w:p>
    <w:p w14:paraId="2D3AE8D6" w14:textId="6F5438F5"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b) Em se tratando de microempreendedor individual – MEI: Certificado da Condição</w:t>
      </w:r>
      <w:r w:rsidR="00E02FFC" w:rsidRPr="00134594">
        <w:rPr>
          <w:rFonts w:eastAsia="Arial Unicode MS"/>
          <w:sz w:val="20"/>
        </w:rPr>
        <w:t xml:space="preserve"> </w:t>
      </w:r>
      <w:r w:rsidRPr="00477F4D">
        <w:rPr>
          <w:rFonts w:eastAsia="Arial Unicode MS" w:hint="eastAsia"/>
          <w:sz w:val="20"/>
        </w:rPr>
        <w:t xml:space="preserve">de Microempreendedor Individual </w:t>
      </w:r>
      <w:r w:rsidR="000D355E" w:rsidRPr="00134594">
        <w:rPr>
          <w:rFonts w:eastAsia="Arial Unicode MS"/>
          <w:sz w:val="20"/>
        </w:rPr>
        <w:t>–</w:t>
      </w:r>
      <w:r w:rsidRPr="00477F4D">
        <w:rPr>
          <w:rFonts w:eastAsia="Arial Unicode MS" w:hint="eastAsia"/>
          <w:sz w:val="20"/>
        </w:rPr>
        <w:t xml:space="preserve"> CCMEI</w:t>
      </w:r>
      <w:r w:rsidR="000D355E" w:rsidRPr="00134594">
        <w:rPr>
          <w:rFonts w:eastAsia="Arial Unicode MS"/>
          <w:sz w:val="20"/>
        </w:rPr>
        <w:t>.</w:t>
      </w:r>
    </w:p>
    <w:p w14:paraId="480325DF" w14:textId="54CB2751"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c) No caso de sociedade empresária ou empresa individual de responsabilidade limitada - EIRELI: ato constitutivo, estatuto ou contrato social em vigor</w:t>
      </w:r>
      <w:r w:rsidR="000D355E" w:rsidRPr="00134594">
        <w:rPr>
          <w:rFonts w:eastAsia="Arial Unicode MS"/>
          <w:sz w:val="20"/>
        </w:rPr>
        <w:t>.</w:t>
      </w:r>
    </w:p>
    <w:p w14:paraId="3BD0A478" w14:textId="77777777"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d) Inscrição no Registro Público de Empresas Mercantis onde opera, com averbação no Registro onde tem sede a matriz, no caso de ser o participante sucursal, filial ou agência;</w:t>
      </w:r>
    </w:p>
    <w:p w14:paraId="4E425BDF" w14:textId="7EF37605"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d) No caso de sociedade simples: inscrição do ato constitutivo no Registro Civil das Pessoas Jurídicas</w:t>
      </w:r>
      <w:r w:rsidR="000D355E" w:rsidRPr="00134594">
        <w:rPr>
          <w:rFonts w:eastAsia="Arial Unicode MS"/>
          <w:sz w:val="20"/>
        </w:rPr>
        <w:t>.</w:t>
      </w:r>
    </w:p>
    <w:p w14:paraId="62CB5067" w14:textId="6BAA3BFA"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e) No caso de cooperativa: ata de fundação e estatuto social em vigor, com a ata da assembleia que o aprovou</w:t>
      </w:r>
      <w:r w:rsidR="000D355E" w:rsidRPr="00134594">
        <w:rPr>
          <w:rFonts w:eastAsia="Arial Unicode MS"/>
          <w:sz w:val="20"/>
        </w:rPr>
        <w:t>.</w:t>
      </w:r>
    </w:p>
    <w:p w14:paraId="2CD869D1" w14:textId="77777777" w:rsidR="00477F4D" w:rsidRPr="00477F4D" w:rsidRDefault="00477F4D" w:rsidP="00134594">
      <w:pPr>
        <w:spacing w:after="0" w:line="240" w:lineRule="auto"/>
        <w:ind w:firstLine="1418"/>
        <w:jc w:val="both"/>
        <w:rPr>
          <w:rFonts w:eastAsia="Arial Unicode MS"/>
          <w:sz w:val="20"/>
        </w:rPr>
      </w:pPr>
      <w:r w:rsidRPr="00477F4D">
        <w:rPr>
          <w:rFonts w:eastAsia="Arial Unicode MS" w:hint="eastAsia"/>
          <w:sz w:val="20"/>
        </w:rPr>
        <w:t>f) No caso de empresa ou sociedade estrangeira em funcionamento no País: decreto de autorização.</w:t>
      </w:r>
    </w:p>
    <w:p w14:paraId="42B3EFEB" w14:textId="1553524C" w:rsidR="00C41A32" w:rsidRPr="00CA7843" w:rsidRDefault="00477F4D" w:rsidP="00134594">
      <w:pPr>
        <w:spacing w:after="0" w:line="240" w:lineRule="auto"/>
        <w:ind w:firstLine="709"/>
        <w:jc w:val="both"/>
        <w:rPr>
          <w:rFonts w:eastAsia="Arial Unicode MS"/>
          <w:b/>
          <w:bCs/>
          <w:sz w:val="20"/>
        </w:rPr>
      </w:pPr>
      <w:r w:rsidRPr="00CA7843">
        <w:rPr>
          <w:rFonts w:eastAsia="Arial Unicode MS"/>
          <w:b/>
          <w:bCs/>
          <w:sz w:val="20"/>
        </w:rPr>
        <w:t xml:space="preserve">3.8.2. </w:t>
      </w:r>
      <w:r w:rsidR="00C41A32" w:rsidRPr="00CA7843">
        <w:rPr>
          <w:rFonts w:eastAsia="Arial Unicode MS"/>
          <w:b/>
          <w:bCs/>
          <w:sz w:val="20"/>
        </w:rPr>
        <w:t>HABILITAÇÃO FISCAL, SOCIAL E TRABALHISTA:</w:t>
      </w:r>
    </w:p>
    <w:p w14:paraId="467F8237" w14:textId="6B06B477" w:rsidR="00C41A32" w:rsidRPr="00134594" w:rsidRDefault="00C41A32" w:rsidP="00134594">
      <w:pPr>
        <w:spacing w:after="0" w:line="240" w:lineRule="auto"/>
        <w:ind w:firstLine="1418"/>
        <w:jc w:val="both"/>
        <w:rPr>
          <w:rFonts w:eastAsia="Arial Unicode MS"/>
          <w:sz w:val="20"/>
        </w:rPr>
      </w:pPr>
      <w:r w:rsidRPr="00134594">
        <w:rPr>
          <w:rFonts w:eastAsia="Arial Unicode MS" w:hint="eastAsia"/>
          <w:sz w:val="20"/>
        </w:rPr>
        <w:t>a) Prova de Inscrição no Cadastro Nacional de Pessoa Jurídica (CNPJ);</w:t>
      </w:r>
    </w:p>
    <w:p w14:paraId="24B35AF6" w14:textId="7B46292C"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b) Prova de Inscrição no cadastro de contribuintes Municipal e, se possuir, do Estadual, relativo ao domicílio ou sede do licitante, pertinente ao seu ramo de atividade e compatível com o objeto da licitação;</w:t>
      </w:r>
    </w:p>
    <w:p w14:paraId="0FB56730" w14:textId="251D1BC8"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c) Certidão Negativa de Débitos Relativos aos Tributos FEDERAIS</w:t>
      </w:r>
      <w:r w:rsidR="009156DA" w:rsidRPr="00134594">
        <w:rPr>
          <w:rFonts w:eastAsia="Arial Unicode MS"/>
          <w:sz w:val="20"/>
        </w:rPr>
        <w:t>;</w:t>
      </w:r>
    </w:p>
    <w:p w14:paraId="3D444B6B" w14:textId="15B84F75"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d) Certidão Negativa de Débitos com a Fazenda ESTADUAL;</w:t>
      </w:r>
    </w:p>
    <w:p w14:paraId="000E1D72" w14:textId="5ACCF07A"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e) Certidão Negativa de Débitos com a Fazenda MUNICIPAL;</w:t>
      </w:r>
    </w:p>
    <w:p w14:paraId="388C3C29" w14:textId="77777777"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f) Certidão de Regularidade junto ao Fundo de Garantia por Tempo de Serviço (FGTS);</w:t>
      </w:r>
    </w:p>
    <w:p w14:paraId="76ECCF01" w14:textId="77777777"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g) Certidão Negativa de Débitos Trabalhistas (CNDT);</w:t>
      </w:r>
    </w:p>
    <w:p w14:paraId="16E9A8DE" w14:textId="6814C0B8" w:rsidR="00C41A32" w:rsidRPr="00CA7843" w:rsidRDefault="00C41A32" w:rsidP="00134594">
      <w:pPr>
        <w:spacing w:after="0" w:line="240" w:lineRule="auto"/>
        <w:ind w:firstLine="709"/>
        <w:jc w:val="both"/>
        <w:rPr>
          <w:rFonts w:eastAsia="Arial Unicode MS"/>
          <w:b/>
          <w:bCs/>
          <w:sz w:val="20"/>
        </w:rPr>
      </w:pPr>
      <w:r w:rsidRPr="00CA7843">
        <w:rPr>
          <w:rFonts w:eastAsia="Arial Unicode MS"/>
          <w:b/>
          <w:bCs/>
          <w:sz w:val="20"/>
        </w:rPr>
        <w:t>3.8.3. HABILITAÇÃO ECONÔMICA-FINANCEIRA:</w:t>
      </w:r>
    </w:p>
    <w:p w14:paraId="3A3BF636" w14:textId="3518E3D8" w:rsidR="00C41A32" w:rsidRPr="00134594" w:rsidRDefault="00C41A32" w:rsidP="00134594">
      <w:pPr>
        <w:spacing w:after="0" w:line="240" w:lineRule="auto"/>
        <w:ind w:firstLine="1418"/>
        <w:jc w:val="both"/>
        <w:rPr>
          <w:rFonts w:eastAsia="Arial Unicode MS"/>
          <w:sz w:val="20"/>
        </w:rPr>
      </w:pPr>
      <w:r w:rsidRPr="00134594">
        <w:rPr>
          <w:rFonts w:eastAsia="Arial Unicode MS" w:hint="eastAsia"/>
          <w:sz w:val="20"/>
        </w:rPr>
        <w:t xml:space="preserve">a) Certidão negativa em matéria falimentar, concordatária, recuperação judicial e extrajudicial expedida pelo distribuidor da sede do licitante expedida pelo distribuidor da sede da pessoa jurídica, </w:t>
      </w:r>
      <w:r w:rsidRPr="00134594">
        <w:rPr>
          <w:rFonts w:eastAsia="Arial Unicode MS" w:hint="eastAsia"/>
          <w:sz w:val="20"/>
          <w:u w:val="single"/>
        </w:rPr>
        <w:t>em prazo não superior a 90 (noventa) dias</w:t>
      </w:r>
      <w:r w:rsidRPr="00134594">
        <w:rPr>
          <w:rFonts w:eastAsia="Arial Unicode MS" w:hint="eastAsia"/>
          <w:sz w:val="20"/>
        </w:rPr>
        <w:t xml:space="preserve"> da data designada para a apresentação do documento;</w:t>
      </w:r>
    </w:p>
    <w:p w14:paraId="144C1786" w14:textId="12D63613" w:rsidR="00C41A32" w:rsidRPr="00C41A32" w:rsidRDefault="00C41A32" w:rsidP="00134594">
      <w:pPr>
        <w:spacing w:after="0" w:line="240" w:lineRule="auto"/>
        <w:ind w:firstLine="1418"/>
        <w:jc w:val="both"/>
        <w:rPr>
          <w:rFonts w:eastAsia="Arial Unicode MS"/>
          <w:sz w:val="20"/>
        </w:rPr>
      </w:pPr>
      <w:r w:rsidRPr="00C41A32">
        <w:rPr>
          <w:rFonts w:eastAsia="Arial Unicode MS" w:hint="eastAsia"/>
          <w:sz w:val="20"/>
        </w:rPr>
        <w:t xml:space="preserve">b) Demonstrações contábeis do último exercício, devendo o licitante apresentar, já calculados, os seguintes índices, sob pena de desclassificação, mediante a aplicação das fórmulas </w:t>
      </w:r>
      <w:r w:rsidRPr="00134594">
        <w:rPr>
          <w:rFonts w:eastAsia="Arial Unicode MS"/>
          <w:sz w:val="20"/>
        </w:rPr>
        <w:t>dispostas no Edital.</w:t>
      </w:r>
    </w:p>
    <w:p w14:paraId="7F52B77F" w14:textId="30B792FC" w:rsidR="000D355E" w:rsidRPr="00134594" w:rsidRDefault="00CA7843" w:rsidP="00134594">
      <w:pPr>
        <w:spacing w:after="0" w:line="240" w:lineRule="auto"/>
        <w:ind w:firstLine="709"/>
        <w:jc w:val="both"/>
        <w:rPr>
          <w:rFonts w:eastAsia="Arial Unicode MS"/>
          <w:sz w:val="20"/>
        </w:rPr>
      </w:pPr>
      <w:r w:rsidRPr="00CA7843">
        <w:rPr>
          <w:rFonts w:eastAsia="Arial Unicode MS"/>
          <w:b/>
          <w:bCs/>
          <w:sz w:val="20"/>
        </w:rPr>
        <w:t xml:space="preserve">3.8.4. </w:t>
      </w:r>
      <w:r w:rsidRPr="00477F4D">
        <w:rPr>
          <w:rFonts w:eastAsia="Arial Unicode MS"/>
          <w:b/>
          <w:bCs/>
          <w:sz w:val="20"/>
        </w:rPr>
        <w:t>CERTIFICADO DE REGISTRO (PESSOA JUR</w:t>
      </w:r>
      <w:r w:rsidRPr="00477F4D">
        <w:rPr>
          <w:rFonts w:eastAsia="Arial Unicode MS" w:hint="eastAsia"/>
          <w:b/>
          <w:bCs/>
          <w:sz w:val="20"/>
        </w:rPr>
        <w:t>Í</w:t>
      </w:r>
      <w:r w:rsidRPr="00477F4D">
        <w:rPr>
          <w:rFonts w:eastAsia="Arial Unicode MS"/>
          <w:b/>
          <w:bCs/>
          <w:sz w:val="20"/>
        </w:rPr>
        <w:t>DICA):</w:t>
      </w:r>
      <w:r w:rsidR="00477F4D" w:rsidRPr="00477F4D">
        <w:rPr>
          <w:rFonts w:eastAsia="Arial Unicode MS"/>
          <w:sz w:val="20"/>
        </w:rPr>
        <w:t xml:space="preserve"> comprovar registro no Conselho de</w:t>
      </w:r>
      <w:r w:rsidR="000D355E" w:rsidRPr="00134594">
        <w:rPr>
          <w:rFonts w:eastAsia="Arial Unicode MS"/>
          <w:sz w:val="20"/>
        </w:rPr>
        <w:t xml:space="preserve"> </w:t>
      </w:r>
      <w:r w:rsidR="00477F4D" w:rsidRPr="00477F4D">
        <w:rPr>
          <w:rFonts w:eastAsia="Arial Unicode MS"/>
          <w:sz w:val="20"/>
        </w:rPr>
        <w:t>Arquitetura</w:t>
      </w:r>
      <w:r w:rsidR="00E02FFC" w:rsidRPr="00134594">
        <w:rPr>
          <w:rFonts w:eastAsia="Arial Unicode MS"/>
          <w:sz w:val="20"/>
        </w:rPr>
        <w:t xml:space="preserve"> </w:t>
      </w:r>
      <w:r w:rsidR="00477F4D" w:rsidRPr="00477F4D">
        <w:rPr>
          <w:rFonts w:eastAsia="Arial Unicode MS"/>
          <w:sz w:val="20"/>
        </w:rPr>
        <w:t xml:space="preserve">e Urbanismo </w:t>
      </w:r>
      <w:r w:rsidR="00477F4D" w:rsidRPr="00477F4D">
        <w:rPr>
          <w:rFonts w:eastAsia="Arial Unicode MS" w:hint="eastAsia"/>
          <w:sz w:val="20"/>
        </w:rPr>
        <w:t>–</w:t>
      </w:r>
      <w:r w:rsidR="00477F4D" w:rsidRPr="00477F4D">
        <w:rPr>
          <w:rFonts w:eastAsia="Arial Unicode MS"/>
          <w:sz w:val="20"/>
        </w:rPr>
        <w:t xml:space="preserve"> CAU ou no Conselho Regional de Engenharia e Agronomia </w:t>
      </w:r>
      <w:r w:rsidR="00477F4D" w:rsidRPr="00477F4D">
        <w:rPr>
          <w:rFonts w:eastAsia="Arial Unicode MS" w:hint="eastAsia"/>
          <w:sz w:val="20"/>
        </w:rPr>
        <w:t>–</w:t>
      </w:r>
      <w:r w:rsidR="00477F4D" w:rsidRPr="00477F4D">
        <w:rPr>
          <w:rFonts w:eastAsia="Arial Unicode MS"/>
          <w:sz w:val="20"/>
        </w:rPr>
        <w:t xml:space="preserve"> CREA;</w:t>
      </w:r>
    </w:p>
    <w:p w14:paraId="20C779D2" w14:textId="0302805B" w:rsidR="00477F4D" w:rsidRPr="00477F4D" w:rsidRDefault="00CA7843" w:rsidP="00134594">
      <w:pPr>
        <w:spacing w:after="0" w:line="240" w:lineRule="auto"/>
        <w:ind w:firstLine="709"/>
        <w:jc w:val="both"/>
        <w:rPr>
          <w:rFonts w:eastAsia="Arial Unicode MS"/>
          <w:sz w:val="20"/>
        </w:rPr>
      </w:pPr>
      <w:r w:rsidRPr="00CA7843">
        <w:rPr>
          <w:rFonts w:eastAsia="Arial Unicode MS"/>
          <w:b/>
          <w:bCs/>
          <w:sz w:val="20"/>
        </w:rPr>
        <w:t>3.8.5. CERTIFICADO DE REGISTRO (PESSOA F</w:t>
      </w:r>
      <w:r w:rsidRPr="00CA7843">
        <w:rPr>
          <w:rFonts w:eastAsia="Arial Unicode MS" w:hint="eastAsia"/>
          <w:b/>
          <w:bCs/>
          <w:sz w:val="20"/>
        </w:rPr>
        <w:t>Í</w:t>
      </w:r>
      <w:r w:rsidRPr="00CA7843">
        <w:rPr>
          <w:rFonts w:eastAsia="Arial Unicode MS"/>
          <w:b/>
          <w:bCs/>
          <w:sz w:val="20"/>
        </w:rPr>
        <w:t>SICA):</w:t>
      </w:r>
      <w:r w:rsidRPr="00477F4D">
        <w:rPr>
          <w:rFonts w:eastAsia="Arial Unicode MS"/>
          <w:sz w:val="20"/>
        </w:rPr>
        <w:t xml:space="preserve"> </w:t>
      </w:r>
      <w:r w:rsidR="00477F4D" w:rsidRPr="00477F4D">
        <w:rPr>
          <w:rFonts w:eastAsia="Arial Unicode MS"/>
          <w:sz w:val="20"/>
        </w:rPr>
        <w:t>comprovar registro no CAU ou no CREA de</w:t>
      </w:r>
      <w:r w:rsidR="00C41A32" w:rsidRPr="00134594">
        <w:rPr>
          <w:rFonts w:eastAsia="Arial Unicode MS"/>
          <w:sz w:val="20"/>
        </w:rPr>
        <w:t xml:space="preserve"> </w:t>
      </w:r>
      <w:r w:rsidR="00477F4D" w:rsidRPr="00477F4D">
        <w:rPr>
          <w:rFonts w:eastAsia="Arial Unicode MS"/>
          <w:sz w:val="20"/>
        </w:rPr>
        <w:t>todos os profissionais t</w:t>
      </w:r>
      <w:r w:rsidR="00477F4D" w:rsidRPr="00477F4D">
        <w:rPr>
          <w:rFonts w:eastAsia="Arial Unicode MS" w:hint="eastAsia"/>
          <w:sz w:val="20"/>
        </w:rPr>
        <w:t>é</w:t>
      </w:r>
      <w:r w:rsidR="00477F4D" w:rsidRPr="00477F4D">
        <w:rPr>
          <w:rFonts w:eastAsia="Arial Unicode MS"/>
          <w:sz w:val="20"/>
        </w:rPr>
        <w:t>cnicos que participar</w:t>
      </w:r>
      <w:r w:rsidR="00477F4D" w:rsidRPr="00477F4D">
        <w:rPr>
          <w:rFonts w:eastAsia="Arial Unicode MS" w:hint="eastAsia"/>
          <w:sz w:val="20"/>
        </w:rPr>
        <w:t>ã</w:t>
      </w:r>
      <w:r w:rsidR="00477F4D" w:rsidRPr="00477F4D">
        <w:rPr>
          <w:rFonts w:eastAsia="Arial Unicode MS"/>
          <w:sz w:val="20"/>
        </w:rPr>
        <w:t>o da condu</w:t>
      </w:r>
      <w:r w:rsidR="00477F4D" w:rsidRPr="00477F4D">
        <w:rPr>
          <w:rFonts w:eastAsia="Arial Unicode MS" w:hint="eastAsia"/>
          <w:sz w:val="20"/>
        </w:rPr>
        <w:t>çã</w:t>
      </w:r>
      <w:r w:rsidR="00477F4D" w:rsidRPr="00477F4D">
        <w:rPr>
          <w:rFonts w:eastAsia="Arial Unicode MS"/>
          <w:sz w:val="20"/>
        </w:rPr>
        <w:t>o dos servi</w:t>
      </w:r>
      <w:r w:rsidR="00477F4D" w:rsidRPr="00477F4D">
        <w:rPr>
          <w:rFonts w:eastAsia="Arial Unicode MS" w:hint="eastAsia"/>
          <w:sz w:val="20"/>
        </w:rPr>
        <w:t>ç</w:t>
      </w:r>
      <w:r w:rsidR="00477F4D" w:rsidRPr="00477F4D">
        <w:rPr>
          <w:rFonts w:eastAsia="Arial Unicode MS"/>
          <w:sz w:val="20"/>
        </w:rPr>
        <w:t>os contratados, devendo</w:t>
      </w:r>
      <w:r w:rsidR="00C41A32" w:rsidRPr="00134594">
        <w:rPr>
          <w:rFonts w:eastAsia="Arial Unicode MS"/>
          <w:sz w:val="20"/>
        </w:rPr>
        <w:t xml:space="preserve"> </w:t>
      </w:r>
      <w:r w:rsidR="00477F4D" w:rsidRPr="00477F4D">
        <w:rPr>
          <w:rFonts w:eastAsia="Arial Unicode MS"/>
          <w:sz w:val="20"/>
        </w:rPr>
        <w:t>constar, no m</w:t>
      </w:r>
      <w:r w:rsidR="00477F4D" w:rsidRPr="00477F4D">
        <w:rPr>
          <w:rFonts w:eastAsia="Arial Unicode MS" w:hint="eastAsia"/>
          <w:sz w:val="20"/>
        </w:rPr>
        <w:t>í</w:t>
      </w:r>
      <w:r w:rsidR="00477F4D" w:rsidRPr="00477F4D">
        <w:rPr>
          <w:rFonts w:eastAsia="Arial Unicode MS"/>
          <w:sz w:val="20"/>
        </w:rPr>
        <w:t>nimo, um Engenheiro Civil ou Arquiteto e Urbanista;</w:t>
      </w:r>
    </w:p>
    <w:p w14:paraId="4A6E5444" w14:textId="581BA099" w:rsidR="00477F4D" w:rsidRPr="00477F4D" w:rsidRDefault="00CA7843" w:rsidP="00134594">
      <w:pPr>
        <w:spacing w:after="0" w:line="240" w:lineRule="auto"/>
        <w:ind w:firstLine="709"/>
        <w:jc w:val="both"/>
        <w:rPr>
          <w:rFonts w:eastAsia="Arial Unicode MS"/>
          <w:sz w:val="20"/>
        </w:rPr>
      </w:pPr>
      <w:r w:rsidRPr="00477F4D">
        <w:rPr>
          <w:rFonts w:eastAsia="Arial Unicode MS"/>
          <w:b/>
          <w:bCs/>
          <w:sz w:val="20"/>
        </w:rPr>
        <w:t>3.</w:t>
      </w:r>
      <w:r w:rsidRPr="00CA7843">
        <w:rPr>
          <w:rFonts w:eastAsia="Arial Unicode MS"/>
          <w:b/>
          <w:bCs/>
          <w:sz w:val="20"/>
        </w:rPr>
        <w:t>8.6.</w:t>
      </w:r>
      <w:r w:rsidRPr="00477F4D">
        <w:rPr>
          <w:rFonts w:eastAsia="Arial Unicode MS"/>
          <w:b/>
          <w:bCs/>
          <w:sz w:val="20"/>
        </w:rPr>
        <w:t xml:space="preserve"> CAPACIDADE OPERACIONAL (PESSOA JUR</w:t>
      </w:r>
      <w:r w:rsidRPr="00477F4D">
        <w:rPr>
          <w:rFonts w:eastAsia="Arial Unicode MS" w:hint="eastAsia"/>
          <w:b/>
          <w:bCs/>
          <w:sz w:val="20"/>
        </w:rPr>
        <w:t>Í</w:t>
      </w:r>
      <w:r w:rsidRPr="00477F4D">
        <w:rPr>
          <w:rFonts w:eastAsia="Arial Unicode MS"/>
          <w:b/>
          <w:bCs/>
          <w:sz w:val="20"/>
        </w:rPr>
        <w:t>DICA):</w:t>
      </w:r>
      <w:r w:rsidRPr="00477F4D">
        <w:rPr>
          <w:rFonts w:eastAsia="Arial Unicode MS"/>
          <w:sz w:val="20"/>
        </w:rPr>
        <w:t xml:space="preserve"> </w:t>
      </w:r>
      <w:r w:rsidR="00477F4D" w:rsidRPr="00477F4D">
        <w:rPr>
          <w:rFonts w:eastAsia="Arial Unicode MS"/>
          <w:sz w:val="20"/>
        </w:rPr>
        <w:t>apresenta</w:t>
      </w:r>
      <w:r w:rsidR="00477F4D" w:rsidRPr="00477F4D">
        <w:rPr>
          <w:rFonts w:eastAsia="Arial Unicode MS" w:hint="eastAsia"/>
          <w:sz w:val="20"/>
        </w:rPr>
        <w:t>çã</w:t>
      </w:r>
      <w:r w:rsidR="00477F4D" w:rsidRPr="00477F4D">
        <w:rPr>
          <w:rFonts w:eastAsia="Arial Unicode MS"/>
          <w:sz w:val="20"/>
        </w:rPr>
        <w:t>o de atestado(s) de</w:t>
      </w:r>
      <w:r w:rsidR="00C41A32" w:rsidRPr="00134594">
        <w:rPr>
          <w:rFonts w:eastAsia="Arial Unicode MS"/>
          <w:sz w:val="20"/>
        </w:rPr>
        <w:t xml:space="preserve"> </w:t>
      </w:r>
      <w:r w:rsidR="00477F4D" w:rsidRPr="00477F4D">
        <w:rPr>
          <w:rFonts w:eastAsia="Arial Unicode MS"/>
          <w:sz w:val="20"/>
        </w:rPr>
        <w:t>capacidade t</w:t>
      </w:r>
      <w:r w:rsidR="00477F4D" w:rsidRPr="00477F4D">
        <w:rPr>
          <w:rFonts w:eastAsia="Arial Unicode MS" w:hint="eastAsia"/>
          <w:sz w:val="20"/>
        </w:rPr>
        <w:t>é</w:t>
      </w:r>
      <w:r w:rsidR="00477F4D" w:rsidRPr="00477F4D">
        <w:rPr>
          <w:rFonts w:eastAsia="Arial Unicode MS"/>
          <w:sz w:val="20"/>
        </w:rPr>
        <w:t>cnica, emitido(s) por pessoa jur</w:t>
      </w:r>
      <w:r w:rsidR="00477F4D" w:rsidRPr="00477F4D">
        <w:rPr>
          <w:rFonts w:eastAsia="Arial Unicode MS" w:hint="eastAsia"/>
          <w:sz w:val="20"/>
        </w:rPr>
        <w:t>í</w:t>
      </w:r>
      <w:r w:rsidR="00477F4D" w:rsidRPr="00477F4D">
        <w:rPr>
          <w:rFonts w:eastAsia="Arial Unicode MS"/>
          <w:sz w:val="20"/>
        </w:rPr>
        <w:t>dica de direito p</w:t>
      </w:r>
      <w:r w:rsidR="00477F4D" w:rsidRPr="00477F4D">
        <w:rPr>
          <w:rFonts w:eastAsia="Arial Unicode MS" w:hint="eastAsia"/>
          <w:sz w:val="20"/>
        </w:rPr>
        <w:t>ú</w:t>
      </w:r>
      <w:r w:rsidR="00477F4D" w:rsidRPr="00477F4D">
        <w:rPr>
          <w:rFonts w:eastAsia="Arial Unicode MS"/>
          <w:sz w:val="20"/>
        </w:rPr>
        <w:t>blico ou privado, que comprove(m)</w:t>
      </w:r>
      <w:r w:rsidR="00C41A32" w:rsidRPr="00134594">
        <w:rPr>
          <w:rFonts w:eastAsia="Arial Unicode MS"/>
          <w:sz w:val="20"/>
        </w:rPr>
        <w:t xml:space="preserve"> </w:t>
      </w:r>
      <w:r w:rsidR="00477F4D" w:rsidRPr="00477F4D">
        <w:rPr>
          <w:rFonts w:eastAsia="Arial Unicode MS"/>
          <w:sz w:val="20"/>
        </w:rPr>
        <w:t>experi</w:t>
      </w:r>
      <w:r w:rsidR="00477F4D" w:rsidRPr="00477F4D">
        <w:rPr>
          <w:rFonts w:eastAsia="Arial Unicode MS" w:hint="eastAsia"/>
          <w:sz w:val="20"/>
        </w:rPr>
        <w:t>ê</w:t>
      </w:r>
      <w:r w:rsidR="00477F4D" w:rsidRPr="00477F4D">
        <w:rPr>
          <w:rFonts w:eastAsia="Arial Unicode MS"/>
          <w:sz w:val="20"/>
        </w:rPr>
        <w:t>ncia da empresa ou cons</w:t>
      </w:r>
      <w:r w:rsidR="00477F4D" w:rsidRPr="00477F4D">
        <w:rPr>
          <w:rFonts w:eastAsia="Arial Unicode MS" w:hint="eastAsia"/>
          <w:sz w:val="20"/>
        </w:rPr>
        <w:t>ó</w:t>
      </w:r>
      <w:r w:rsidR="00477F4D" w:rsidRPr="00477F4D">
        <w:rPr>
          <w:rFonts w:eastAsia="Arial Unicode MS"/>
          <w:sz w:val="20"/>
        </w:rPr>
        <w:t>rcio licitante em atividades compat</w:t>
      </w:r>
      <w:r w:rsidR="00477F4D" w:rsidRPr="00477F4D">
        <w:rPr>
          <w:rFonts w:eastAsia="Arial Unicode MS" w:hint="eastAsia"/>
          <w:sz w:val="20"/>
        </w:rPr>
        <w:t>í</w:t>
      </w:r>
      <w:r w:rsidR="00477F4D" w:rsidRPr="00477F4D">
        <w:rPr>
          <w:rFonts w:eastAsia="Arial Unicode MS"/>
          <w:sz w:val="20"/>
        </w:rPr>
        <w:t>veis com o objeto licitado;</w:t>
      </w:r>
    </w:p>
    <w:p w14:paraId="35FB9961" w14:textId="0D99579C" w:rsidR="00477F4D" w:rsidRPr="00477F4D" w:rsidRDefault="00CA7843" w:rsidP="00134594">
      <w:pPr>
        <w:spacing w:after="0" w:line="240" w:lineRule="auto"/>
        <w:ind w:firstLine="709"/>
        <w:jc w:val="both"/>
        <w:rPr>
          <w:rFonts w:eastAsia="Arial Unicode MS"/>
          <w:sz w:val="20"/>
        </w:rPr>
      </w:pPr>
      <w:r w:rsidRPr="00477F4D">
        <w:rPr>
          <w:rFonts w:eastAsia="Arial Unicode MS"/>
          <w:b/>
          <w:bCs/>
          <w:sz w:val="20"/>
        </w:rPr>
        <w:t>3.</w:t>
      </w:r>
      <w:r w:rsidRPr="00CA7843">
        <w:rPr>
          <w:rFonts w:eastAsia="Arial Unicode MS"/>
          <w:b/>
          <w:bCs/>
          <w:sz w:val="20"/>
        </w:rPr>
        <w:t>8.7.</w:t>
      </w:r>
      <w:r w:rsidRPr="00477F4D">
        <w:rPr>
          <w:rFonts w:eastAsia="Arial Unicode MS"/>
          <w:b/>
          <w:bCs/>
          <w:sz w:val="20"/>
        </w:rPr>
        <w:t xml:space="preserve"> CAPACIDADE PROFISSIONAL (PESSOA F</w:t>
      </w:r>
      <w:r w:rsidRPr="00477F4D">
        <w:rPr>
          <w:rFonts w:eastAsia="Arial Unicode MS" w:hint="eastAsia"/>
          <w:b/>
          <w:bCs/>
          <w:sz w:val="20"/>
        </w:rPr>
        <w:t>Í</w:t>
      </w:r>
      <w:r w:rsidRPr="00477F4D">
        <w:rPr>
          <w:rFonts w:eastAsia="Arial Unicode MS"/>
          <w:b/>
          <w:bCs/>
          <w:sz w:val="20"/>
        </w:rPr>
        <w:t>SICA):</w:t>
      </w:r>
      <w:r w:rsidR="00477F4D" w:rsidRPr="00477F4D">
        <w:rPr>
          <w:rFonts w:eastAsia="Arial Unicode MS"/>
          <w:sz w:val="20"/>
        </w:rPr>
        <w:t xml:space="preserve"> apresenta</w:t>
      </w:r>
      <w:r w:rsidR="00477F4D" w:rsidRPr="00477F4D">
        <w:rPr>
          <w:rFonts w:eastAsia="Arial Unicode MS" w:hint="eastAsia"/>
          <w:sz w:val="20"/>
        </w:rPr>
        <w:t>çã</w:t>
      </w:r>
      <w:r w:rsidR="00477F4D" w:rsidRPr="00477F4D">
        <w:rPr>
          <w:rFonts w:eastAsia="Arial Unicode MS"/>
          <w:sz w:val="20"/>
        </w:rPr>
        <w:t>o de Certid</w:t>
      </w:r>
      <w:r w:rsidR="00477F4D" w:rsidRPr="00477F4D">
        <w:rPr>
          <w:rFonts w:eastAsia="Arial Unicode MS" w:hint="eastAsia"/>
          <w:sz w:val="20"/>
        </w:rPr>
        <w:t>ã</w:t>
      </w:r>
      <w:r w:rsidR="00477F4D" w:rsidRPr="00477F4D">
        <w:rPr>
          <w:rFonts w:eastAsia="Arial Unicode MS"/>
          <w:sz w:val="20"/>
        </w:rPr>
        <w:t>o de Acervo T</w:t>
      </w:r>
      <w:r w:rsidR="00477F4D" w:rsidRPr="00477F4D">
        <w:rPr>
          <w:rFonts w:eastAsia="Arial Unicode MS" w:hint="eastAsia"/>
          <w:sz w:val="20"/>
        </w:rPr>
        <w:t>é</w:t>
      </w:r>
      <w:r w:rsidR="00477F4D" w:rsidRPr="00477F4D">
        <w:rPr>
          <w:rFonts w:eastAsia="Arial Unicode MS"/>
          <w:sz w:val="20"/>
        </w:rPr>
        <w:t>cnico</w:t>
      </w:r>
      <w:r w:rsidR="00C41A32" w:rsidRPr="00134594">
        <w:rPr>
          <w:rFonts w:eastAsia="Arial Unicode MS"/>
          <w:sz w:val="20"/>
        </w:rPr>
        <w:t xml:space="preserve"> </w:t>
      </w:r>
      <w:r w:rsidR="000D355E" w:rsidRPr="00134594">
        <w:rPr>
          <w:rFonts w:eastAsia="Arial Unicode MS"/>
          <w:sz w:val="20"/>
        </w:rPr>
        <w:t xml:space="preserve">– </w:t>
      </w:r>
      <w:r w:rsidR="00477F4D" w:rsidRPr="00477F4D">
        <w:rPr>
          <w:rFonts w:eastAsia="Arial Unicode MS"/>
          <w:sz w:val="20"/>
        </w:rPr>
        <w:t>CAT do respons</w:t>
      </w:r>
      <w:r w:rsidR="00477F4D" w:rsidRPr="00477F4D">
        <w:rPr>
          <w:rFonts w:eastAsia="Arial Unicode MS" w:hint="eastAsia"/>
          <w:sz w:val="20"/>
        </w:rPr>
        <w:t>á</w:t>
      </w:r>
      <w:r w:rsidR="00477F4D" w:rsidRPr="00477F4D">
        <w:rPr>
          <w:rFonts w:eastAsia="Arial Unicode MS"/>
          <w:sz w:val="20"/>
        </w:rPr>
        <w:t>vel t</w:t>
      </w:r>
      <w:r w:rsidR="00477F4D" w:rsidRPr="00477F4D">
        <w:rPr>
          <w:rFonts w:eastAsia="Arial Unicode MS" w:hint="eastAsia"/>
          <w:sz w:val="20"/>
        </w:rPr>
        <w:t>é</w:t>
      </w:r>
      <w:r w:rsidR="00477F4D" w:rsidRPr="00477F4D">
        <w:rPr>
          <w:rFonts w:eastAsia="Arial Unicode MS"/>
          <w:sz w:val="20"/>
        </w:rPr>
        <w:t>cnico da licitante, devidamente registrada no CREA ou CAU, que comprove</w:t>
      </w:r>
      <w:r w:rsidR="00C41A32" w:rsidRPr="00134594">
        <w:rPr>
          <w:rFonts w:eastAsia="Arial Unicode MS"/>
          <w:sz w:val="20"/>
        </w:rPr>
        <w:t xml:space="preserve"> </w:t>
      </w:r>
      <w:r w:rsidR="00477F4D" w:rsidRPr="00477F4D">
        <w:rPr>
          <w:rFonts w:eastAsia="Arial Unicode MS"/>
          <w:sz w:val="20"/>
        </w:rPr>
        <w:t>a execu</w:t>
      </w:r>
      <w:r w:rsidR="00477F4D" w:rsidRPr="00477F4D">
        <w:rPr>
          <w:rFonts w:eastAsia="Arial Unicode MS" w:hint="eastAsia"/>
          <w:sz w:val="20"/>
        </w:rPr>
        <w:t>çã</w:t>
      </w:r>
      <w:r w:rsidR="00477F4D" w:rsidRPr="00477F4D">
        <w:rPr>
          <w:rFonts w:eastAsia="Arial Unicode MS"/>
          <w:sz w:val="20"/>
        </w:rPr>
        <w:t>o de obra ou servi</w:t>
      </w:r>
      <w:r w:rsidR="00477F4D" w:rsidRPr="00477F4D">
        <w:rPr>
          <w:rFonts w:eastAsia="Arial Unicode MS" w:hint="eastAsia"/>
          <w:sz w:val="20"/>
        </w:rPr>
        <w:t>ç</w:t>
      </w:r>
      <w:r w:rsidR="00477F4D" w:rsidRPr="00477F4D">
        <w:rPr>
          <w:rFonts w:eastAsia="Arial Unicode MS"/>
          <w:sz w:val="20"/>
        </w:rPr>
        <w:t>o de caracter</w:t>
      </w:r>
      <w:r w:rsidR="00477F4D" w:rsidRPr="00477F4D">
        <w:rPr>
          <w:rFonts w:eastAsia="Arial Unicode MS" w:hint="eastAsia"/>
          <w:sz w:val="20"/>
        </w:rPr>
        <w:t>í</w:t>
      </w:r>
      <w:r w:rsidR="00477F4D" w:rsidRPr="00477F4D">
        <w:rPr>
          <w:rFonts w:eastAsia="Arial Unicode MS"/>
          <w:sz w:val="20"/>
        </w:rPr>
        <w:t>sticas semelhantes ao objeto licitado;</w:t>
      </w:r>
    </w:p>
    <w:p w14:paraId="4E8B250F" w14:textId="3CAC0DC6" w:rsidR="00477F4D" w:rsidRPr="00477F4D" w:rsidRDefault="00CA7843" w:rsidP="00134594">
      <w:pPr>
        <w:spacing w:after="0" w:line="240" w:lineRule="auto"/>
        <w:ind w:firstLine="709"/>
        <w:jc w:val="both"/>
        <w:rPr>
          <w:rFonts w:eastAsia="Arial Unicode MS"/>
          <w:sz w:val="20"/>
        </w:rPr>
      </w:pPr>
      <w:r w:rsidRPr="00477F4D">
        <w:rPr>
          <w:rFonts w:eastAsia="Arial Unicode MS"/>
          <w:b/>
          <w:bCs/>
          <w:sz w:val="20"/>
        </w:rPr>
        <w:t>3.</w:t>
      </w:r>
      <w:r w:rsidRPr="00CA7843">
        <w:rPr>
          <w:rFonts w:eastAsia="Arial Unicode MS"/>
          <w:b/>
          <w:bCs/>
          <w:sz w:val="20"/>
        </w:rPr>
        <w:t xml:space="preserve">8.8. </w:t>
      </w:r>
      <w:r w:rsidRPr="00477F4D">
        <w:rPr>
          <w:rFonts w:eastAsia="Arial Unicode MS"/>
          <w:b/>
          <w:bCs/>
          <w:sz w:val="20"/>
        </w:rPr>
        <w:t>V</w:t>
      </w:r>
      <w:r w:rsidRPr="00477F4D">
        <w:rPr>
          <w:rFonts w:eastAsia="Arial Unicode MS" w:hint="eastAsia"/>
          <w:b/>
          <w:bCs/>
          <w:sz w:val="20"/>
        </w:rPr>
        <w:t>Í</w:t>
      </w:r>
      <w:r w:rsidRPr="00477F4D">
        <w:rPr>
          <w:rFonts w:eastAsia="Arial Unicode MS"/>
          <w:b/>
          <w:bCs/>
          <w:sz w:val="20"/>
        </w:rPr>
        <w:t>NCULO EMPREGAT</w:t>
      </w:r>
      <w:r w:rsidRPr="00477F4D">
        <w:rPr>
          <w:rFonts w:eastAsia="Arial Unicode MS" w:hint="eastAsia"/>
          <w:b/>
          <w:bCs/>
          <w:sz w:val="20"/>
        </w:rPr>
        <w:t>Í</w:t>
      </w:r>
      <w:r w:rsidRPr="00477F4D">
        <w:rPr>
          <w:rFonts w:eastAsia="Arial Unicode MS"/>
          <w:b/>
          <w:bCs/>
          <w:sz w:val="20"/>
        </w:rPr>
        <w:t>CIO:</w:t>
      </w:r>
      <w:r w:rsidRPr="00477F4D">
        <w:rPr>
          <w:rFonts w:eastAsia="Arial Unicode MS"/>
          <w:sz w:val="20"/>
        </w:rPr>
        <w:t xml:space="preserve"> </w:t>
      </w:r>
      <w:r w:rsidR="00477F4D" w:rsidRPr="00477F4D">
        <w:rPr>
          <w:rFonts w:eastAsia="Arial Unicode MS"/>
          <w:sz w:val="20"/>
        </w:rPr>
        <w:t>comprova</w:t>
      </w:r>
      <w:r w:rsidR="00477F4D" w:rsidRPr="00477F4D">
        <w:rPr>
          <w:rFonts w:eastAsia="Arial Unicode MS" w:hint="eastAsia"/>
          <w:sz w:val="20"/>
        </w:rPr>
        <w:t>çã</w:t>
      </w:r>
      <w:r w:rsidR="00477F4D" w:rsidRPr="00477F4D">
        <w:rPr>
          <w:rFonts w:eastAsia="Arial Unicode MS"/>
          <w:sz w:val="20"/>
        </w:rPr>
        <w:t>o de v</w:t>
      </w:r>
      <w:r w:rsidR="00477F4D" w:rsidRPr="00477F4D">
        <w:rPr>
          <w:rFonts w:eastAsia="Arial Unicode MS" w:hint="eastAsia"/>
          <w:sz w:val="20"/>
        </w:rPr>
        <w:t>í</w:t>
      </w:r>
      <w:r w:rsidR="00477F4D" w:rsidRPr="00477F4D">
        <w:rPr>
          <w:rFonts w:eastAsia="Arial Unicode MS"/>
          <w:sz w:val="20"/>
        </w:rPr>
        <w:t>nculo empregat</w:t>
      </w:r>
      <w:r w:rsidR="00477F4D" w:rsidRPr="00477F4D">
        <w:rPr>
          <w:rFonts w:eastAsia="Arial Unicode MS" w:hint="eastAsia"/>
          <w:sz w:val="20"/>
        </w:rPr>
        <w:t>í</w:t>
      </w:r>
      <w:r w:rsidR="00477F4D" w:rsidRPr="00477F4D">
        <w:rPr>
          <w:rFonts w:eastAsia="Arial Unicode MS"/>
          <w:sz w:val="20"/>
        </w:rPr>
        <w:t>cio de cada profissional</w:t>
      </w:r>
      <w:r w:rsidR="00C41A32" w:rsidRPr="00134594">
        <w:rPr>
          <w:rFonts w:eastAsia="Arial Unicode MS"/>
          <w:sz w:val="20"/>
        </w:rPr>
        <w:t xml:space="preserve"> </w:t>
      </w:r>
      <w:r w:rsidR="00477F4D" w:rsidRPr="00477F4D">
        <w:rPr>
          <w:rFonts w:eastAsia="Arial Unicode MS"/>
          <w:sz w:val="20"/>
        </w:rPr>
        <w:t>t</w:t>
      </w:r>
      <w:r w:rsidR="00477F4D" w:rsidRPr="00477F4D">
        <w:rPr>
          <w:rFonts w:eastAsia="Arial Unicode MS" w:hint="eastAsia"/>
          <w:sz w:val="20"/>
        </w:rPr>
        <w:t>é</w:t>
      </w:r>
      <w:r w:rsidR="00477F4D" w:rsidRPr="00477F4D">
        <w:rPr>
          <w:rFonts w:eastAsia="Arial Unicode MS"/>
          <w:sz w:val="20"/>
        </w:rPr>
        <w:t>cnico que participar</w:t>
      </w:r>
      <w:r w:rsidR="00477F4D" w:rsidRPr="00477F4D">
        <w:rPr>
          <w:rFonts w:eastAsia="Arial Unicode MS" w:hint="eastAsia"/>
          <w:sz w:val="20"/>
        </w:rPr>
        <w:t>á</w:t>
      </w:r>
      <w:r w:rsidR="00477F4D" w:rsidRPr="00477F4D">
        <w:rPr>
          <w:rFonts w:eastAsia="Arial Unicode MS"/>
          <w:sz w:val="20"/>
        </w:rPr>
        <w:t xml:space="preserve"> da condu</w:t>
      </w:r>
      <w:r w:rsidR="00477F4D" w:rsidRPr="00477F4D">
        <w:rPr>
          <w:rFonts w:eastAsia="Arial Unicode MS" w:hint="eastAsia"/>
          <w:sz w:val="20"/>
        </w:rPr>
        <w:t>çã</w:t>
      </w:r>
      <w:r w:rsidR="00477F4D" w:rsidRPr="00477F4D">
        <w:rPr>
          <w:rFonts w:eastAsia="Arial Unicode MS"/>
          <w:sz w:val="20"/>
        </w:rPr>
        <w:t>o dos servi</w:t>
      </w:r>
      <w:r w:rsidR="00477F4D" w:rsidRPr="00477F4D">
        <w:rPr>
          <w:rFonts w:eastAsia="Arial Unicode MS" w:hint="eastAsia"/>
          <w:sz w:val="20"/>
        </w:rPr>
        <w:t>ç</w:t>
      </w:r>
      <w:r w:rsidR="00477F4D" w:rsidRPr="00477F4D">
        <w:rPr>
          <w:rFonts w:eastAsia="Arial Unicode MS"/>
          <w:sz w:val="20"/>
        </w:rPr>
        <w:t>os contratados, observando-se que:</w:t>
      </w:r>
    </w:p>
    <w:p w14:paraId="162F2019" w14:textId="1376FB16" w:rsidR="00477F4D" w:rsidRPr="00477F4D" w:rsidRDefault="00477F4D" w:rsidP="00134594">
      <w:pPr>
        <w:spacing w:after="0" w:line="240" w:lineRule="auto"/>
        <w:ind w:firstLine="1418"/>
        <w:jc w:val="both"/>
        <w:rPr>
          <w:rFonts w:eastAsia="Arial Unicode MS"/>
          <w:sz w:val="20"/>
        </w:rPr>
      </w:pPr>
      <w:r w:rsidRPr="00477F4D">
        <w:rPr>
          <w:rFonts w:eastAsia="Arial Unicode MS"/>
          <w:sz w:val="20"/>
        </w:rPr>
        <w:t>a) a comprova</w:t>
      </w:r>
      <w:r w:rsidRPr="00477F4D">
        <w:rPr>
          <w:rFonts w:eastAsia="Arial Unicode MS" w:hint="eastAsia"/>
          <w:sz w:val="20"/>
        </w:rPr>
        <w:t>çã</w:t>
      </w:r>
      <w:r w:rsidRPr="00477F4D">
        <w:rPr>
          <w:rFonts w:eastAsia="Arial Unicode MS"/>
          <w:sz w:val="20"/>
        </w:rPr>
        <w:t>o do v</w:t>
      </w:r>
      <w:r w:rsidRPr="00477F4D">
        <w:rPr>
          <w:rFonts w:eastAsia="Arial Unicode MS" w:hint="eastAsia"/>
          <w:sz w:val="20"/>
        </w:rPr>
        <w:t>í</w:t>
      </w:r>
      <w:r w:rsidRPr="00477F4D">
        <w:rPr>
          <w:rFonts w:eastAsia="Arial Unicode MS"/>
          <w:sz w:val="20"/>
        </w:rPr>
        <w:t>nculo ser</w:t>
      </w:r>
      <w:r w:rsidRPr="00477F4D">
        <w:rPr>
          <w:rFonts w:eastAsia="Arial Unicode MS" w:hint="eastAsia"/>
          <w:sz w:val="20"/>
        </w:rPr>
        <w:t>á</w:t>
      </w:r>
      <w:r w:rsidRPr="00477F4D">
        <w:rPr>
          <w:rFonts w:eastAsia="Arial Unicode MS"/>
          <w:sz w:val="20"/>
        </w:rPr>
        <w:t xml:space="preserve"> feita mediante c</w:t>
      </w:r>
      <w:r w:rsidRPr="00477F4D">
        <w:rPr>
          <w:rFonts w:eastAsia="Arial Unicode MS" w:hint="eastAsia"/>
          <w:sz w:val="20"/>
        </w:rPr>
        <w:t>ó</w:t>
      </w:r>
      <w:r w:rsidRPr="00477F4D">
        <w:rPr>
          <w:rFonts w:eastAsia="Arial Unicode MS"/>
          <w:sz w:val="20"/>
        </w:rPr>
        <w:t>pia da Carteira de Trabalho e</w:t>
      </w:r>
      <w:r w:rsidR="00C41A32" w:rsidRPr="00134594">
        <w:rPr>
          <w:rFonts w:eastAsia="Arial Unicode MS"/>
          <w:sz w:val="20"/>
        </w:rPr>
        <w:t xml:space="preserve"> </w:t>
      </w:r>
      <w:r w:rsidRPr="00477F4D">
        <w:rPr>
          <w:rFonts w:eastAsia="Arial Unicode MS"/>
          <w:sz w:val="20"/>
        </w:rPr>
        <w:t>Previd</w:t>
      </w:r>
      <w:r w:rsidRPr="00477F4D">
        <w:rPr>
          <w:rFonts w:eastAsia="Arial Unicode MS" w:hint="eastAsia"/>
          <w:sz w:val="20"/>
        </w:rPr>
        <w:t>ê</w:t>
      </w:r>
      <w:r w:rsidRPr="00477F4D">
        <w:rPr>
          <w:rFonts w:eastAsia="Arial Unicode MS"/>
          <w:sz w:val="20"/>
        </w:rPr>
        <w:t>ncia Social, Ficha de Registro de Empregados, contrato de presta</w:t>
      </w:r>
      <w:r w:rsidRPr="00477F4D">
        <w:rPr>
          <w:rFonts w:eastAsia="Arial Unicode MS" w:hint="eastAsia"/>
          <w:sz w:val="20"/>
        </w:rPr>
        <w:t>çã</w:t>
      </w:r>
      <w:r w:rsidRPr="00477F4D">
        <w:rPr>
          <w:rFonts w:eastAsia="Arial Unicode MS"/>
          <w:sz w:val="20"/>
        </w:rPr>
        <w:t>o de servi</w:t>
      </w:r>
      <w:r w:rsidRPr="00477F4D">
        <w:rPr>
          <w:rFonts w:eastAsia="Arial Unicode MS" w:hint="eastAsia"/>
          <w:sz w:val="20"/>
        </w:rPr>
        <w:t>ç</w:t>
      </w:r>
      <w:r w:rsidRPr="00477F4D">
        <w:rPr>
          <w:rFonts w:eastAsia="Arial Unicode MS"/>
          <w:sz w:val="20"/>
        </w:rPr>
        <w:t>os ou</w:t>
      </w:r>
      <w:r w:rsidR="00C41A32" w:rsidRPr="00134594">
        <w:rPr>
          <w:rFonts w:eastAsia="Arial Unicode MS"/>
          <w:sz w:val="20"/>
        </w:rPr>
        <w:t xml:space="preserve"> </w:t>
      </w:r>
      <w:r w:rsidRPr="00477F4D">
        <w:rPr>
          <w:rFonts w:eastAsia="Arial Unicode MS"/>
          <w:sz w:val="20"/>
        </w:rPr>
        <w:t>declara</w:t>
      </w:r>
      <w:r w:rsidRPr="00477F4D">
        <w:rPr>
          <w:rFonts w:eastAsia="Arial Unicode MS" w:hint="eastAsia"/>
          <w:sz w:val="20"/>
        </w:rPr>
        <w:t>çã</w:t>
      </w:r>
      <w:r w:rsidRPr="00477F4D">
        <w:rPr>
          <w:rFonts w:eastAsia="Arial Unicode MS"/>
          <w:sz w:val="20"/>
        </w:rPr>
        <w:t>o de contrata</w:t>
      </w:r>
      <w:r w:rsidRPr="00477F4D">
        <w:rPr>
          <w:rFonts w:eastAsia="Arial Unicode MS" w:hint="eastAsia"/>
          <w:sz w:val="20"/>
        </w:rPr>
        <w:t>çã</w:t>
      </w:r>
      <w:r w:rsidRPr="00477F4D">
        <w:rPr>
          <w:rFonts w:eastAsia="Arial Unicode MS"/>
          <w:sz w:val="20"/>
        </w:rPr>
        <w:t>o futura acompanhada da anu</w:t>
      </w:r>
      <w:r w:rsidRPr="00477F4D">
        <w:rPr>
          <w:rFonts w:eastAsia="Arial Unicode MS" w:hint="eastAsia"/>
          <w:sz w:val="20"/>
        </w:rPr>
        <w:t>ê</w:t>
      </w:r>
      <w:r w:rsidRPr="00477F4D">
        <w:rPr>
          <w:rFonts w:eastAsia="Arial Unicode MS"/>
          <w:sz w:val="20"/>
        </w:rPr>
        <w:t>ncia do profissional;</w:t>
      </w:r>
    </w:p>
    <w:p w14:paraId="7DEBF6BC" w14:textId="6A81DE5B" w:rsidR="00477F4D" w:rsidRPr="00477F4D" w:rsidRDefault="00477F4D" w:rsidP="00134594">
      <w:pPr>
        <w:spacing w:after="0" w:line="240" w:lineRule="auto"/>
        <w:ind w:firstLine="1418"/>
        <w:jc w:val="both"/>
        <w:rPr>
          <w:rFonts w:eastAsia="Arial Unicode MS"/>
          <w:sz w:val="20"/>
        </w:rPr>
      </w:pPr>
      <w:r w:rsidRPr="00477F4D">
        <w:rPr>
          <w:rFonts w:eastAsia="Arial Unicode MS"/>
          <w:sz w:val="20"/>
        </w:rPr>
        <w:t>b) os profissionais indicados dever</w:t>
      </w:r>
      <w:r w:rsidRPr="00477F4D">
        <w:rPr>
          <w:rFonts w:eastAsia="Arial Unicode MS" w:hint="eastAsia"/>
          <w:sz w:val="20"/>
        </w:rPr>
        <w:t>ã</w:t>
      </w:r>
      <w:r w:rsidRPr="00477F4D">
        <w:rPr>
          <w:rFonts w:eastAsia="Arial Unicode MS"/>
          <w:sz w:val="20"/>
        </w:rPr>
        <w:t>o participar da execu</w:t>
      </w:r>
      <w:r w:rsidRPr="00477F4D">
        <w:rPr>
          <w:rFonts w:eastAsia="Arial Unicode MS" w:hint="eastAsia"/>
          <w:sz w:val="20"/>
        </w:rPr>
        <w:t>çã</w:t>
      </w:r>
      <w:r w:rsidRPr="00477F4D">
        <w:rPr>
          <w:rFonts w:eastAsia="Arial Unicode MS"/>
          <w:sz w:val="20"/>
        </w:rPr>
        <w:t>o dos servi</w:t>
      </w:r>
      <w:r w:rsidRPr="00477F4D">
        <w:rPr>
          <w:rFonts w:eastAsia="Arial Unicode MS" w:hint="eastAsia"/>
          <w:sz w:val="20"/>
        </w:rPr>
        <w:t>ç</w:t>
      </w:r>
      <w:r w:rsidRPr="00477F4D">
        <w:rPr>
          <w:rFonts w:eastAsia="Arial Unicode MS"/>
          <w:sz w:val="20"/>
        </w:rPr>
        <w:t>os at</w:t>
      </w:r>
      <w:r w:rsidRPr="00477F4D">
        <w:rPr>
          <w:rFonts w:eastAsia="Arial Unicode MS" w:hint="eastAsia"/>
          <w:sz w:val="20"/>
        </w:rPr>
        <w:t>é</w:t>
      </w:r>
      <w:r w:rsidRPr="00477F4D">
        <w:rPr>
          <w:rFonts w:eastAsia="Arial Unicode MS"/>
          <w:sz w:val="20"/>
        </w:rPr>
        <w:t xml:space="preserve"> a</w:t>
      </w:r>
      <w:r w:rsidR="00C41A32" w:rsidRPr="00134594">
        <w:rPr>
          <w:rFonts w:eastAsia="Arial Unicode MS"/>
          <w:sz w:val="20"/>
        </w:rPr>
        <w:t xml:space="preserve"> </w:t>
      </w:r>
      <w:r w:rsidRPr="00477F4D">
        <w:rPr>
          <w:rFonts w:eastAsia="Arial Unicode MS"/>
          <w:sz w:val="20"/>
        </w:rPr>
        <w:t>conclus</w:t>
      </w:r>
      <w:r w:rsidRPr="00477F4D">
        <w:rPr>
          <w:rFonts w:eastAsia="Arial Unicode MS" w:hint="eastAsia"/>
          <w:sz w:val="20"/>
        </w:rPr>
        <w:t>ã</w:t>
      </w:r>
      <w:r w:rsidRPr="00477F4D">
        <w:rPr>
          <w:rFonts w:eastAsia="Arial Unicode MS"/>
          <w:sz w:val="20"/>
        </w:rPr>
        <w:t>o final do contrato, admitindo-se substitui</w:t>
      </w:r>
      <w:r w:rsidRPr="00477F4D">
        <w:rPr>
          <w:rFonts w:eastAsia="Arial Unicode MS" w:hint="eastAsia"/>
          <w:sz w:val="20"/>
        </w:rPr>
        <w:t>çã</w:t>
      </w:r>
      <w:r w:rsidRPr="00477F4D">
        <w:rPr>
          <w:rFonts w:eastAsia="Arial Unicode MS"/>
          <w:sz w:val="20"/>
        </w:rPr>
        <w:t>o apenas por profissionais de qualifica</w:t>
      </w:r>
      <w:r w:rsidRPr="00477F4D">
        <w:rPr>
          <w:rFonts w:eastAsia="Arial Unicode MS" w:hint="eastAsia"/>
          <w:sz w:val="20"/>
        </w:rPr>
        <w:t>çã</w:t>
      </w:r>
      <w:r w:rsidRPr="00477F4D">
        <w:rPr>
          <w:rFonts w:eastAsia="Arial Unicode MS"/>
          <w:sz w:val="20"/>
        </w:rPr>
        <w:t>o</w:t>
      </w:r>
      <w:r w:rsidR="00C41A32" w:rsidRPr="00134594">
        <w:rPr>
          <w:rFonts w:eastAsia="Arial Unicode MS"/>
          <w:sz w:val="20"/>
        </w:rPr>
        <w:t xml:space="preserve"> </w:t>
      </w:r>
      <w:r w:rsidRPr="00477F4D">
        <w:rPr>
          <w:rFonts w:eastAsia="Arial Unicode MS"/>
          <w:sz w:val="20"/>
        </w:rPr>
        <w:t>t</w:t>
      </w:r>
      <w:r w:rsidRPr="00477F4D">
        <w:rPr>
          <w:rFonts w:eastAsia="Arial Unicode MS" w:hint="eastAsia"/>
          <w:sz w:val="20"/>
        </w:rPr>
        <w:t>é</w:t>
      </w:r>
      <w:r w:rsidRPr="00477F4D">
        <w:rPr>
          <w:rFonts w:eastAsia="Arial Unicode MS"/>
          <w:sz w:val="20"/>
        </w:rPr>
        <w:t>cnica equivalente ou superior, mediante aprova</w:t>
      </w:r>
      <w:r w:rsidRPr="00477F4D">
        <w:rPr>
          <w:rFonts w:eastAsia="Arial Unicode MS" w:hint="eastAsia"/>
          <w:sz w:val="20"/>
        </w:rPr>
        <w:t>çã</w:t>
      </w:r>
      <w:r w:rsidRPr="00477F4D">
        <w:rPr>
          <w:rFonts w:eastAsia="Arial Unicode MS"/>
          <w:sz w:val="20"/>
        </w:rPr>
        <w:t>o da fiscaliza</w:t>
      </w:r>
      <w:r w:rsidRPr="00477F4D">
        <w:rPr>
          <w:rFonts w:eastAsia="Arial Unicode MS" w:hint="eastAsia"/>
          <w:sz w:val="20"/>
        </w:rPr>
        <w:t>çã</w:t>
      </w:r>
      <w:r w:rsidRPr="00477F4D">
        <w:rPr>
          <w:rFonts w:eastAsia="Arial Unicode MS"/>
          <w:sz w:val="20"/>
        </w:rPr>
        <w:t>o; e</w:t>
      </w:r>
    </w:p>
    <w:p w14:paraId="2F6308E5" w14:textId="0A8004C4" w:rsidR="00C41A32" w:rsidRPr="00134594" w:rsidRDefault="00477F4D" w:rsidP="00134594">
      <w:pPr>
        <w:spacing w:after="0" w:line="240" w:lineRule="auto"/>
        <w:ind w:firstLine="1418"/>
        <w:jc w:val="both"/>
        <w:rPr>
          <w:rFonts w:eastAsia="Arial Unicode MS"/>
          <w:sz w:val="20"/>
        </w:rPr>
      </w:pPr>
      <w:r w:rsidRPr="00477F4D">
        <w:rPr>
          <w:rFonts w:eastAsia="Arial Unicode MS"/>
          <w:sz w:val="20"/>
        </w:rPr>
        <w:t>c) n</w:t>
      </w:r>
      <w:r w:rsidRPr="00477F4D">
        <w:rPr>
          <w:rFonts w:eastAsia="Arial Unicode MS" w:hint="eastAsia"/>
          <w:sz w:val="20"/>
        </w:rPr>
        <w:t>ã</w:t>
      </w:r>
      <w:r w:rsidRPr="00477F4D">
        <w:rPr>
          <w:rFonts w:eastAsia="Arial Unicode MS"/>
          <w:sz w:val="20"/>
        </w:rPr>
        <w:t>o ser</w:t>
      </w:r>
      <w:r w:rsidRPr="00477F4D">
        <w:rPr>
          <w:rFonts w:eastAsia="Arial Unicode MS" w:hint="eastAsia"/>
          <w:sz w:val="20"/>
        </w:rPr>
        <w:t>á</w:t>
      </w:r>
      <w:r w:rsidRPr="00477F4D">
        <w:rPr>
          <w:rFonts w:eastAsia="Arial Unicode MS"/>
          <w:sz w:val="20"/>
        </w:rPr>
        <w:t xml:space="preserve"> admitida a comprova</w:t>
      </w:r>
      <w:r w:rsidRPr="00477F4D">
        <w:rPr>
          <w:rFonts w:eastAsia="Arial Unicode MS" w:hint="eastAsia"/>
          <w:sz w:val="20"/>
        </w:rPr>
        <w:t>çã</w:t>
      </w:r>
      <w:r w:rsidRPr="00477F4D">
        <w:rPr>
          <w:rFonts w:eastAsia="Arial Unicode MS"/>
          <w:sz w:val="20"/>
        </w:rPr>
        <w:t>o de v</w:t>
      </w:r>
      <w:r w:rsidRPr="00477F4D">
        <w:rPr>
          <w:rFonts w:eastAsia="Arial Unicode MS" w:hint="eastAsia"/>
          <w:sz w:val="20"/>
        </w:rPr>
        <w:t>í</w:t>
      </w:r>
      <w:r w:rsidRPr="00477F4D">
        <w:rPr>
          <w:rFonts w:eastAsia="Arial Unicode MS"/>
          <w:sz w:val="20"/>
        </w:rPr>
        <w:t>nculo de um mesmo profissional com mais</w:t>
      </w:r>
      <w:r w:rsidR="00C41A32" w:rsidRPr="00134594">
        <w:rPr>
          <w:rFonts w:eastAsia="Arial Unicode MS"/>
          <w:sz w:val="20"/>
        </w:rPr>
        <w:t xml:space="preserve"> </w:t>
      </w:r>
      <w:r w:rsidRPr="00134594">
        <w:rPr>
          <w:rFonts w:eastAsia="Arial Unicode MS"/>
          <w:sz w:val="20"/>
        </w:rPr>
        <w:t>de uma licitante, sob pena de inabilita</w:t>
      </w:r>
      <w:r w:rsidRPr="00134594">
        <w:rPr>
          <w:rFonts w:eastAsia="Arial Unicode MS" w:hint="eastAsia"/>
          <w:sz w:val="20"/>
        </w:rPr>
        <w:t>çã</w:t>
      </w:r>
      <w:r w:rsidRPr="00134594">
        <w:rPr>
          <w:rFonts w:eastAsia="Arial Unicode MS"/>
          <w:sz w:val="20"/>
        </w:rPr>
        <w:t>o de todas as empresas envolvidas.</w:t>
      </w:r>
    </w:p>
    <w:p w14:paraId="1F65F2D4" w14:textId="2A3916C1" w:rsidR="005170D1" w:rsidRPr="00134594" w:rsidRDefault="005170D1" w:rsidP="00134594">
      <w:pPr>
        <w:spacing w:after="0" w:line="240" w:lineRule="auto"/>
        <w:jc w:val="both"/>
        <w:rPr>
          <w:rFonts w:eastAsia="Arial Unicode MS"/>
          <w:sz w:val="20"/>
        </w:rPr>
      </w:pPr>
      <w:r w:rsidRPr="00134594">
        <w:rPr>
          <w:rFonts w:eastAsia="Arial Unicode MS"/>
          <w:sz w:val="20"/>
        </w:rPr>
        <w:t>3.</w:t>
      </w:r>
      <w:r w:rsidR="00E02FFC" w:rsidRPr="00134594">
        <w:rPr>
          <w:rFonts w:eastAsia="Arial Unicode MS"/>
          <w:sz w:val="20"/>
        </w:rPr>
        <w:t>9</w:t>
      </w:r>
      <w:r w:rsidR="00002DF3" w:rsidRPr="00134594">
        <w:rPr>
          <w:rFonts w:eastAsia="Arial Unicode MS"/>
          <w:sz w:val="20"/>
        </w:rPr>
        <w:t xml:space="preserve">. </w:t>
      </w:r>
      <w:r w:rsidRPr="00134594">
        <w:rPr>
          <w:rFonts w:eastAsia="Arial Unicode MS"/>
          <w:sz w:val="20"/>
        </w:rPr>
        <w:t>Os profissionais técnicos indicados deverão participar efetivamente da execução da obra até sua conclusão, admitindo-se substituição apenas por profissionais de qualificação técnica equivalente ou superior, mediante prévia justificativa formal e aprovação da fiscalização.</w:t>
      </w:r>
    </w:p>
    <w:p w14:paraId="5CB4CD85" w14:textId="5ED80569" w:rsidR="00477F4D" w:rsidRPr="00477F4D" w:rsidRDefault="005170D1" w:rsidP="00134594">
      <w:pPr>
        <w:spacing w:after="0" w:line="240" w:lineRule="auto"/>
        <w:jc w:val="both"/>
        <w:rPr>
          <w:rFonts w:eastAsia="Arial Unicode MS"/>
          <w:sz w:val="20"/>
        </w:rPr>
      </w:pPr>
      <w:r w:rsidRPr="00134594">
        <w:rPr>
          <w:rFonts w:eastAsia="Arial Unicode MS"/>
          <w:sz w:val="20"/>
        </w:rPr>
        <w:t>3.1</w:t>
      </w:r>
      <w:r w:rsidR="00E02FFC" w:rsidRPr="00134594">
        <w:rPr>
          <w:rFonts w:eastAsia="Arial Unicode MS"/>
          <w:sz w:val="20"/>
        </w:rPr>
        <w:t>0</w:t>
      </w:r>
      <w:r w:rsidR="00002DF3" w:rsidRPr="00134594">
        <w:rPr>
          <w:rFonts w:eastAsia="Arial Unicode MS"/>
          <w:sz w:val="20"/>
        </w:rPr>
        <w:t xml:space="preserve">. </w:t>
      </w:r>
      <w:r w:rsidR="00477F4D" w:rsidRPr="00134594">
        <w:rPr>
          <w:rFonts w:eastAsia="Arial Unicode MS"/>
          <w:sz w:val="20"/>
        </w:rPr>
        <w:t>Constituem obriga</w:t>
      </w:r>
      <w:r w:rsidR="00477F4D" w:rsidRPr="00134594">
        <w:rPr>
          <w:rFonts w:eastAsia="Arial Unicode MS" w:hint="eastAsia"/>
          <w:sz w:val="20"/>
        </w:rPr>
        <w:t>çõ</w:t>
      </w:r>
      <w:r w:rsidR="00477F4D" w:rsidRPr="00134594">
        <w:rPr>
          <w:rFonts w:eastAsia="Arial Unicode MS"/>
          <w:sz w:val="20"/>
        </w:rPr>
        <w:t>es da empresa vencedora, al</w:t>
      </w:r>
      <w:r w:rsidR="00477F4D" w:rsidRPr="00134594">
        <w:rPr>
          <w:rFonts w:eastAsia="Arial Unicode MS" w:hint="eastAsia"/>
          <w:sz w:val="20"/>
        </w:rPr>
        <w:t>é</w:t>
      </w:r>
      <w:r w:rsidR="00477F4D" w:rsidRPr="00134594">
        <w:rPr>
          <w:rFonts w:eastAsia="Arial Unicode MS"/>
          <w:sz w:val="20"/>
        </w:rPr>
        <w:t>m daquelas previstas em contrato</w:t>
      </w:r>
      <w:r w:rsidR="000D355E" w:rsidRPr="00134594">
        <w:rPr>
          <w:rFonts w:eastAsia="Arial Unicode MS"/>
          <w:sz w:val="20"/>
        </w:rPr>
        <w:t xml:space="preserve"> </w:t>
      </w:r>
      <w:r w:rsidR="00477F4D" w:rsidRPr="00477F4D">
        <w:rPr>
          <w:rFonts w:eastAsia="Arial Unicode MS"/>
          <w:sz w:val="20"/>
        </w:rPr>
        <w:t>e no edital:</w:t>
      </w:r>
    </w:p>
    <w:p w14:paraId="715646EC" w14:textId="77777777" w:rsidR="000D355E" w:rsidRPr="00134594" w:rsidRDefault="00477F4D" w:rsidP="00134594">
      <w:pPr>
        <w:spacing w:after="0" w:line="240" w:lineRule="auto"/>
        <w:ind w:firstLine="709"/>
        <w:jc w:val="both"/>
        <w:rPr>
          <w:rFonts w:eastAsia="Arial Unicode MS"/>
          <w:sz w:val="20"/>
        </w:rPr>
      </w:pPr>
      <w:r w:rsidRPr="00477F4D">
        <w:rPr>
          <w:rFonts w:eastAsia="Arial Unicode MS"/>
          <w:sz w:val="20"/>
        </w:rPr>
        <w:t xml:space="preserve">a) </w:t>
      </w:r>
      <w:r w:rsidR="000D355E" w:rsidRPr="00134594">
        <w:rPr>
          <w:rFonts w:eastAsia="Arial Unicode MS"/>
          <w:sz w:val="20"/>
        </w:rPr>
        <w:t>executar os serviços de pintura interna e externa, reparos pontuais no telhado e nos rufos, bem como as adequações no sistema elétrico com instalação de gerador, conforme o projeto aprovado e as especificações técnicas fornecidas pelo Município;</w:t>
      </w:r>
    </w:p>
    <w:p w14:paraId="5A4FAFA6" w14:textId="75CDC046"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b) empregar materiais de qualidade e observar rigorosamente as normas t</w:t>
      </w:r>
      <w:r w:rsidRPr="00477F4D">
        <w:rPr>
          <w:rFonts w:eastAsia="Arial Unicode MS" w:hint="eastAsia"/>
          <w:sz w:val="20"/>
        </w:rPr>
        <w:t>é</w:t>
      </w:r>
      <w:r w:rsidRPr="00477F4D">
        <w:rPr>
          <w:rFonts w:eastAsia="Arial Unicode MS"/>
          <w:sz w:val="20"/>
        </w:rPr>
        <w:t>cnicas</w:t>
      </w:r>
      <w:r w:rsidR="000D355E" w:rsidRPr="00134594">
        <w:rPr>
          <w:rFonts w:eastAsia="Arial Unicode MS"/>
          <w:sz w:val="20"/>
        </w:rPr>
        <w:t xml:space="preserve"> </w:t>
      </w:r>
      <w:r w:rsidRPr="00477F4D">
        <w:rPr>
          <w:rFonts w:eastAsia="Arial Unicode MS"/>
          <w:sz w:val="20"/>
        </w:rPr>
        <w:t>vigentes;</w:t>
      </w:r>
    </w:p>
    <w:p w14:paraId="604B88EC" w14:textId="6F1170AB"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c) disponibilizar m</w:t>
      </w:r>
      <w:r w:rsidRPr="00477F4D">
        <w:rPr>
          <w:rFonts w:eastAsia="Arial Unicode MS" w:hint="eastAsia"/>
          <w:sz w:val="20"/>
        </w:rPr>
        <w:t>ã</w:t>
      </w:r>
      <w:r w:rsidRPr="00477F4D">
        <w:rPr>
          <w:rFonts w:eastAsia="Arial Unicode MS"/>
          <w:sz w:val="20"/>
        </w:rPr>
        <w:t xml:space="preserve">o de obra qualificada e equipamentos adequados </w:t>
      </w:r>
      <w:r w:rsidRPr="00477F4D">
        <w:rPr>
          <w:rFonts w:eastAsia="Arial Unicode MS" w:hint="eastAsia"/>
          <w:sz w:val="20"/>
        </w:rPr>
        <w:t>à</w:t>
      </w:r>
      <w:r w:rsidRPr="00477F4D">
        <w:rPr>
          <w:rFonts w:eastAsia="Arial Unicode MS"/>
          <w:sz w:val="20"/>
        </w:rPr>
        <w:t xml:space="preserve"> execu</w:t>
      </w:r>
      <w:r w:rsidRPr="00477F4D">
        <w:rPr>
          <w:rFonts w:eastAsia="Arial Unicode MS" w:hint="eastAsia"/>
          <w:sz w:val="20"/>
        </w:rPr>
        <w:t>çã</w:t>
      </w:r>
      <w:r w:rsidRPr="00477F4D">
        <w:rPr>
          <w:rFonts w:eastAsia="Arial Unicode MS"/>
          <w:sz w:val="20"/>
        </w:rPr>
        <w:t>o</w:t>
      </w:r>
      <w:r w:rsidR="000D355E" w:rsidRPr="00134594">
        <w:rPr>
          <w:rFonts w:eastAsia="Arial Unicode MS"/>
          <w:sz w:val="20"/>
        </w:rPr>
        <w:t xml:space="preserve"> </w:t>
      </w:r>
      <w:r w:rsidRPr="00477F4D">
        <w:rPr>
          <w:rFonts w:eastAsia="Arial Unicode MS"/>
          <w:sz w:val="20"/>
        </w:rPr>
        <w:t>dos servi</w:t>
      </w:r>
      <w:r w:rsidRPr="00477F4D">
        <w:rPr>
          <w:rFonts w:eastAsia="Arial Unicode MS" w:hint="eastAsia"/>
          <w:sz w:val="20"/>
        </w:rPr>
        <w:t>ç</w:t>
      </w:r>
      <w:r w:rsidRPr="00477F4D">
        <w:rPr>
          <w:rFonts w:eastAsia="Arial Unicode MS"/>
          <w:sz w:val="20"/>
        </w:rPr>
        <w:t>os;</w:t>
      </w:r>
    </w:p>
    <w:p w14:paraId="7AB49A00" w14:textId="58B54CBA"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d) apresentar relat</w:t>
      </w:r>
      <w:r w:rsidRPr="00477F4D">
        <w:rPr>
          <w:rFonts w:eastAsia="Arial Unicode MS" w:hint="eastAsia"/>
          <w:sz w:val="20"/>
        </w:rPr>
        <w:t>ó</w:t>
      </w:r>
      <w:r w:rsidRPr="00477F4D">
        <w:rPr>
          <w:rFonts w:eastAsia="Arial Unicode MS"/>
          <w:sz w:val="20"/>
        </w:rPr>
        <w:t>rios peri</w:t>
      </w:r>
      <w:r w:rsidRPr="00477F4D">
        <w:rPr>
          <w:rFonts w:eastAsia="Arial Unicode MS" w:hint="eastAsia"/>
          <w:sz w:val="20"/>
        </w:rPr>
        <w:t>ó</w:t>
      </w:r>
      <w:r w:rsidRPr="00477F4D">
        <w:rPr>
          <w:rFonts w:eastAsia="Arial Unicode MS"/>
          <w:sz w:val="20"/>
        </w:rPr>
        <w:t>dicos de progresso, incluindo medi</w:t>
      </w:r>
      <w:r w:rsidRPr="00477F4D">
        <w:rPr>
          <w:rFonts w:eastAsia="Arial Unicode MS" w:hint="eastAsia"/>
          <w:sz w:val="20"/>
        </w:rPr>
        <w:t>çõ</w:t>
      </w:r>
      <w:r w:rsidRPr="00477F4D">
        <w:rPr>
          <w:rFonts w:eastAsia="Arial Unicode MS"/>
          <w:sz w:val="20"/>
        </w:rPr>
        <w:t>es e controles de</w:t>
      </w:r>
      <w:r w:rsidR="000D355E" w:rsidRPr="00134594">
        <w:rPr>
          <w:rFonts w:eastAsia="Arial Unicode MS"/>
          <w:sz w:val="20"/>
        </w:rPr>
        <w:t xml:space="preserve"> </w:t>
      </w:r>
      <w:r w:rsidRPr="00477F4D">
        <w:rPr>
          <w:rFonts w:eastAsia="Arial Unicode MS"/>
          <w:sz w:val="20"/>
        </w:rPr>
        <w:t>qualidade;</w:t>
      </w:r>
    </w:p>
    <w:p w14:paraId="71D934CA" w14:textId="37179739"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e) manter o local da obra organizado, limpo e seguro, minimizando impactos</w:t>
      </w:r>
      <w:r w:rsidR="000D355E" w:rsidRPr="00134594">
        <w:rPr>
          <w:rFonts w:eastAsia="Arial Unicode MS"/>
          <w:sz w:val="20"/>
        </w:rPr>
        <w:t xml:space="preserve"> </w:t>
      </w:r>
      <w:r w:rsidRPr="00477F4D">
        <w:rPr>
          <w:rFonts w:eastAsia="Arial Unicode MS"/>
          <w:sz w:val="20"/>
        </w:rPr>
        <w:t>ambientais;</w:t>
      </w:r>
    </w:p>
    <w:p w14:paraId="6D471C6E" w14:textId="73949178"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f) assumir integral responsabilidade pela boa execu</w:t>
      </w:r>
      <w:r w:rsidRPr="00477F4D">
        <w:rPr>
          <w:rFonts w:eastAsia="Arial Unicode MS" w:hint="eastAsia"/>
          <w:sz w:val="20"/>
        </w:rPr>
        <w:t>çã</w:t>
      </w:r>
      <w:r w:rsidRPr="00477F4D">
        <w:rPr>
          <w:rFonts w:eastAsia="Arial Unicode MS"/>
          <w:sz w:val="20"/>
        </w:rPr>
        <w:t>o dos servi</w:t>
      </w:r>
      <w:r w:rsidRPr="00477F4D">
        <w:rPr>
          <w:rFonts w:eastAsia="Arial Unicode MS" w:hint="eastAsia"/>
          <w:sz w:val="20"/>
        </w:rPr>
        <w:t>ç</w:t>
      </w:r>
      <w:r w:rsidRPr="00477F4D">
        <w:rPr>
          <w:rFonts w:eastAsia="Arial Unicode MS"/>
          <w:sz w:val="20"/>
        </w:rPr>
        <w:t>os e por eventuais</w:t>
      </w:r>
      <w:r w:rsidR="000D355E" w:rsidRPr="00134594">
        <w:rPr>
          <w:rFonts w:eastAsia="Arial Unicode MS"/>
          <w:sz w:val="20"/>
        </w:rPr>
        <w:t xml:space="preserve"> </w:t>
      </w:r>
      <w:r w:rsidRPr="00477F4D">
        <w:rPr>
          <w:rFonts w:eastAsia="Arial Unicode MS"/>
          <w:sz w:val="20"/>
        </w:rPr>
        <w:t>danos causados ao Munic</w:t>
      </w:r>
      <w:r w:rsidRPr="00477F4D">
        <w:rPr>
          <w:rFonts w:eastAsia="Arial Unicode MS" w:hint="eastAsia"/>
          <w:sz w:val="20"/>
        </w:rPr>
        <w:t>í</w:t>
      </w:r>
      <w:r w:rsidRPr="00477F4D">
        <w:rPr>
          <w:rFonts w:eastAsia="Arial Unicode MS"/>
          <w:sz w:val="20"/>
        </w:rPr>
        <w:t>pio ou a terceiros;</w:t>
      </w:r>
    </w:p>
    <w:p w14:paraId="5C1AAA09" w14:textId="77777777"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g) prestar as informa</w:t>
      </w:r>
      <w:r w:rsidRPr="00477F4D">
        <w:rPr>
          <w:rFonts w:eastAsia="Arial Unicode MS" w:hint="eastAsia"/>
          <w:sz w:val="20"/>
        </w:rPr>
        <w:t>çõ</w:t>
      </w:r>
      <w:r w:rsidRPr="00477F4D">
        <w:rPr>
          <w:rFonts w:eastAsia="Arial Unicode MS"/>
          <w:sz w:val="20"/>
        </w:rPr>
        <w:t>es e esclarecimentos solicitados pela fiscaliza</w:t>
      </w:r>
      <w:r w:rsidRPr="00477F4D">
        <w:rPr>
          <w:rFonts w:eastAsia="Arial Unicode MS" w:hint="eastAsia"/>
          <w:sz w:val="20"/>
        </w:rPr>
        <w:t>çã</w:t>
      </w:r>
      <w:r w:rsidRPr="00477F4D">
        <w:rPr>
          <w:rFonts w:eastAsia="Arial Unicode MS"/>
          <w:sz w:val="20"/>
        </w:rPr>
        <w:t>o;</w:t>
      </w:r>
    </w:p>
    <w:p w14:paraId="05FA01B3" w14:textId="77777777"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h) manter quadro de pessoal suficiente para garantir a continuidade dos servi</w:t>
      </w:r>
      <w:r w:rsidRPr="00477F4D">
        <w:rPr>
          <w:rFonts w:eastAsia="Arial Unicode MS" w:hint="eastAsia"/>
          <w:sz w:val="20"/>
        </w:rPr>
        <w:t>ç</w:t>
      </w:r>
      <w:r w:rsidRPr="00477F4D">
        <w:rPr>
          <w:rFonts w:eastAsia="Arial Unicode MS"/>
          <w:sz w:val="20"/>
        </w:rPr>
        <w:t>os;</w:t>
      </w:r>
    </w:p>
    <w:p w14:paraId="3BB58736" w14:textId="42B001ED" w:rsidR="00477F4D" w:rsidRDefault="00477F4D" w:rsidP="00134594">
      <w:pPr>
        <w:spacing w:after="0" w:line="240" w:lineRule="auto"/>
        <w:ind w:firstLine="709"/>
        <w:jc w:val="both"/>
        <w:rPr>
          <w:rFonts w:eastAsia="Arial Unicode MS"/>
          <w:sz w:val="20"/>
        </w:rPr>
      </w:pPr>
      <w:r w:rsidRPr="00477F4D">
        <w:rPr>
          <w:rFonts w:eastAsia="Arial Unicode MS"/>
          <w:sz w:val="20"/>
        </w:rPr>
        <w:t>i) responsabilizar-se por todos os custos relativos a materiais, m</w:t>
      </w:r>
      <w:r w:rsidRPr="00477F4D">
        <w:rPr>
          <w:rFonts w:eastAsia="Arial Unicode MS" w:hint="eastAsia"/>
          <w:sz w:val="20"/>
        </w:rPr>
        <w:t>ã</w:t>
      </w:r>
      <w:r w:rsidRPr="00477F4D">
        <w:rPr>
          <w:rFonts w:eastAsia="Arial Unicode MS"/>
          <w:sz w:val="20"/>
        </w:rPr>
        <w:t>o de obra,</w:t>
      </w:r>
      <w:r w:rsidR="000D355E" w:rsidRPr="00134594">
        <w:rPr>
          <w:rFonts w:eastAsia="Arial Unicode MS"/>
          <w:sz w:val="20"/>
        </w:rPr>
        <w:t xml:space="preserve"> </w:t>
      </w:r>
      <w:r w:rsidRPr="00477F4D">
        <w:rPr>
          <w:rFonts w:eastAsia="Arial Unicode MS"/>
          <w:sz w:val="20"/>
        </w:rPr>
        <w:t>equipamentos e encargos;</w:t>
      </w:r>
    </w:p>
    <w:p w14:paraId="189337AC" w14:textId="766225E8" w:rsidR="00CA7843" w:rsidRDefault="00CA7843" w:rsidP="00134594">
      <w:pPr>
        <w:spacing w:after="0" w:line="240" w:lineRule="auto"/>
        <w:ind w:firstLine="709"/>
        <w:jc w:val="both"/>
        <w:rPr>
          <w:rFonts w:eastAsia="Arial Unicode MS"/>
          <w:sz w:val="20"/>
        </w:rPr>
      </w:pPr>
      <w:r>
        <w:rPr>
          <w:rFonts w:eastAsia="Arial Unicode MS"/>
          <w:sz w:val="20"/>
        </w:rPr>
        <w:t xml:space="preserve">j) </w:t>
      </w:r>
      <w:r w:rsidRPr="00477F4D">
        <w:rPr>
          <w:rFonts w:eastAsia="Arial Unicode MS"/>
          <w:sz w:val="20"/>
        </w:rPr>
        <w:t xml:space="preserve">submeter-se </w:t>
      </w:r>
      <w:r w:rsidRPr="00477F4D">
        <w:rPr>
          <w:rFonts w:eastAsia="Arial Unicode MS" w:hint="eastAsia"/>
          <w:sz w:val="20"/>
        </w:rPr>
        <w:t>à</w:t>
      </w:r>
      <w:r w:rsidRPr="00477F4D">
        <w:rPr>
          <w:rFonts w:eastAsia="Arial Unicode MS"/>
          <w:sz w:val="20"/>
        </w:rPr>
        <w:t xml:space="preserve"> paralisa</w:t>
      </w:r>
      <w:r w:rsidRPr="00477F4D">
        <w:rPr>
          <w:rFonts w:eastAsia="Arial Unicode MS" w:hint="eastAsia"/>
          <w:sz w:val="20"/>
        </w:rPr>
        <w:t>çã</w:t>
      </w:r>
      <w:r w:rsidRPr="00477F4D">
        <w:rPr>
          <w:rFonts w:eastAsia="Arial Unicode MS"/>
          <w:sz w:val="20"/>
        </w:rPr>
        <w:t>o da obra ou suspens</w:t>
      </w:r>
      <w:r w:rsidRPr="00477F4D">
        <w:rPr>
          <w:rFonts w:eastAsia="Arial Unicode MS" w:hint="eastAsia"/>
          <w:sz w:val="20"/>
        </w:rPr>
        <w:t>ã</w:t>
      </w:r>
      <w:r w:rsidRPr="00477F4D">
        <w:rPr>
          <w:rFonts w:eastAsia="Arial Unicode MS"/>
          <w:sz w:val="20"/>
        </w:rPr>
        <w:t>o de pagamentos, caso</w:t>
      </w:r>
      <w:r w:rsidRPr="00134594">
        <w:rPr>
          <w:rFonts w:eastAsia="Arial Unicode MS"/>
          <w:sz w:val="20"/>
        </w:rPr>
        <w:t xml:space="preserve"> </w:t>
      </w:r>
      <w:r w:rsidRPr="00477F4D">
        <w:rPr>
          <w:rFonts w:eastAsia="Arial Unicode MS"/>
          <w:sz w:val="20"/>
        </w:rPr>
        <w:t>constatado descumprimento das normas de seguran</w:t>
      </w:r>
      <w:r w:rsidRPr="00477F4D">
        <w:rPr>
          <w:rFonts w:eastAsia="Arial Unicode MS" w:hint="eastAsia"/>
          <w:sz w:val="20"/>
        </w:rPr>
        <w:t>ç</w:t>
      </w:r>
      <w:r w:rsidRPr="00477F4D">
        <w:rPr>
          <w:rFonts w:eastAsia="Arial Unicode MS"/>
          <w:sz w:val="20"/>
        </w:rPr>
        <w:t>a, sa</w:t>
      </w:r>
      <w:r w:rsidRPr="00477F4D">
        <w:rPr>
          <w:rFonts w:eastAsia="Arial Unicode MS" w:hint="eastAsia"/>
          <w:sz w:val="20"/>
        </w:rPr>
        <w:t>ú</w:t>
      </w:r>
      <w:r w:rsidRPr="00477F4D">
        <w:rPr>
          <w:rFonts w:eastAsia="Arial Unicode MS"/>
          <w:sz w:val="20"/>
        </w:rPr>
        <w:t>de e higiene do trabalho;</w:t>
      </w:r>
    </w:p>
    <w:p w14:paraId="12A48DD2" w14:textId="633DCBD8" w:rsidR="00CA7843" w:rsidRPr="00477F4D" w:rsidRDefault="00CA7843" w:rsidP="00134594">
      <w:pPr>
        <w:spacing w:after="0" w:line="240" w:lineRule="auto"/>
        <w:ind w:firstLine="709"/>
        <w:jc w:val="both"/>
        <w:rPr>
          <w:rFonts w:eastAsia="Arial Unicode MS"/>
          <w:sz w:val="20"/>
        </w:rPr>
      </w:pPr>
      <w:r>
        <w:rPr>
          <w:rFonts w:eastAsia="Arial Unicode MS"/>
          <w:sz w:val="20"/>
        </w:rPr>
        <w:t xml:space="preserve">k) </w:t>
      </w:r>
      <w:r w:rsidRPr="00477F4D">
        <w:rPr>
          <w:rFonts w:eastAsia="Arial Unicode MS"/>
          <w:sz w:val="20"/>
        </w:rPr>
        <w:t>apresentar, no prazo estabelecido no edital, Plano de Trabalho contendo</w:t>
      </w:r>
      <w:r w:rsidRPr="00134594">
        <w:rPr>
          <w:rFonts w:eastAsia="Arial Unicode MS"/>
          <w:sz w:val="20"/>
        </w:rPr>
        <w:t xml:space="preserve"> </w:t>
      </w:r>
      <w:r w:rsidRPr="00477F4D">
        <w:rPr>
          <w:rFonts w:eastAsia="Arial Unicode MS"/>
          <w:sz w:val="20"/>
        </w:rPr>
        <w:t>metodologia construtiva, planejamento das atividades e cronograma detalhado;</w:t>
      </w:r>
    </w:p>
    <w:p w14:paraId="2DE85836" w14:textId="26B581CD" w:rsidR="00477F4D" w:rsidRPr="00477F4D" w:rsidRDefault="00477F4D" w:rsidP="00134594">
      <w:pPr>
        <w:spacing w:after="0" w:line="240" w:lineRule="auto"/>
        <w:ind w:firstLine="709"/>
        <w:jc w:val="both"/>
        <w:rPr>
          <w:rFonts w:eastAsia="Arial Unicode MS"/>
          <w:sz w:val="20"/>
        </w:rPr>
      </w:pPr>
      <w:r w:rsidRPr="00477F4D">
        <w:rPr>
          <w:rFonts w:eastAsia="Arial Unicode MS"/>
          <w:sz w:val="20"/>
        </w:rPr>
        <w:t>l) adotar crit</w:t>
      </w:r>
      <w:r w:rsidRPr="00477F4D">
        <w:rPr>
          <w:rFonts w:eastAsia="Arial Unicode MS" w:hint="eastAsia"/>
          <w:sz w:val="20"/>
        </w:rPr>
        <w:t>é</w:t>
      </w:r>
      <w:r w:rsidRPr="00477F4D">
        <w:rPr>
          <w:rFonts w:eastAsia="Arial Unicode MS"/>
          <w:sz w:val="20"/>
        </w:rPr>
        <w:t>rios de sustentabilidade ambiental, econ</w:t>
      </w:r>
      <w:r w:rsidRPr="00477F4D">
        <w:rPr>
          <w:rFonts w:eastAsia="Arial Unicode MS" w:hint="eastAsia"/>
          <w:sz w:val="20"/>
        </w:rPr>
        <w:t>ô</w:t>
      </w:r>
      <w:r w:rsidRPr="00477F4D">
        <w:rPr>
          <w:rFonts w:eastAsia="Arial Unicode MS"/>
          <w:sz w:val="20"/>
        </w:rPr>
        <w:t>mica e social durante toda a</w:t>
      </w:r>
      <w:r w:rsidR="000D355E" w:rsidRPr="00134594">
        <w:rPr>
          <w:rFonts w:eastAsia="Arial Unicode MS"/>
          <w:sz w:val="20"/>
        </w:rPr>
        <w:t xml:space="preserve"> </w:t>
      </w:r>
      <w:r w:rsidRPr="00477F4D">
        <w:rPr>
          <w:rFonts w:eastAsia="Arial Unicode MS"/>
          <w:sz w:val="20"/>
        </w:rPr>
        <w:t>execu</w:t>
      </w:r>
      <w:r w:rsidRPr="00477F4D">
        <w:rPr>
          <w:rFonts w:eastAsia="Arial Unicode MS" w:hint="eastAsia"/>
          <w:sz w:val="20"/>
        </w:rPr>
        <w:t>çã</w:t>
      </w:r>
      <w:r w:rsidRPr="00477F4D">
        <w:rPr>
          <w:rFonts w:eastAsia="Arial Unicode MS"/>
          <w:sz w:val="20"/>
        </w:rPr>
        <w:t>o;</w:t>
      </w:r>
    </w:p>
    <w:p w14:paraId="465E67C9" w14:textId="124D24C9" w:rsidR="00477F4D" w:rsidRDefault="00477F4D" w:rsidP="00134594">
      <w:pPr>
        <w:spacing w:after="0" w:line="240" w:lineRule="auto"/>
        <w:ind w:firstLine="709"/>
        <w:jc w:val="both"/>
        <w:rPr>
          <w:rFonts w:eastAsia="Arial Unicode MS"/>
          <w:sz w:val="20"/>
        </w:rPr>
      </w:pPr>
      <w:r w:rsidRPr="00477F4D">
        <w:rPr>
          <w:rFonts w:eastAsia="Arial Unicode MS"/>
          <w:sz w:val="20"/>
        </w:rPr>
        <w:t>m) providenciar as respectivas ARTs/RRTs e a inscri</w:t>
      </w:r>
      <w:r w:rsidRPr="00477F4D">
        <w:rPr>
          <w:rFonts w:eastAsia="Arial Unicode MS" w:hint="eastAsia"/>
          <w:sz w:val="20"/>
        </w:rPr>
        <w:t>çã</w:t>
      </w:r>
      <w:r w:rsidRPr="00477F4D">
        <w:rPr>
          <w:rFonts w:eastAsia="Arial Unicode MS"/>
          <w:sz w:val="20"/>
        </w:rPr>
        <w:t>o da obra no Cadastro</w:t>
      </w:r>
      <w:r w:rsidR="000D355E" w:rsidRPr="00134594">
        <w:rPr>
          <w:rFonts w:eastAsia="Arial Unicode MS"/>
          <w:sz w:val="20"/>
        </w:rPr>
        <w:t xml:space="preserve"> </w:t>
      </w:r>
      <w:r w:rsidRPr="00477F4D">
        <w:rPr>
          <w:rFonts w:eastAsia="Arial Unicode MS"/>
          <w:sz w:val="20"/>
        </w:rPr>
        <w:t xml:space="preserve">Nacional de Obras </w:t>
      </w:r>
      <w:r w:rsidRPr="00477F4D">
        <w:rPr>
          <w:rFonts w:eastAsia="Arial Unicode MS" w:hint="eastAsia"/>
          <w:sz w:val="20"/>
        </w:rPr>
        <w:t>–</w:t>
      </w:r>
      <w:r w:rsidRPr="00477F4D">
        <w:rPr>
          <w:rFonts w:eastAsia="Arial Unicode MS"/>
          <w:sz w:val="20"/>
        </w:rPr>
        <w:t xml:space="preserve"> CNO;</w:t>
      </w:r>
    </w:p>
    <w:p w14:paraId="035F727F" w14:textId="3636748A" w:rsidR="00477F4D" w:rsidRPr="00477F4D" w:rsidRDefault="00CA7843" w:rsidP="00134594">
      <w:pPr>
        <w:spacing w:after="0" w:line="240" w:lineRule="auto"/>
        <w:ind w:firstLine="709"/>
        <w:jc w:val="both"/>
        <w:rPr>
          <w:rFonts w:eastAsia="Arial Unicode MS"/>
          <w:sz w:val="20"/>
        </w:rPr>
      </w:pPr>
      <w:r>
        <w:rPr>
          <w:rFonts w:eastAsia="Arial Unicode MS"/>
          <w:sz w:val="20"/>
        </w:rPr>
        <w:t xml:space="preserve">n) </w:t>
      </w:r>
      <w:r w:rsidR="00477F4D" w:rsidRPr="00477F4D">
        <w:rPr>
          <w:rFonts w:eastAsia="Arial Unicode MS"/>
          <w:sz w:val="20"/>
        </w:rPr>
        <w:t xml:space="preserve">refazer, sem </w:t>
      </w:r>
      <w:r w:rsidR="00477F4D" w:rsidRPr="00477F4D">
        <w:rPr>
          <w:rFonts w:eastAsia="Arial Unicode MS" w:hint="eastAsia"/>
          <w:sz w:val="20"/>
        </w:rPr>
        <w:t>ô</w:t>
      </w:r>
      <w:r w:rsidR="00477F4D" w:rsidRPr="00477F4D">
        <w:rPr>
          <w:rFonts w:eastAsia="Arial Unicode MS"/>
          <w:sz w:val="20"/>
        </w:rPr>
        <w:t>nus adicional, servi</w:t>
      </w:r>
      <w:r w:rsidR="00477F4D" w:rsidRPr="00477F4D">
        <w:rPr>
          <w:rFonts w:eastAsia="Arial Unicode MS" w:hint="eastAsia"/>
          <w:sz w:val="20"/>
        </w:rPr>
        <w:t>ç</w:t>
      </w:r>
      <w:r w:rsidR="00477F4D" w:rsidRPr="00477F4D">
        <w:rPr>
          <w:rFonts w:eastAsia="Arial Unicode MS"/>
          <w:sz w:val="20"/>
        </w:rPr>
        <w:t>os executados com v</w:t>
      </w:r>
      <w:r w:rsidR="00477F4D" w:rsidRPr="00477F4D">
        <w:rPr>
          <w:rFonts w:eastAsia="Arial Unicode MS" w:hint="eastAsia"/>
          <w:sz w:val="20"/>
        </w:rPr>
        <w:t>í</w:t>
      </w:r>
      <w:r w:rsidR="00477F4D" w:rsidRPr="00477F4D">
        <w:rPr>
          <w:rFonts w:eastAsia="Arial Unicode MS"/>
          <w:sz w:val="20"/>
        </w:rPr>
        <w:t>cios ou defeitos; e</w:t>
      </w:r>
    </w:p>
    <w:p w14:paraId="50511079" w14:textId="3D262B4A" w:rsidR="000D355E" w:rsidRPr="00134594" w:rsidRDefault="00CA7843" w:rsidP="00134594">
      <w:pPr>
        <w:spacing w:after="0" w:line="240" w:lineRule="auto"/>
        <w:ind w:firstLine="709"/>
        <w:jc w:val="both"/>
        <w:rPr>
          <w:rFonts w:eastAsia="Arial Unicode MS"/>
          <w:sz w:val="20"/>
        </w:rPr>
      </w:pPr>
      <w:r>
        <w:rPr>
          <w:rFonts w:eastAsia="Arial Unicode MS"/>
          <w:sz w:val="20"/>
        </w:rPr>
        <w:t>o</w:t>
      </w:r>
      <w:r w:rsidR="00477F4D" w:rsidRPr="00477F4D">
        <w:rPr>
          <w:rFonts w:eastAsia="Arial Unicode MS"/>
          <w:sz w:val="20"/>
        </w:rPr>
        <w:t>) responder integralmente por danos decorrentes de neglig</w:t>
      </w:r>
      <w:r w:rsidR="00477F4D" w:rsidRPr="00477F4D">
        <w:rPr>
          <w:rFonts w:eastAsia="Arial Unicode MS" w:hint="eastAsia"/>
          <w:sz w:val="20"/>
        </w:rPr>
        <w:t>ê</w:t>
      </w:r>
      <w:r w:rsidR="00477F4D" w:rsidRPr="00477F4D">
        <w:rPr>
          <w:rFonts w:eastAsia="Arial Unicode MS"/>
          <w:sz w:val="20"/>
        </w:rPr>
        <w:t>ncia, imper</w:t>
      </w:r>
      <w:r w:rsidR="00477F4D" w:rsidRPr="00477F4D">
        <w:rPr>
          <w:rFonts w:eastAsia="Arial Unicode MS" w:hint="eastAsia"/>
          <w:sz w:val="20"/>
        </w:rPr>
        <w:t>í</w:t>
      </w:r>
      <w:r w:rsidR="00477F4D" w:rsidRPr="00477F4D">
        <w:rPr>
          <w:rFonts w:eastAsia="Arial Unicode MS"/>
          <w:sz w:val="20"/>
        </w:rPr>
        <w:t>cia ou</w:t>
      </w:r>
      <w:r w:rsidR="000D355E" w:rsidRPr="00134594">
        <w:rPr>
          <w:rFonts w:eastAsia="Arial Unicode MS"/>
          <w:sz w:val="20"/>
        </w:rPr>
        <w:t xml:space="preserve"> </w:t>
      </w:r>
      <w:r w:rsidR="00477F4D" w:rsidRPr="00134594">
        <w:rPr>
          <w:rFonts w:eastAsia="Arial Unicode MS"/>
          <w:sz w:val="20"/>
        </w:rPr>
        <w:t>omiss</w:t>
      </w:r>
      <w:r w:rsidR="00477F4D" w:rsidRPr="00134594">
        <w:rPr>
          <w:rFonts w:eastAsia="Arial Unicode MS" w:hint="eastAsia"/>
          <w:sz w:val="20"/>
        </w:rPr>
        <w:t>ã</w:t>
      </w:r>
      <w:r w:rsidR="00477F4D" w:rsidRPr="00134594">
        <w:rPr>
          <w:rFonts w:eastAsia="Arial Unicode MS"/>
          <w:sz w:val="20"/>
        </w:rPr>
        <w:t>o durante a execu</w:t>
      </w:r>
      <w:r w:rsidR="00477F4D" w:rsidRPr="00134594">
        <w:rPr>
          <w:rFonts w:eastAsia="Arial Unicode MS" w:hint="eastAsia"/>
          <w:sz w:val="20"/>
        </w:rPr>
        <w:t>çã</w:t>
      </w:r>
      <w:r w:rsidR="00477F4D" w:rsidRPr="00134594">
        <w:rPr>
          <w:rFonts w:eastAsia="Arial Unicode MS"/>
          <w:sz w:val="20"/>
        </w:rPr>
        <w:t>o contratual.</w:t>
      </w:r>
    </w:p>
    <w:p w14:paraId="4D3C6870" w14:textId="6491BA17" w:rsidR="006E0F08" w:rsidRPr="00134594" w:rsidRDefault="005170D1" w:rsidP="00134594">
      <w:pPr>
        <w:spacing w:after="0" w:line="240" w:lineRule="auto"/>
        <w:jc w:val="both"/>
        <w:rPr>
          <w:rFonts w:eastAsia="Arial Unicode MS"/>
          <w:sz w:val="20"/>
        </w:rPr>
      </w:pPr>
      <w:r w:rsidRPr="00134594">
        <w:rPr>
          <w:rFonts w:eastAsia="Arial Unicode MS"/>
          <w:sz w:val="20"/>
        </w:rPr>
        <w:t>3.1</w:t>
      </w:r>
      <w:r w:rsidR="00E02FFC" w:rsidRPr="00134594">
        <w:rPr>
          <w:rFonts w:eastAsia="Arial Unicode MS"/>
          <w:sz w:val="20"/>
        </w:rPr>
        <w:t>1</w:t>
      </w:r>
      <w:r w:rsidR="00002DF3" w:rsidRPr="00134594">
        <w:rPr>
          <w:rFonts w:eastAsia="Arial Unicode MS"/>
          <w:sz w:val="20"/>
        </w:rPr>
        <w:t xml:space="preserve">. </w:t>
      </w:r>
      <w:r w:rsidRPr="00134594">
        <w:rPr>
          <w:rFonts w:eastAsia="Arial Unicode MS"/>
          <w:sz w:val="20"/>
        </w:rPr>
        <w:t>Compete ao Município de Paverama, na qualidade de contratante, disponibilizar as informações técnicas necessárias à execução da obra, assegurar acesso livre e desimpedido ao local de execução, acompanhar e fiscalizar os serviços e efetuar os pagamentos devidos conforme medições regularmente aprovadas e condições contratuais.</w:t>
      </w:r>
    </w:p>
    <w:p w14:paraId="06C5B436" w14:textId="77777777" w:rsidR="005170D1" w:rsidRPr="00134594" w:rsidRDefault="005170D1" w:rsidP="00134594">
      <w:pPr>
        <w:spacing w:after="0" w:line="240" w:lineRule="auto"/>
        <w:jc w:val="both"/>
        <w:rPr>
          <w:rFonts w:eastAsia="Arial Unicode MS"/>
          <w:sz w:val="20"/>
        </w:rPr>
      </w:pPr>
    </w:p>
    <w:p w14:paraId="217F5DA4" w14:textId="77777777" w:rsidR="006E786C" w:rsidRPr="00134594" w:rsidRDefault="006E786C" w:rsidP="00134594">
      <w:pPr>
        <w:spacing w:after="0" w:line="240" w:lineRule="auto"/>
        <w:jc w:val="both"/>
        <w:rPr>
          <w:rFonts w:eastAsia="Arial Unicode MS"/>
          <w:b/>
          <w:sz w:val="20"/>
        </w:rPr>
      </w:pPr>
      <w:r w:rsidRPr="00134594">
        <w:rPr>
          <w:rFonts w:eastAsia="Arial Unicode MS"/>
          <w:b/>
          <w:sz w:val="20"/>
        </w:rPr>
        <w:t>4</w:t>
      </w:r>
      <w:r w:rsidR="004720CF" w:rsidRPr="00134594">
        <w:rPr>
          <w:rFonts w:eastAsia="Arial Unicode MS"/>
          <w:b/>
          <w:sz w:val="20"/>
        </w:rPr>
        <w:t>.</w:t>
      </w:r>
      <w:r w:rsidRPr="00134594">
        <w:rPr>
          <w:rFonts w:eastAsia="Arial Unicode MS"/>
          <w:b/>
          <w:sz w:val="20"/>
        </w:rPr>
        <w:t xml:space="preserve"> LEVANTAMENTO DO MERCADO:</w:t>
      </w:r>
    </w:p>
    <w:p w14:paraId="5D1C729A"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4.1. Para o atendimento da necessidade pública identificada neste Estudo Técnico Preliminar, foi realizado levantamento de mercado com a finalidade de verificar a existência de empresas aptas à execução de serviços comuns de engenharia compatíveis com o objeto pretendido, bem como de analisar, de forma técnica e fundamentada, a adequação ou não de alternativas que poderiam, em tese, ser consideradas, tais como reforma estrutural ampliada da unidade, construção de nova edificação ou locação de imóvel para armazenamento de medicamentos.</w:t>
      </w:r>
    </w:p>
    <w:p w14:paraId="77D11593"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4.2. Inicialmente, cumpre esclarecer que o objeto não se caracteriza como ampliação ou reforma estrutural integral da Unidade Básica de Saúde. O diagnóstico técnico demonstrou que a edificação encontra-se estruturalmente adequada ao uso a que se destina, inexistindo necessidade de ampliação física, reconfiguração de layout ou execução de obra de maior complexidade. As demandas identificadas restringem-se a serviços pontuais de manutenção predial e adequação do sistema elétrico, razão pela qual não se justifica tecnicamente intervenção de maior vulto.</w:t>
      </w:r>
    </w:p>
    <w:p w14:paraId="42618D33" w14:textId="7C579005" w:rsidR="009156DA" w:rsidRPr="00134594" w:rsidRDefault="009156DA" w:rsidP="00134594">
      <w:pPr>
        <w:spacing w:after="0" w:line="240" w:lineRule="auto"/>
        <w:jc w:val="both"/>
        <w:rPr>
          <w:rFonts w:eastAsia="Arial Unicode MS"/>
          <w:bCs/>
          <w:sz w:val="20"/>
        </w:rPr>
      </w:pPr>
      <w:r w:rsidRPr="00134594">
        <w:rPr>
          <w:rFonts w:eastAsia="Arial Unicode MS"/>
          <w:bCs/>
          <w:sz w:val="20"/>
        </w:rPr>
        <w:t>4.3. A hipótese de construção de nova estrutura destinada exclusivamente ao armazenamento de medicamentos mostrou-se desproporcional e economicamente inadequada frente à dimensão da necessidade identificada. A edificação atual atende às exigências funcionais de espaço, sendo suficientes as intervenções corretivas e preventivas propostas para garantir segurança, conservação e continuidade operacional. A construção de nova estrutura implicaria investimento significativamente superior, com impacto orçamentário incompatível com a natureza da demanda.</w:t>
      </w:r>
    </w:p>
    <w:p w14:paraId="52928716" w14:textId="015444FF" w:rsidR="009156DA" w:rsidRPr="00134594" w:rsidRDefault="009156DA" w:rsidP="00134594">
      <w:pPr>
        <w:spacing w:after="0" w:line="240" w:lineRule="auto"/>
        <w:jc w:val="both"/>
        <w:rPr>
          <w:rFonts w:eastAsia="Arial Unicode MS"/>
          <w:bCs/>
          <w:sz w:val="20"/>
        </w:rPr>
      </w:pPr>
      <w:r w:rsidRPr="00134594">
        <w:rPr>
          <w:rFonts w:eastAsia="Arial Unicode MS"/>
          <w:bCs/>
          <w:sz w:val="20"/>
        </w:rPr>
        <w:t>4.4. Também foi analisada a alternativa de locação de imóvel para armazenamento de medicamentos como solução para mitigar os riscos relacionados às interrupções no fornecimento de energia elétrica. Tal alternativa revelou-se tecnicamente inadequada, pois não elimina o problema central identificado</w:t>
      </w:r>
      <w:r w:rsidR="00CA7843">
        <w:rPr>
          <w:rFonts w:eastAsia="Arial Unicode MS"/>
          <w:bCs/>
          <w:sz w:val="20"/>
        </w:rPr>
        <w:t xml:space="preserve">, </w:t>
      </w:r>
      <w:r w:rsidRPr="00134594">
        <w:rPr>
          <w:rFonts w:eastAsia="Arial Unicode MS"/>
          <w:bCs/>
          <w:sz w:val="20"/>
        </w:rPr>
        <w:t>além de gerar despesa continuada sem incorporação de ativo ao patrimônio público. Ademais, a fragmentação física do serviço farmacêutico comprometeria a logística operacional, a eficiência administrativa e o controle de estoque.</w:t>
      </w:r>
    </w:p>
    <w:p w14:paraId="144FE9BF"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4.5. Concluiu-se, portanto, que a solução mais racional, proporcional e economicamente vantajosa consiste na realização de serviços pontuais de manutenção predial combinados com a implantação de sistema de geração de energia de contingência na própria unidade existente. A medida preserva o ativo público já implantado, corrige vulnerabilidades identificadas e evita dispêndios desnecessários com soluções estruturais de maior porte.</w:t>
      </w:r>
    </w:p>
    <w:p w14:paraId="67EE1F1D"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4.6. No que se refere à oferta de mercado, constatou-se a existência, no âmbito regional e estadual, de número significativo de empresas atuantes no ramo da construção civil e manutenção predial, com capacidade técnica compatível com a execução de serviços de pintura, reparos em cobertura e adequações elétricas de baixa complexidade. Trata-se de segmento amplamente competitivo, com métodos executivos padronizados e custos referenciados em sistemas oficiais, o que favorece a ampla concorrência e a obtenção de proposta economicamente mais vantajosa.</w:t>
      </w:r>
    </w:p>
    <w:p w14:paraId="08E9EFA8"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4.7. Os serviços pretendidos caracterizam-se como serviços comuns de engenharia de baixa complexidade, cujas especificações técnicas são objetivas, mensuráveis e amplamente difundidas no mercado, permitindo formulação de propostas comparáveis e avaliação criteriosa por critério objetivo de julgamento.</w:t>
      </w:r>
    </w:p>
    <w:p w14:paraId="203651E3"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4.8. O Setor de Engenharia do Município elaborou os documentos técnicos indispensáveis à contratação, incluindo memorial descritivo, planilha orçamentária detalhada, cronograma físico-financeiro e especificações técnicas, assegurando delimitação precisa do escopo e previsibilidade da execução.</w:t>
      </w:r>
    </w:p>
    <w:p w14:paraId="4201B278"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4.9. Os valores estimados constantes da planilha orçamentária foram elaborados com base em composições e custos referenciais oficiais do SINAPI – Sistema Nacional de Pesquisa de Custos e Índices da Construção Civil, complementados, quando necessário, por composições técnicas justificadas, conferindo confiabilidade técnica à estimativa de custos e aderência aos parâmetros praticados no mercado.</w:t>
      </w:r>
    </w:p>
    <w:p w14:paraId="67BF58BF" w14:textId="77777777" w:rsidR="009156DA" w:rsidRPr="00134594" w:rsidRDefault="009156DA" w:rsidP="00134594">
      <w:pPr>
        <w:spacing w:after="0" w:line="240" w:lineRule="auto"/>
        <w:jc w:val="both"/>
        <w:rPr>
          <w:rFonts w:eastAsia="Arial Unicode MS"/>
          <w:bCs/>
          <w:sz w:val="20"/>
        </w:rPr>
      </w:pPr>
      <w:r w:rsidRPr="00134594">
        <w:rPr>
          <w:rFonts w:eastAsia="Arial Unicode MS"/>
          <w:bCs/>
          <w:sz w:val="20"/>
        </w:rPr>
        <w:t>4.10. Os documentos técnicos disponibilizados fornecem informações suficientes, claras e precisas para que as empresas interessadas possam dimensionar corretamente seus custos, compreender as etapas de execução dos serviços, avaliar os riscos envolvidos e formular propostas completas e compatíveis com o objeto.</w:t>
      </w:r>
    </w:p>
    <w:p w14:paraId="584E866B" w14:textId="0835ABDA" w:rsidR="00AE4ECF" w:rsidRPr="00134594" w:rsidRDefault="009156DA" w:rsidP="00134594">
      <w:pPr>
        <w:spacing w:after="0" w:line="240" w:lineRule="auto"/>
        <w:jc w:val="both"/>
        <w:rPr>
          <w:rFonts w:eastAsia="Arial Unicode MS"/>
          <w:bCs/>
          <w:sz w:val="20"/>
        </w:rPr>
      </w:pPr>
      <w:r w:rsidRPr="00134594">
        <w:rPr>
          <w:rFonts w:eastAsia="Arial Unicode MS"/>
          <w:bCs/>
          <w:sz w:val="20"/>
        </w:rPr>
        <w:t>4.11. Assim, o levantamento de mercado demonstra, de forma objetiva e fundamentada, que a realização de serviços pontuais de manutenção predial associados à implantação de sistema de energia de contingência na unidade existente constitui a alternativa tecnicamente adequada, economicamente proporcional e administrativamente racional para atendimento da necessidade pública identificada, em consonância com os princípios do planejamento, da eficiência, da economicidade e da boa governança na gestão de recursos públicos.</w:t>
      </w:r>
    </w:p>
    <w:p w14:paraId="5A9F3C2F" w14:textId="77777777" w:rsidR="009156DA" w:rsidRPr="00134594" w:rsidRDefault="009156DA" w:rsidP="00134594">
      <w:pPr>
        <w:spacing w:after="0" w:line="240" w:lineRule="auto"/>
        <w:jc w:val="both"/>
        <w:rPr>
          <w:rFonts w:eastAsia="Arial Unicode MS"/>
          <w:bCs/>
          <w:sz w:val="20"/>
        </w:rPr>
      </w:pPr>
    </w:p>
    <w:p w14:paraId="33957B30" w14:textId="2E638BE7" w:rsidR="006E786C" w:rsidRPr="00134594" w:rsidRDefault="006E786C" w:rsidP="00134594">
      <w:pPr>
        <w:spacing w:after="0" w:line="240" w:lineRule="auto"/>
        <w:jc w:val="both"/>
        <w:rPr>
          <w:rFonts w:eastAsia="Arial Unicode MS"/>
          <w:b/>
          <w:sz w:val="20"/>
        </w:rPr>
      </w:pPr>
      <w:r w:rsidRPr="00134594">
        <w:rPr>
          <w:rFonts w:eastAsia="Arial Unicode MS"/>
          <w:b/>
          <w:sz w:val="20"/>
        </w:rPr>
        <w:t>5</w:t>
      </w:r>
      <w:r w:rsidR="00E17DCF" w:rsidRPr="00134594">
        <w:rPr>
          <w:rFonts w:eastAsia="Arial Unicode MS"/>
          <w:b/>
          <w:sz w:val="20"/>
        </w:rPr>
        <w:t>.</w:t>
      </w:r>
      <w:r w:rsidRPr="00134594">
        <w:rPr>
          <w:rFonts w:eastAsia="Arial Unicode MS"/>
          <w:b/>
          <w:sz w:val="20"/>
        </w:rPr>
        <w:t xml:space="preserve"> DESCRIÇÃO DA SOLUÇÃO COMO UM TODO:</w:t>
      </w:r>
    </w:p>
    <w:p w14:paraId="051B2152" w14:textId="05D810AC" w:rsidR="000830A4" w:rsidRPr="000830A4" w:rsidRDefault="000830A4" w:rsidP="00134594">
      <w:pPr>
        <w:spacing w:after="0" w:line="240" w:lineRule="auto"/>
        <w:jc w:val="both"/>
        <w:rPr>
          <w:rFonts w:eastAsia="Arial Unicode MS"/>
          <w:sz w:val="20"/>
        </w:rPr>
      </w:pPr>
      <w:r w:rsidRPr="000830A4">
        <w:rPr>
          <w:rFonts w:eastAsia="Arial Unicode MS"/>
          <w:sz w:val="20"/>
        </w:rPr>
        <w:t>5.1. A solução proposta consiste na contratação de empresa especializada para execução de serviços comuns de engenharia de baixa complexidade, compreendendo pintura externa com tinta acrílica emborrachada em todas as paredes externas e platibandas (interna e externa), execução de acréscimo de calha metálica no sistema de cobertura, remoção e substituição de rufos metálicos existentes e implantação de abrigo em alvenaria destinado à proteção de gerador</w:t>
      </w:r>
      <w:r w:rsidR="00CA7843">
        <w:rPr>
          <w:rFonts w:eastAsia="Arial Unicode MS"/>
          <w:sz w:val="20"/>
        </w:rPr>
        <w:t>.</w:t>
      </w:r>
    </w:p>
    <w:p w14:paraId="7CDA07AC" w14:textId="3A07936C" w:rsidR="000830A4" w:rsidRPr="000830A4" w:rsidRDefault="000830A4" w:rsidP="00134594">
      <w:pPr>
        <w:spacing w:after="0" w:line="240" w:lineRule="auto"/>
        <w:jc w:val="both"/>
        <w:rPr>
          <w:rFonts w:eastAsia="Arial Unicode MS"/>
          <w:sz w:val="20"/>
        </w:rPr>
      </w:pPr>
      <w:r w:rsidRPr="000830A4">
        <w:rPr>
          <w:rFonts w:eastAsia="Arial Unicode MS"/>
          <w:sz w:val="20"/>
        </w:rPr>
        <w:t xml:space="preserve">5.2. </w:t>
      </w:r>
      <w:r w:rsidRPr="000830A4">
        <w:rPr>
          <w:rFonts w:eastAsia="Arial Unicode MS"/>
          <w:b/>
          <w:bCs/>
          <w:sz w:val="20"/>
        </w:rPr>
        <w:t xml:space="preserve">A concepção da solução foi estruturada com base na análise do </w:t>
      </w:r>
      <w:r w:rsidR="00CA7843" w:rsidRPr="000830A4">
        <w:rPr>
          <w:rFonts w:eastAsia="Arial Unicode MS"/>
          <w:b/>
          <w:bCs/>
          <w:sz w:val="20"/>
        </w:rPr>
        <w:t xml:space="preserve">CICLO DE VIDA </w:t>
      </w:r>
      <w:r w:rsidRPr="000830A4">
        <w:rPr>
          <w:rFonts w:eastAsia="Arial Unicode MS"/>
          <w:b/>
          <w:bCs/>
          <w:sz w:val="20"/>
        </w:rPr>
        <w:t>completo do objeto</w:t>
      </w:r>
      <w:r w:rsidRPr="000830A4">
        <w:rPr>
          <w:rFonts w:eastAsia="Arial Unicode MS"/>
          <w:sz w:val="20"/>
        </w:rPr>
        <w:t>, compreendido como o conjunto de fases sucessivas que envolvem planejamento, contratação, execução, monitoramento de desempenho, recebimento, garantia e manutenção, considerando não apenas o custo inicial da intervenção, mas principalmente sua durabilidade, funcionalidade e impacto financeiro ao longo do tempo.</w:t>
      </w:r>
    </w:p>
    <w:p w14:paraId="53655D3A" w14:textId="77777777" w:rsidR="000830A4" w:rsidRPr="000830A4" w:rsidRDefault="000830A4" w:rsidP="00134594">
      <w:pPr>
        <w:spacing w:after="0" w:line="240" w:lineRule="auto"/>
        <w:jc w:val="both"/>
        <w:rPr>
          <w:rFonts w:eastAsia="Arial Unicode MS"/>
          <w:sz w:val="20"/>
        </w:rPr>
      </w:pPr>
      <w:r w:rsidRPr="000830A4">
        <w:rPr>
          <w:rFonts w:eastAsia="Arial Unicode MS"/>
          <w:sz w:val="20"/>
        </w:rPr>
        <w:t>5.3. Na fase pré-executiva do ciclo de vida, a formalização contratual, a emissão da Ordem de Serviço e a mobilização da contratada configuram o marco inicial da materialização do objeto. Nessa etapa, exige-se a apresentação da ART de execução, do plano de trabalho e do cronograma físico-financeiro, assegurando rastreabilidade técnica, definição clara de responsabilidades e previsibilidade de prazos e desembolsos. A solução adotada fundamenta-se em técnicas construtivas consolidadas e materiais de desempenho comprovado, o que contribui para estabilidade executiva e redução de riscos de retrabalho.</w:t>
      </w:r>
    </w:p>
    <w:p w14:paraId="72B64AC4" w14:textId="77777777" w:rsidR="000830A4" w:rsidRPr="000830A4" w:rsidRDefault="000830A4" w:rsidP="00134594">
      <w:pPr>
        <w:spacing w:after="0" w:line="240" w:lineRule="auto"/>
        <w:jc w:val="both"/>
        <w:rPr>
          <w:rFonts w:eastAsia="Arial Unicode MS"/>
          <w:sz w:val="20"/>
        </w:rPr>
      </w:pPr>
      <w:r w:rsidRPr="000830A4">
        <w:rPr>
          <w:rFonts w:eastAsia="Arial Unicode MS"/>
          <w:sz w:val="20"/>
        </w:rPr>
        <w:t>5.4. A fase executiva, com prazo físico de 01 (um) mês, admitida prorrogação única e devidamente justificada, corresponde à materialização técnica da intervenção. Nessa etapa, o ciclo de vida do objeto é influenciado diretamente pela qualidade dos insumos empregados, pela correta aplicação dos métodos construtivos e pelo controle técnico sistemático da fiscalização.</w:t>
      </w:r>
    </w:p>
    <w:p w14:paraId="07F7AE6B" w14:textId="555A7349" w:rsidR="000830A4" w:rsidRPr="000830A4" w:rsidRDefault="000830A4" w:rsidP="00134594">
      <w:pPr>
        <w:spacing w:after="0" w:line="240" w:lineRule="auto"/>
        <w:jc w:val="both"/>
        <w:rPr>
          <w:rFonts w:eastAsia="Arial Unicode MS"/>
          <w:sz w:val="20"/>
        </w:rPr>
      </w:pPr>
      <w:r w:rsidRPr="000830A4">
        <w:rPr>
          <w:rFonts w:eastAsia="Arial Unicode MS"/>
          <w:sz w:val="20"/>
        </w:rPr>
        <w:t>5.5. A pintura externa, precedida de preparo adequado das superfícies, representa intervenção de natureza preventiva e protetiva, e não meramente estética. A aplicação de tinta acrílica emborrachada em três demãos</w:t>
      </w:r>
      <w:r w:rsidR="00741A2C">
        <w:rPr>
          <w:rFonts w:eastAsia="Arial Unicode MS"/>
          <w:sz w:val="20"/>
        </w:rPr>
        <w:t xml:space="preserve"> </w:t>
      </w:r>
      <w:r w:rsidRPr="000830A4">
        <w:rPr>
          <w:rFonts w:eastAsia="Arial Unicode MS"/>
          <w:sz w:val="20"/>
        </w:rPr>
        <w:t xml:space="preserve">agrega desempenho impermeabilizante, resistência a intempéries e proteção contra variações térmicas, prolongando a vida útil da edificação e reduzindo a necessidade de manutenções corretivas precoces. </w:t>
      </w:r>
      <w:r w:rsidR="00741A2C" w:rsidRPr="000830A4">
        <w:rPr>
          <w:rFonts w:eastAsia="Arial Unicode MS"/>
          <w:b/>
          <w:bCs/>
          <w:sz w:val="20"/>
        </w:rPr>
        <w:t>SOB A ÓTICA DO CICLO DE VIDA, TRATA-SE DE SOLUÇÃO COM MELHOR RELAÇÃO CUSTO-BENEFÍCIO AO LONGO DO TEMPO.</w:t>
      </w:r>
    </w:p>
    <w:p w14:paraId="1FF7F728" w14:textId="1D227027" w:rsidR="000830A4" w:rsidRPr="000830A4" w:rsidRDefault="000830A4" w:rsidP="00134594">
      <w:pPr>
        <w:spacing w:after="0" w:line="240" w:lineRule="auto"/>
        <w:jc w:val="both"/>
        <w:rPr>
          <w:rFonts w:eastAsia="Arial Unicode MS"/>
          <w:sz w:val="20"/>
        </w:rPr>
      </w:pPr>
      <w:r w:rsidRPr="000830A4">
        <w:rPr>
          <w:rFonts w:eastAsia="Arial Unicode MS"/>
          <w:sz w:val="20"/>
        </w:rPr>
        <w:t>5.6. No sistema de cobertura, o acréscimo de calha metálica galvanizada e a substituição de rufos visam assegurar estanqueidade e adequada condução de águas pluviais, mitigando infiltrações e prevenindo patologias construtivas progressivas. A intervenção reduz a probabilidade de degradação estrutural e de danos internos decorrentes de umidade, preservando tanto a edificação quanto os bens nela armazenados.</w:t>
      </w:r>
    </w:p>
    <w:p w14:paraId="46FB3372" w14:textId="64DF7CDD" w:rsidR="000830A4" w:rsidRPr="000830A4" w:rsidRDefault="000830A4" w:rsidP="00134594">
      <w:pPr>
        <w:spacing w:after="0" w:line="240" w:lineRule="auto"/>
        <w:jc w:val="both"/>
        <w:rPr>
          <w:rFonts w:eastAsia="Arial Unicode MS"/>
          <w:sz w:val="20"/>
        </w:rPr>
      </w:pPr>
      <w:r w:rsidRPr="000830A4">
        <w:rPr>
          <w:rFonts w:eastAsia="Arial Unicode MS"/>
          <w:sz w:val="20"/>
        </w:rPr>
        <w:t>5.7. A implantação do abrigo para o gerador, executado em alvenaria com fundação, vigas de baldrame e amarração, laje inclinada e fechamento adequado, integra a estratégia de proteção de equipamento essencial à continuidade operacional da Farmácia Municipal. A análise sob a perspectiva do ciclo de vida evidencia que a proteção estrutural do gerador reduz exposição a intempéries, aumenta sua durabilidade e diminui custos futuros de manutenção ou substituição.</w:t>
      </w:r>
    </w:p>
    <w:p w14:paraId="3A0413C9" w14:textId="08D1B52A" w:rsidR="000830A4" w:rsidRPr="000830A4" w:rsidRDefault="000830A4" w:rsidP="00134594">
      <w:pPr>
        <w:spacing w:after="0" w:line="240" w:lineRule="auto"/>
        <w:jc w:val="both"/>
        <w:rPr>
          <w:rFonts w:eastAsia="Arial Unicode MS"/>
          <w:sz w:val="20"/>
        </w:rPr>
      </w:pPr>
      <w:r w:rsidRPr="000830A4">
        <w:rPr>
          <w:rFonts w:eastAsia="Arial Unicode MS"/>
          <w:sz w:val="20"/>
        </w:rPr>
        <w:t>5.8. Durante a execução, a fiscalização técnica permanente atua como mecanismo de controle de qualidade, garantindo aderência aos projetos, às especificações e às normas técnicas aplicáveis. A medição por eventos, condicionada ao aceite formal, assegura correlação entre avanço físico e pagamento, reduzindo riscos financeiros e reforçando a governança contratual.</w:t>
      </w:r>
    </w:p>
    <w:p w14:paraId="56BA13EE" w14:textId="62A4D676" w:rsidR="000830A4" w:rsidRPr="000830A4" w:rsidRDefault="000830A4" w:rsidP="00134594">
      <w:pPr>
        <w:spacing w:after="0" w:line="240" w:lineRule="auto"/>
        <w:jc w:val="both"/>
        <w:rPr>
          <w:rFonts w:eastAsia="Arial Unicode MS"/>
          <w:b/>
          <w:bCs/>
          <w:sz w:val="20"/>
        </w:rPr>
      </w:pPr>
      <w:r w:rsidRPr="000830A4">
        <w:rPr>
          <w:rFonts w:eastAsia="Arial Unicode MS"/>
          <w:sz w:val="20"/>
        </w:rPr>
        <w:t xml:space="preserve">5.9. Concluída a execução física, inicia-se a fase de transição do ciclo de vida, com a limpeza geral da obra, desmobilização de equipamentos e realização de arremates finais. </w:t>
      </w:r>
      <w:r w:rsidRPr="00134594">
        <w:rPr>
          <w:rFonts w:eastAsia="Arial Unicode MS"/>
          <w:b/>
          <w:bCs/>
          <w:sz w:val="20"/>
        </w:rPr>
        <w:t>O RECEBIMENTO PROVISÓRIO</w:t>
      </w:r>
      <w:r w:rsidR="00741A2C">
        <w:rPr>
          <w:rFonts w:eastAsia="Arial Unicode MS"/>
          <w:b/>
          <w:bCs/>
          <w:sz w:val="20"/>
        </w:rPr>
        <w:t xml:space="preserve"> SERÁ</w:t>
      </w:r>
      <w:r w:rsidRPr="00134594">
        <w:rPr>
          <w:rFonts w:eastAsia="Arial Unicode MS"/>
          <w:b/>
          <w:bCs/>
          <w:sz w:val="20"/>
        </w:rPr>
        <w:t xml:space="preserve"> REALIZADO EM ATÉ 10 (DEZ) DIAS ÚTEIS APÓS A COMUNICAÇÃO DE CONCLUSÃO</w:t>
      </w:r>
      <w:r w:rsidRPr="000830A4">
        <w:rPr>
          <w:rFonts w:eastAsia="Arial Unicode MS"/>
          <w:b/>
          <w:bCs/>
          <w:sz w:val="20"/>
        </w:rPr>
        <w:t>, formaliza</w:t>
      </w:r>
      <w:r w:rsidR="00741A2C">
        <w:rPr>
          <w:rFonts w:eastAsia="Arial Unicode MS"/>
          <w:b/>
          <w:bCs/>
          <w:sz w:val="20"/>
        </w:rPr>
        <w:t>ndo</w:t>
      </w:r>
      <w:r w:rsidRPr="000830A4">
        <w:rPr>
          <w:rFonts w:eastAsia="Arial Unicode MS"/>
          <w:b/>
          <w:bCs/>
          <w:sz w:val="20"/>
        </w:rPr>
        <w:t xml:space="preserve"> a entrega inicial</w:t>
      </w:r>
      <w:r w:rsidR="00741A2C">
        <w:rPr>
          <w:rFonts w:eastAsia="Arial Unicode MS"/>
          <w:b/>
          <w:bCs/>
          <w:sz w:val="20"/>
        </w:rPr>
        <w:t xml:space="preserve"> da obra.</w:t>
      </w:r>
    </w:p>
    <w:p w14:paraId="3B9B635C" w14:textId="7BB4CF0D" w:rsidR="000830A4" w:rsidRPr="000830A4" w:rsidRDefault="000830A4" w:rsidP="00134594">
      <w:pPr>
        <w:spacing w:after="0" w:line="240" w:lineRule="auto"/>
        <w:jc w:val="both"/>
        <w:rPr>
          <w:rFonts w:eastAsia="Arial Unicode MS"/>
          <w:sz w:val="20"/>
        </w:rPr>
      </w:pPr>
      <w:r w:rsidRPr="000830A4">
        <w:rPr>
          <w:rFonts w:eastAsia="Arial Unicode MS"/>
          <w:sz w:val="20"/>
        </w:rPr>
        <w:t xml:space="preserve">5.10. </w:t>
      </w:r>
      <w:r w:rsidR="00741A2C">
        <w:rPr>
          <w:rFonts w:eastAsia="Arial Unicode MS"/>
          <w:sz w:val="20"/>
        </w:rPr>
        <w:t>Após o Termo de R</w:t>
      </w:r>
      <w:r w:rsidRPr="000830A4">
        <w:rPr>
          <w:rFonts w:eastAsia="Arial Unicode MS"/>
          <w:sz w:val="20"/>
        </w:rPr>
        <w:t xml:space="preserve">ecebimento </w:t>
      </w:r>
      <w:r w:rsidR="00741A2C">
        <w:rPr>
          <w:rFonts w:eastAsia="Arial Unicode MS"/>
          <w:sz w:val="20"/>
        </w:rPr>
        <w:t>P</w:t>
      </w:r>
      <w:r w:rsidRPr="000830A4">
        <w:rPr>
          <w:rFonts w:eastAsia="Arial Unicode MS"/>
          <w:sz w:val="20"/>
        </w:rPr>
        <w:t xml:space="preserve">rovisório </w:t>
      </w:r>
      <w:r w:rsidR="00741A2C">
        <w:rPr>
          <w:rFonts w:eastAsia="Arial Unicode MS"/>
          <w:sz w:val="20"/>
        </w:rPr>
        <w:t xml:space="preserve">ser efetivado, a etapa subsequente formalizará a </w:t>
      </w:r>
      <w:r w:rsidRPr="000830A4">
        <w:rPr>
          <w:rFonts w:eastAsia="Arial Unicode MS"/>
          <w:sz w:val="20"/>
        </w:rPr>
        <w:t xml:space="preserve">fase essencial de monitoramento, permitindo verificação do comportamento real da pintura sob exposição climática, da estanqueidade das calhas e rufos e da integridade estrutural do abrigo do gerador. </w:t>
      </w:r>
    </w:p>
    <w:p w14:paraId="533F885A" w14:textId="706E8A1A" w:rsidR="000830A4" w:rsidRPr="000830A4" w:rsidRDefault="000830A4" w:rsidP="00741A2C">
      <w:pPr>
        <w:spacing w:after="0" w:line="240" w:lineRule="auto"/>
        <w:ind w:firstLine="708"/>
        <w:jc w:val="both"/>
        <w:rPr>
          <w:rFonts w:eastAsia="Arial Unicode MS"/>
          <w:sz w:val="20"/>
        </w:rPr>
      </w:pPr>
      <w:r w:rsidRPr="000830A4">
        <w:rPr>
          <w:rFonts w:eastAsia="Arial Unicode MS"/>
          <w:sz w:val="20"/>
        </w:rPr>
        <w:t>5.1</w:t>
      </w:r>
      <w:r w:rsidR="00741A2C">
        <w:rPr>
          <w:rFonts w:eastAsia="Arial Unicode MS"/>
          <w:sz w:val="20"/>
        </w:rPr>
        <w:t>0</w:t>
      </w:r>
      <w:r w:rsidRPr="000830A4">
        <w:rPr>
          <w:rFonts w:eastAsia="Arial Unicode MS"/>
          <w:sz w:val="20"/>
        </w:rPr>
        <w:t>.</w:t>
      </w:r>
      <w:r w:rsidR="00741A2C">
        <w:rPr>
          <w:rFonts w:eastAsia="Arial Unicode MS"/>
          <w:sz w:val="20"/>
        </w:rPr>
        <w:t>1.</w:t>
      </w:r>
      <w:r w:rsidRPr="000830A4">
        <w:rPr>
          <w:rFonts w:eastAsia="Arial Unicode MS"/>
          <w:sz w:val="20"/>
        </w:rPr>
        <w:t xml:space="preserve"> O recebimento definitivo</w:t>
      </w:r>
      <w:r w:rsidR="00741A2C">
        <w:rPr>
          <w:rFonts w:eastAsia="Arial Unicode MS"/>
          <w:sz w:val="20"/>
        </w:rPr>
        <w:t xml:space="preserve"> será feito em até </w:t>
      </w:r>
      <w:r w:rsidR="008D6BAF">
        <w:rPr>
          <w:rFonts w:eastAsia="Arial Unicode MS"/>
          <w:sz w:val="20"/>
        </w:rPr>
        <w:t>90</w:t>
      </w:r>
      <w:r w:rsidR="00741A2C">
        <w:rPr>
          <w:rFonts w:eastAsia="Arial Unicode MS"/>
          <w:sz w:val="20"/>
        </w:rPr>
        <w:t xml:space="preserve"> (</w:t>
      </w:r>
      <w:r w:rsidR="008D6BAF">
        <w:rPr>
          <w:rFonts w:eastAsia="Arial Unicode MS"/>
          <w:sz w:val="20"/>
        </w:rPr>
        <w:t>nov</w:t>
      </w:r>
      <w:r w:rsidR="00741A2C">
        <w:rPr>
          <w:rFonts w:eastAsia="Arial Unicode MS"/>
          <w:sz w:val="20"/>
        </w:rPr>
        <w:t>enta dias) após a conclusão da obra</w:t>
      </w:r>
      <w:r w:rsidRPr="000830A4">
        <w:rPr>
          <w:rFonts w:eastAsia="Arial Unicode MS"/>
          <w:sz w:val="20"/>
        </w:rPr>
        <w:t>, condicionado à inexistência de pendências técnicas após o período de monitoramento, representa a consolidação formal da entrega do objeto. Todavia, a responsabilidade da contratada permanece durante o prazo legal de garantia, especialmente quanto à qualidade da execução, desempenho dos materiais e integridade dos sistemas implantados.</w:t>
      </w:r>
    </w:p>
    <w:p w14:paraId="475ECCEC" w14:textId="3DA80936" w:rsidR="000830A4" w:rsidRPr="000830A4" w:rsidRDefault="000830A4" w:rsidP="00134594">
      <w:pPr>
        <w:spacing w:after="0" w:line="240" w:lineRule="auto"/>
        <w:jc w:val="both"/>
        <w:rPr>
          <w:rFonts w:eastAsia="Arial Unicode MS"/>
          <w:sz w:val="20"/>
        </w:rPr>
      </w:pPr>
      <w:r w:rsidRPr="000830A4">
        <w:rPr>
          <w:rFonts w:eastAsia="Arial Unicode MS"/>
          <w:sz w:val="20"/>
        </w:rPr>
        <w:t>5.1</w:t>
      </w:r>
      <w:r w:rsidR="00741A2C">
        <w:rPr>
          <w:rFonts w:eastAsia="Arial Unicode MS"/>
          <w:sz w:val="20"/>
        </w:rPr>
        <w:t>1</w:t>
      </w:r>
      <w:r w:rsidRPr="000830A4">
        <w:rPr>
          <w:rFonts w:eastAsia="Arial Unicode MS"/>
          <w:sz w:val="20"/>
        </w:rPr>
        <w:t>. A abordagem adotada evidencia que a Administração não se limita à avaliação do custo imediato da intervenção, mas considera o desempenho funcional e a durabilidade do ativo ao longo do tempo. A análise do ciclo de vida demonstra que a escolha por materiais de maior resistência, sistemas de escoamento adequadamente dimensionados e proteção estruturada do gerador contribui para redução de despesas futuras e mitigação de riscos operacionais.</w:t>
      </w:r>
    </w:p>
    <w:p w14:paraId="1AE8469D" w14:textId="39905A44" w:rsidR="000830A4" w:rsidRPr="000830A4" w:rsidRDefault="000830A4" w:rsidP="00134594">
      <w:pPr>
        <w:spacing w:after="0" w:line="240" w:lineRule="auto"/>
        <w:jc w:val="both"/>
        <w:rPr>
          <w:rFonts w:eastAsia="Arial Unicode MS"/>
          <w:sz w:val="20"/>
        </w:rPr>
      </w:pPr>
      <w:r w:rsidRPr="000830A4">
        <w:rPr>
          <w:rFonts w:eastAsia="Arial Unicode MS"/>
          <w:sz w:val="20"/>
        </w:rPr>
        <w:t>5.1</w:t>
      </w:r>
      <w:r w:rsidR="00741A2C">
        <w:rPr>
          <w:rFonts w:eastAsia="Arial Unicode MS"/>
          <w:sz w:val="20"/>
        </w:rPr>
        <w:t>2</w:t>
      </w:r>
      <w:r w:rsidRPr="000830A4">
        <w:rPr>
          <w:rFonts w:eastAsia="Arial Unicode MS"/>
          <w:sz w:val="20"/>
        </w:rPr>
        <w:t>. A solução proposta, portanto, integra de forma sistêmica as dimensões técnica, financeira e patrimonial do objeto, contemplando todas as fases do seu ciclo de vida — planejamento, execução, controle, monitoramento, garantia e manutenção — e evidenciando alinhamento com práticas contemporâneas de gestão sustentável de ativos públicos.</w:t>
      </w:r>
    </w:p>
    <w:p w14:paraId="043194B0" w14:textId="77777777" w:rsidR="00E71A16" w:rsidRPr="00134594" w:rsidRDefault="00E71A16" w:rsidP="00134594">
      <w:pPr>
        <w:spacing w:after="0" w:line="240" w:lineRule="auto"/>
        <w:jc w:val="both"/>
        <w:rPr>
          <w:rFonts w:eastAsia="Arial Unicode MS"/>
          <w:sz w:val="20"/>
        </w:rPr>
      </w:pPr>
    </w:p>
    <w:p w14:paraId="421CA474" w14:textId="161A06B6" w:rsidR="00E71A16" w:rsidRPr="00134594" w:rsidRDefault="00E71A16" w:rsidP="00134594">
      <w:pPr>
        <w:spacing w:after="0" w:line="240" w:lineRule="auto"/>
        <w:jc w:val="both"/>
        <w:rPr>
          <w:rFonts w:eastAsia="Arial Unicode MS"/>
          <w:b/>
          <w:bCs/>
          <w:sz w:val="20"/>
        </w:rPr>
      </w:pPr>
      <w:r w:rsidRPr="00134594">
        <w:rPr>
          <w:rFonts w:eastAsia="Arial Unicode MS"/>
          <w:b/>
          <w:bCs/>
          <w:sz w:val="20"/>
        </w:rPr>
        <w:t>6. ESTIMATIVA DAS QUANTIDADES A SEREM CONTRATADAS</w:t>
      </w:r>
      <w:r w:rsidR="000830A4" w:rsidRPr="00134594">
        <w:rPr>
          <w:rFonts w:eastAsia="Arial Unicode MS"/>
          <w:b/>
          <w:bCs/>
          <w:sz w:val="20"/>
        </w:rPr>
        <w:t>:</w:t>
      </w:r>
    </w:p>
    <w:p w14:paraId="0D9D9143" w14:textId="0205D881" w:rsidR="00051D95" w:rsidRPr="00134594" w:rsidRDefault="00051D95" w:rsidP="00134594">
      <w:pPr>
        <w:spacing w:after="0" w:line="240" w:lineRule="auto"/>
        <w:jc w:val="both"/>
        <w:rPr>
          <w:rFonts w:eastAsia="Arial Unicode MS"/>
          <w:sz w:val="20"/>
        </w:rPr>
      </w:pPr>
      <w:r w:rsidRPr="00134594">
        <w:rPr>
          <w:rFonts w:eastAsia="Arial Unicode MS"/>
          <w:sz w:val="20"/>
        </w:rPr>
        <w:t xml:space="preserve">6.1. A estimativa das quantidades necessárias à reforma e ampliação do espaço da Farmácia Municipal foi elaborada com base em levantamento técnico detalhado promovido pelo Setor de Engenharia do Município, </w:t>
      </w:r>
      <w:r w:rsidR="00741A2C">
        <w:rPr>
          <w:rFonts w:eastAsia="Arial Unicode MS"/>
          <w:sz w:val="20"/>
        </w:rPr>
        <w:t xml:space="preserve">no </w:t>
      </w:r>
      <w:r w:rsidRPr="00134594">
        <w:rPr>
          <w:rFonts w:eastAsia="Arial Unicode MS"/>
          <w:sz w:val="20"/>
        </w:rPr>
        <w:t>diagnóstico das condições construtivas da edificação e</w:t>
      </w:r>
      <w:r w:rsidR="00741A2C">
        <w:rPr>
          <w:rFonts w:eastAsia="Arial Unicode MS"/>
          <w:sz w:val="20"/>
        </w:rPr>
        <w:t xml:space="preserve"> na</w:t>
      </w:r>
      <w:r w:rsidRPr="00134594">
        <w:rPr>
          <w:rFonts w:eastAsia="Arial Unicode MS"/>
          <w:sz w:val="20"/>
        </w:rPr>
        <w:t xml:space="preserve"> identificação das intervenções indispensáveis à sua requalificação</w:t>
      </w:r>
      <w:r w:rsidR="00741A2C">
        <w:rPr>
          <w:rFonts w:eastAsia="Arial Unicode MS"/>
          <w:sz w:val="20"/>
        </w:rPr>
        <w:t xml:space="preserve">. </w:t>
      </w:r>
      <w:r w:rsidRPr="00134594">
        <w:rPr>
          <w:rFonts w:eastAsia="Arial Unicode MS"/>
          <w:sz w:val="20"/>
        </w:rPr>
        <w:t>O dimensionamento quantitativo encontra-se consolidado em planilha específica acompanhada de memória de cálculo, integrante do processo, assegurando rastreabilidade metodológica e transparência técnica.</w:t>
      </w:r>
    </w:p>
    <w:p w14:paraId="0471DA6C"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6.2. A metodologia empregada observou critérios objetivos, verificáveis e auditáveis, consistentes com as boas práticas de engenharia de custos, partindo da decomposição analítica do objeto em macroetapas executivas, compreendendo serviços preliminares, requalificação das fachadas, adequações no sistema de cobertura, fornecimento e instalação de gerador de energia e construção de abrigo técnico estrutural destinado à sua acomodação segura.</w:t>
      </w:r>
    </w:p>
    <w:p w14:paraId="712C08E8"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6.3. No tocante aos serviços de pintura externa, a estimativa decorreu da aferição integral das superfícies verticais da edificação, consideradas as áreas efetivamente expostas às intempéries e as condições de desgaste do revestimento existente. A solução especificada contempla preparação adequada do substrato e aplicação de sistema de pintura compatível com ambientes externos, com vistas à ampliação da durabilidade, proteção contra umidade e preservação do patrimônio público.</w:t>
      </w:r>
    </w:p>
    <w:p w14:paraId="640C90D5" w14:textId="354F8822" w:rsidR="00051D95" w:rsidRPr="00134594" w:rsidRDefault="00051D95" w:rsidP="00134594">
      <w:pPr>
        <w:spacing w:after="0" w:line="240" w:lineRule="auto"/>
        <w:jc w:val="both"/>
        <w:rPr>
          <w:rFonts w:eastAsia="Arial Unicode MS"/>
          <w:sz w:val="20"/>
        </w:rPr>
      </w:pPr>
      <w:r w:rsidRPr="00134594">
        <w:rPr>
          <w:rFonts w:eastAsia="Arial Unicode MS"/>
          <w:sz w:val="20"/>
        </w:rPr>
        <w:t xml:space="preserve">6.4. Quanto ao sistema de cobertura, o levantamento técnico identificou a necessidade de remoção de elementos metálicos deteriorados e sua substituição por componentes novos, garantindo a adequada estanqueidade da edificação e prevenindo infiltrações que possam comprometer a integridade estrutural e os ambientes internos destinados ao armazenamento de medicamentos. </w:t>
      </w:r>
    </w:p>
    <w:p w14:paraId="66225BBA"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6.5. A ampliação funcional do espaço se materializa na construção de abrigo técnico específico para o gerador de energia, concebido a partir das características operacionais do equipamento e das exigências mínimas de ventilação, segurança, proteção contra intempéries e facilidade de manutenção. O dimensionamento estrutural contemplou fundações superficiais, elementos de concreto armado, vedação em alvenaria, laje de cobertura e impermeabilização, em conformidade com critérios técnicos adequados à natureza da intervenção.</w:t>
      </w:r>
    </w:p>
    <w:p w14:paraId="79608079"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6.6. As etapas relativas à execução de alvenarias, revestimentos, regularizações superficiais, aplicação de seladores e pintura interna e externa do abrigo foram quantificadas a partir das áreas efetivamente projetadas no estudo arquitetônico, assegurando coerência entre projeto, memorial descritivo e orçamento. O levantamento considerou a exclusão de vãos e a correta definição das superfícies a serem tratadas, evitando distorções ou sobreposição de quantitativos.</w:t>
      </w:r>
    </w:p>
    <w:p w14:paraId="2136DF42"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6.7. No que se refere às instalações elétricas do abrigo e à interligação do gerador ao sistema predial existente, os quantitativos foram dimensionados com base no traçado técnico estimado entre o ponto de instalação do equipamento e o quadro de distribuição, contemplando cabos de alimentação, eletrodutos, dispositivos de proteção, elementos de iluminação e acessórios complementares. O cálculo considerou reservas técnicas compatíveis com curvas, conexões e ajustes executivos, garantindo viabilidade operacional e segurança elétrica.</w:t>
      </w:r>
    </w:p>
    <w:p w14:paraId="49578D8E"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6.8. Todas as quantidades relativas a materiais, insumos e mão de obra foram estruturadas segundo composições referenciais oficiais de engenharia de custos, adotando metodologia padronizada reconhecida pelos órgãos de controle. Tal procedimento assegura uniformidade de critérios, aderência aos parâmetros de mercado e consistência técnica na formação do preço estimado.</w:t>
      </w:r>
    </w:p>
    <w:p w14:paraId="74BE2811" w14:textId="77777777" w:rsidR="00051D95" w:rsidRPr="00134594" w:rsidRDefault="00051D95" w:rsidP="00134594">
      <w:pPr>
        <w:spacing w:after="0" w:line="240" w:lineRule="auto"/>
        <w:jc w:val="both"/>
        <w:rPr>
          <w:rFonts w:eastAsia="Arial Unicode MS"/>
          <w:sz w:val="20"/>
        </w:rPr>
      </w:pPr>
      <w:r w:rsidRPr="00134594">
        <w:rPr>
          <w:rFonts w:eastAsia="Arial Unicode MS"/>
          <w:sz w:val="20"/>
        </w:rPr>
        <w:t>6.9. As estimativas estabelecidas constituem referência técnica para a formulação das propostas e para o planejamento da execução contratual, sendo que a medição e o pagamento permanecerão condicionados aos serviços efetivamente executados e devidamente aferidos pela fiscalização técnica, mediante registros formais, relatórios circunstanciados e verificação física in loco.</w:t>
      </w:r>
    </w:p>
    <w:p w14:paraId="70047009" w14:textId="21A6D2D9" w:rsidR="00E71A16" w:rsidRPr="00134594" w:rsidRDefault="00051D95" w:rsidP="00134594">
      <w:pPr>
        <w:spacing w:after="0" w:line="240" w:lineRule="auto"/>
        <w:jc w:val="both"/>
        <w:rPr>
          <w:rFonts w:eastAsia="Arial Unicode MS"/>
          <w:sz w:val="20"/>
        </w:rPr>
      </w:pPr>
      <w:r w:rsidRPr="00134594">
        <w:rPr>
          <w:rFonts w:eastAsia="Arial Unicode MS"/>
          <w:sz w:val="20"/>
        </w:rPr>
        <w:t>6.10. O conjunto das quantidades foi definido sob a lógica da intervenção estritamente necessária à requalificação e ampliação funcional do espaço, vedando-se ampliações indevidas de escopo e reforçando o controle sobre eventuais alterações supervenientes. A metodologia adotada fortalece a governança da contratação, reduz riscos de aditivos injustificados e assegura plena conformidade com as exigências de controle interno e externo aplicáveis às contratações públicas.</w:t>
      </w:r>
    </w:p>
    <w:p w14:paraId="57FBC0DB" w14:textId="77777777" w:rsidR="00051D95" w:rsidRPr="00134594" w:rsidRDefault="00051D95" w:rsidP="00134594">
      <w:pPr>
        <w:spacing w:after="0" w:line="240" w:lineRule="auto"/>
        <w:jc w:val="both"/>
        <w:rPr>
          <w:rFonts w:eastAsia="Arial Unicode MS"/>
          <w:sz w:val="20"/>
        </w:rPr>
      </w:pPr>
    </w:p>
    <w:p w14:paraId="249EF0CA"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7</w:t>
      </w:r>
      <w:r w:rsidR="00C04DEF" w:rsidRPr="00134594">
        <w:rPr>
          <w:rFonts w:eastAsia="Arial Unicode MS"/>
          <w:b/>
          <w:sz w:val="20"/>
        </w:rPr>
        <w:t>.</w:t>
      </w:r>
      <w:r w:rsidRPr="00134594">
        <w:rPr>
          <w:rFonts w:eastAsia="Arial Unicode MS"/>
          <w:b/>
          <w:sz w:val="20"/>
        </w:rPr>
        <w:t xml:space="preserve"> ESTIMATIVA DO VALOR DA CONTRATAÇÃO</w:t>
      </w:r>
      <w:r w:rsidRPr="00134594">
        <w:rPr>
          <w:rFonts w:eastAsia="Arial Unicode MS"/>
          <w:sz w:val="20"/>
        </w:rPr>
        <w:t>:</w:t>
      </w:r>
    </w:p>
    <w:p w14:paraId="340BB10A" w14:textId="77777777" w:rsidR="00741A2C" w:rsidRPr="00741A2C" w:rsidRDefault="00741A2C" w:rsidP="00741A2C">
      <w:pPr>
        <w:spacing w:after="0" w:line="240" w:lineRule="auto"/>
        <w:jc w:val="both"/>
        <w:rPr>
          <w:rFonts w:eastAsia="Arial Unicode MS"/>
          <w:sz w:val="20"/>
        </w:rPr>
      </w:pPr>
      <w:r w:rsidRPr="00741A2C">
        <w:rPr>
          <w:rFonts w:eastAsia="Arial Unicode MS"/>
          <w:sz w:val="20"/>
        </w:rPr>
        <w:t>7.1. A estimativa do valor da contratação foi elaborada com base na Planilha Orçamentária Oficial – PO, documento técnico integrante do processo administrativo, estruturado a partir dos quantitativos definidos no Projeto, no Memorial Descritivo e nas demais peças técnicas que instruem o presente procedimento. A planilha contempla exclusivamente os serviços necessários à execução da reforma da Farmácia da Unidade Básica de Saúde Central, incluindo pintura externa, intervenções pontuais no sistema de cobertura e rufos, instalação de gerador portátil com infraestrutura correspondente e adequações elétricas correlatas.</w:t>
      </w:r>
    </w:p>
    <w:p w14:paraId="1EFBBAE8" w14:textId="77777777" w:rsidR="00741A2C" w:rsidRPr="00741A2C" w:rsidRDefault="00741A2C" w:rsidP="00741A2C">
      <w:pPr>
        <w:spacing w:after="0" w:line="240" w:lineRule="auto"/>
        <w:jc w:val="both"/>
        <w:rPr>
          <w:rFonts w:eastAsia="Arial Unicode MS"/>
          <w:sz w:val="20"/>
        </w:rPr>
      </w:pPr>
      <w:r w:rsidRPr="00741A2C">
        <w:rPr>
          <w:rFonts w:eastAsia="Arial Unicode MS"/>
          <w:sz w:val="20"/>
        </w:rPr>
        <w:t>7.2. O orçamento base foi desenvolvido utilizando como referência os custos unitários do Sistema Nacional de Pesquisa de Custos e Índices da Construção Civil – SINAPI, acrescidos do BDI fixado em 20,34%, conforme demonstrado na Planilha Orçamentária Oficial. Para itens não contemplados diretamente nas tabelas referenciais, foram adotadas composições técnicas próprias e cotações de mercado devidamente justificadas, assegurando coerência metodológica, compatibilidade com os parâmetros regionais e aderência às boas práticas de formação de preços na engenharia pública.</w:t>
      </w:r>
    </w:p>
    <w:p w14:paraId="7B594E81" w14:textId="77777777" w:rsidR="00741A2C" w:rsidRPr="00741A2C" w:rsidRDefault="00741A2C" w:rsidP="00741A2C">
      <w:pPr>
        <w:spacing w:after="0" w:line="240" w:lineRule="auto"/>
        <w:jc w:val="both"/>
        <w:rPr>
          <w:rFonts w:eastAsia="Arial Unicode MS"/>
          <w:sz w:val="20"/>
        </w:rPr>
      </w:pPr>
      <w:r w:rsidRPr="00741A2C">
        <w:rPr>
          <w:rFonts w:eastAsia="Arial Unicode MS"/>
          <w:sz w:val="20"/>
        </w:rPr>
        <w:t xml:space="preserve">7.3. </w:t>
      </w:r>
      <w:r w:rsidRPr="00741A2C">
        <w:rPr>
          <w:rFonts w:eastAsia="Arial Unicode MS"/>
          <w:b/>
          <w:bCs/>
          <w:sz w:val="20"/>
        </w:rPr>
        <w:t>O VALOR GLOBAL ESTIMADO DA CONTRATAÇÃO, CONFORME APURADO NA PLANILHA ORÇAMENTÁRIA OFICIAL, PERFAZ O MONTANTE DE R$ 38.331,85 (TRINTA E OITO MIL, TREZENTOS E TRINTA E UM REAIS E OITENTA E CINCO CENTAVOS)</w:t>
      </w:r>
      <w:r w:rsidRPr="00741A2C">
        <w:rPr>
          <w:rFonts w:eastAsia="Arial Unicode MS"/>
          <w:sz w:val="20"/>
        </w:rPr>
        <w:t>, correspondente à execução integral dos serviços previstos.</w:t>
      </w:r>
    </w:p>
    <w:p w14:paraId="3B51863C" w14:textId="77777777" w:rsidR="00741A2C" w:rsidRPr="00741A2C" w:rsidRDefault="00741A2C" w:rsidP="00741A2C">
      <w:pPr>
        <w:spacing w:after="0" w:line="240" w:lineRule="auto"/>
        <w:jc w:val="both"/>
        <w:rPr>
          <w:rFonts w:eastAsia="Arial Unicode MS"/>
          <w:sz w:val="20"/>
        </w:rPr>
      </w:pPr>
      <w:r w:rsidRPr="00741A2C">
        <w:rPr>
          <w:rFonts w:eastAsia="Arial Unicode MS"/>
          <w:sz w:val="20"/>
        </w:rPr>
        <w:t>7.4. A metodologia adotada assegura plena compatibilidade entre projeto, memorial descritivo, planilha orçamentária e memória de cálculo, permitindo a verificação individualizada das composições unitárias, encargos sociais, BDI aplicado e critérios de formação de preços. O orçamento apresenta estrutura detalhada por itens e subitens, com identificação da fonte de referência, código SINAPI, unidade de medida, quantitativos e preços unitários com e sem BDI, garantindo transparência, rastreabilidade e plena auditabilidade pelos órgãos de controle interno e externo.</w:t>
      </w:r>
    </w:p>
    <w:p w14:paraId="6C61B639" w14:textId="215031DB" w:rsidR="00741A2C" w:rsidRPr="00870CE2" w:rsidRDefault="00741A2C" w:rsidP="00741A2C">
      <w:pPr>
        <w:spacing w:after="0" w:line="240" w:lineRule="auto"/>
        <w:jc w:val="both"/>
        <w:rPr>
          <w:rFonts w:eastAsia="Arial Unicode MS"/>
          <w:sz w:val="20"/>
        </w:rPr>
      </w:pPr>
      <w:r w:rsidRPr="00870CE2">
        <w:rPr>
          <w:rFonts w:eastAsia="Arial Unicode MS"/>
          <w:sz w:val="20"/>
        </w:rPr>
        <w:t>7.5. Considerando que o objeto é classificado como serviço comum de engenharia de baixa complexidade, com metodologia construtiva padronizada e orçamento estruturado com base em sistema oficial de custos referenciais</w:t>
      </w:r>
      <w:r w:rsidR="00870CE2">
        <w:rPr>
          <w:rFonts w:eastAsia="Arial Unicode MS"/>
          <w:sz w:val="20"/>
        </w:rPr>
        <w:t xml:space="preserve">, </w:t>
      </w:r>
      <w:r w:rsidRPr="00870CE2">
        <w:rPr>
          <w:rFonts w:eastAsia="Arial Unicode MS"/>
          <w:b/>
          <w:bCs/>
          <w:sz w:val="20"/>
          <w:u w:val="single"/>
        </w:rPr>
        <w:t>não se identifica qualquer elemento estratégico ou técnico que justifique a atribuição de sigilo ao valor estimado.</w:t>
      </w:r>
      <w:r w:rsidRPr="00870CE2">
        <w:rPr>
          <w:rFonts w:eastAsia="Arial Unicode MS"/>
          <w:sz w:val="20"/>
        </w:rPr>
        <w:t xml:space="preserve"> </w:t>
      </w:r>
    </w:p>
    <w:p w14:paraId="3B4A1F7F" w14:textId="62ECA148" w:rsidR="0062287B" w:rsidRPr="00870CE2" w:rsidRDefault="00741A2C" w:rsidP="00741A2C">
      <w:pPr>
        <w:spacing w:after="0" w:line="240" w:lineRule="auto"/>
        <w:jc w:val="both"/>
        <w:rPr>
          <w:rFonts w:eastAsia="Arial Unicode MS"/>
          <w:sz w:val="20"/>
        </w:rPr>
      </w:pPr>
      <w:r w:rsidRPr="00870CE2">
        <w:rPr>
          <w:rFonts w:eastAsia="Arial Unicode MS"/>
          <w:sz w:val="20"/>
        </w:rPr>
        <w:t>7.6. Ressalta-se que o valor estimado possui caráter meramente referencial para fins de definição da modalidade e condução do procedimento licitatório, sendo que o valor efetivamente contratado será aquele resultante do certame, observado o critério de julgamento previsto no edital, desde que atendidas integralmente as exigências estabelecidas pela Administração.</w:t>
      </w:r>
    </w:p>
    <w:p w14:paraId="3900725D" w14:textId="77777777" w:rsidR="00741A2C" w:rsidRPr="00134594" w:rsidRDefault="00741A2C" w:rsidP="00741A2C">
      <w:pPr>
        <w:spacing w:after="0" w:line="240" w:lineRule="auto"/>
        <w:jc w:val="both"/>
        <w:rPr>
          <w:rFonts w:eastAsia="Arial Unicode MS"/>
          <w:sz w:val="20"/>
          <w:highlight w:val="yellow"/>
        </w:rPr>
      </w:pPr>
    </w:p>
    <w:p w14:paraId="0AA42370"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8</w:t>
      </w:r>
      <w:r w:rsidR="0014751F" w:rsidRPr="00134594">
        <w:rPr>
          <w:rFonts w:eastAsia="Arial Unicode MS"/>
          <w:b/>
          <w:sz w:val="20"/>
        </w:rPr>
        <w:t>.</w:t>
      </w:r>
      <w:r w:rsidRPr="00134594">
        <w:rPr>
          <w:rFonts w:eastAsia="Arial Unicode MS"/>
          <w:b/>
          <w:sz w:val="20"/>
        </w:rPr>
        <w:t xml:space="preserve"> JUSTIFICATIVA PARA O PARCELAMENTO OU NÃO DA SOLUÇÃO</w:t>
      </w:r>
      <w:r w:rsidRPr="00134594">
        <w:rPr>
          <w:rFonts w:eastAsia="Arial Unicode MS"/>
          <w:sz w:val="20"/>
        </w:rPr>
        <w:t>:</w:t>
      </w:r>
    </w:p>
    <w:p w14:paraId="640A2A2B" w14:textId="77777777" w:rsidR="00E02FFC" w:rsidRPr="00E02FFC" w:rsidRDefault="00E02FFC" w:rsidP="00134594">
      <w:pPr>
        <w:spacing w:after="0" w:line="240" w:lineRule="auto"/>
        <w:jc w:val="both"/>
        <w:rPr>
          <w:rFonts w:eastAsia="Arial Unicode MS"/>
          <w:sz w:val="20"/>
        </w:rPr>
      </w:pPr>
      <w:r w:rsidRPr="00E02FFC">
        <w:rPr>
          <w:rFonts w:eastAsia="Arial Unicode MS"/>
          <w:sz w:val="20"/>
        </w:rPr>
        <w:t>8.1. O art. 47, inciso II, da Lei nº 14.133/2021 estabelece que a Administração Pública deve avaliar a possibilidade de parcelamento do objeto da contratação sempre que essa medida se revelar técnica e economicamente viável, considerando, entre outros fatores, o estímulo à competitividade, a obtenção de economia de escala, a eficiência administrativa e a adequada gestão contratual. Trata-se de diretriz orientadora, cuja aplicação deve ser analisada de forma casuística, à luz das características específicas do objeto, das condições de execução e do interesse público envolvido.</w:t>
      </w:r>
    </w:p>
    <w:p w14:paraId="75009506" w14:textId="77777777" w:rsidR="00E02FFC" w:rsidRPr="00E02FFC" w:rsidRDefault="00E02FFC" w:rsidP="00134594">
      <w:pPr>
        <w:spacing w:after="0" w:line="240" w:lineRule="auto"/>
        <w:jc w:val="both"/>
        <w:rPr>
          <w:rFonts w:eastAsia="Arial Unicode MS"/>
          <w:sz w:val="20"/>
        </w:rPr>
      </w:pPr>
      <w:r w:rsidRPr="00E02FFC">
        <w:rPr>
          <w:rFonts w:eastAsia="Arial Unicode MS"/>
          <w:sz w:val="20"/>
        </w:rPr>
        <w:t>8.2. No caso da contratação destinada à execução da reforma da Farmácia da Unidade Básica de Saúde Central do Município de Paverama, a análise técnica realizada no âmbito deste Estudo Técnico Preliminar demonstra que o parcelamento do objeto não se revela técnica nem economicamente recomendável, considerando a natureza integrada e sequencial dos serviços previstos na Planilha Orçamentária Oficial.</w:t>
      </w:r>
    </w:p>
    <w:p w14:paraId="7685838D" w14:textId="04BABDE2" w:rsidR="00E02FFC" w:rsidRPr="00E02FFC" w:rsidRDefault="00E02FFC" w:rsidP="00134594">
      <w:pPr>
        <w:spacing w:after="0" w:line="240" w:lineRule="auto"/>
        <w:jc w:val="both"/>
        <w:rPr>
          <w:rFonts w:eastAsia="Arial Unicode MS"/>
          <w:sz w:val="20"/>
        </w:rPr>
      </w:pPr>
      <w:r w:rsidRPr="00E02FFC">
        <w:rPr>
          <w:rFonts w:eastAsia="Arial Unicode MS"/>
          <w:sz w:val="20"/>
        </w:rPr>
        <w:t>8.3. A eventual fragmentação em contratações distintas — por exemplo, separando pintura, cobertura, instalação elétrica e</w:t>
      </w:r>
      <w:r w:rsidR="00870CE2">
        <w:rPr>
          <w:rFonts w:eastAsia="Arial Unicode MS"/>
          <w:sz w:val="20"/>
        </w:rPr>
        <w:t xml:space="preserve"> montagem da estrutura d</w:t>
      </w:r>
      <w:r w:rsidRPr="00E02FFC">
        <w:rPr>
          <w:rFonts w:eastAsia="Arial Unicode MS"/>
          <w:sz w:val="20"/>
        </w:rPr>
        <w:t>o</w:t>
      </w:r>
      <w:r w:rsidR="00870CE2">
        <w:rPr>
          <w:rFonts w:eastAsia="Arial Unicode MS"/>
          <w:sz w:val="20"/>
        </w:rPr>
        <w:t xml:space="preserve"> </w:t>
      </w:r>
      <w:r w:rsidRPr="00E02FFC">
        <w:rPr>
          <w:rFonts w:eastAsia="Arial Unicode MS"/>
          <w:sz w:val="20"/>
        </w:rPr>
        <w:t>gerador — acarretaria aumento desproporcional da complexidade administrativa e contratual, multiplicação de atos de gestão</w:t>
      </w:r>
      <w:r w:rsidR="00870CE2">
        <w:rPr>
          <w:rFonts w:eastAsia="Arial Unicode MS"/>
          <w:sz w:val="20"/>
        </w:rPr>
        <w:t xml:space="preserve"> e</w:t>
      </w:r>
      <w:r w:rsidRPr="00E02FFC">
        <w:rPr>
          <w:rFonts w:eastAsia="Arial Unicode MS"/>
          <w:sz w:val="20"/>
        </w:rPr>
        <w:t xml:space="preserve"> necessidade de múltiplas fiscalizações simultâneas. Ademais, a segmentação poderia gerar descontinuidade na execução, incompatibilidades entre serviços correlatos e dificuldades na definição objetiva de responsabilidade por eventuais vícios construtivos ou falhas de funcionamento do sistema implantado.</w:t>
      </w:r>
    </w:p>
    <w:p w14:paraId="7B14B340" w14:textId="7C3F4B7C" w:rsidR="00E02FFC" w:rsidRPr="00E02FFC" w:rsidRDefault="00E02FFC" w:rsidP="00134594">
      <w:pPr>
        <w:spacing w:after="0" w:line="240" w:lineRule="auto"/>
        <w:jc w:val="both"/>
        <w:rPr>
          <w:rFonts w:eastAsia="Arial Unicode MS"/>
          <w:sz w:val="20"/>
        </w:rPr>
      </w:pPr>
      <w:r w:rsidRPr="00E02FFC">
        <w:rPr>
          <w:rFonts w:eastAsia="Arial Unicode MS"/>
          <w:sz w:val="20"/>
        </w:rPr>
        <w:t>8.4. Sob o aspecto econômico, o parcelamento implicaria duplicação de custos indiretos, repetição de mobilizações, ampliação de despesas administrativas e potencial elevação do valor global da contratação, comprometendo a racionalidade da aplicação dos recursos públicos. Considerando o valor global reduzido do objeto e sua execução em prazo concentrado, a divisão contratual não promoveria incremento significativo de competitividade</w:t>
      </w:r>
      <w:r w:rsidR="00870CE2">
        <w:rPr>
          <w:rFonts w:eastAsia="Arial Unicode MS"/>
          <w:sz w:val="20"/>
        </w:rPr>
        <w:t>.</w:t>
      </w:r>
    </w:p>
    <w:p w14:paraId="642DA857" w14:textId="233FD60D" w:rsidR="00E02FFC" w:rsidRPr="00E02FFC" w:rsidRDefault="00E02FFC" w:rsidP="00134594">
      <w:pPr>
        <w:spacing w:after="0" w:line="240" w:lineRule="auto"/>
        <w:jc w:val="both"/>
        <w:rPr>
          <w:rFonts w:eastAsia="Arial Unicode MS"/>
          <w:sz w:val="20"/>
        </w:rPr>
      </w:pPr>
      <w:r w:rsidRPr="00E02FFC">
        <w:rPr>
          <w:rFonts w:eastAsia="Arial Unicode MS"/>
          <w:sz w:val="20"/>
        </w:rPr>
        <w:t xml:space="preserve">8.5. Sob a ótica da governança pública e do controle externo, a execução integral por uma única empresa assegura maior rastreabilidade da responsabilidade técnica, simplificação do acompanhamento físico-financeiro, uniformidade na prestação de garantia contratual e maior segurança jurídica quanto à aferição de desempenho e à eventual responsabilização por inexecução. </w:t>
      </w:r>
    </w:p>
    <w:p w14:paraId="46A008D1" w14:textId="77777777" w:rsidR="00E02FFC" w:rsidRPr="00E02FFC" w:rsidRDefault="00E02FFC" w:rsidP="00134594">
      <w:pPr>
        <w:spacing w:after="0" w:line="240" w:lineRule="auto"/>
        <w:jc w:val="both"/>
        <w:rPr>
          <w:rFonts w:eastAsia="Arial Unicode MS"/>
          <w:sz w:val="20"/>
        </w:rPr>
      </w:pPr>
      <w:r w:rsidRPr="00E02FFC">
        <w:rPr>
          <w:rFonts w:eastAsia="Arial Unicode MS"/>
          <w:sz w:val="20"/>
        </w:rPr>
        <w:t>8.6. Diante do exposto, conclui-se que o não parcelamento do objeto constitui medida técnica e economicamente justificada, adequada às características do serviço, ao porte da intervenção e ao interesse público envolvido, assegurando eficiência administrativa, segurança na execução e melhor gestão dos recursos públicos, sem prejuízo à competitividade do certame.</w:t>
      </w:r>
    </w:p>
    <w:p w14:paraId="56A14315" w14:textId="77777777" w:rsidR="00C62440" w:rsidRPr="00134594" w:rsidRDefault="00C62440" w:rsidP="00134594">
      <w:pPr>
        <w:spacing w:after="0" w:line="240" w:lineRule="auto"/>
        <w:jc w:val="both"/>
        <w:rPr>
          <w:rFonts w:eastAsia="Arial Unicode MS"/>
          <w:sz w:val="20"/>
        </w:rPr>
      </w:pPr>
    </w:p>
    <w:p w14:paraId="1D88FE30"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9</w:t>
      </w:r>
      <w:r w:rsidR="0014751F" w:rsidRPr="00134594">
        <w:rPr>
          <w:rFonts w:eastAsia="Arial Unicode MS"/>
          <w:b/>
          <w:sz w:val="20"/>
        </w:rPr>
        <w:t>.</w:t>
      </w:r>
      <w:r w:rsidRPr="00134594">
        <w:rPr>
          <w:rFonts w:eastAsia="Arial Unicode MS"/>
          <w:b/>
          <w:sz w:val="20"/>
        </w:rPr>
        <w:t xml:space="preserve"> CONTRATAÇÕES CORRELATAS E/OU INTERDEPENDENTES</w:t>
      </w:r>
      <w:r w:rsidR="00C97D9E" w:rsidRPr="00134594">
        <w:rPr>
          <w:rFonts w:eastAsia="Arial Unicode MS"/>
          <w:sz w:val="20"/>
        </w:rPr>
        <w:t>:</w:t>
      </w:r>
    </w:p>
    <w:p w14:paraId="4336F967" w14:textId="77777777" w:rsidR="00870CE2" w:rsidRPr="00870CE2" w:rsidRDefault="00870CE2" w:rsidP="00870CE2">
      <w:pPr>
        <w:spacing w:after="0" w:line="240" w:lineRule="auto"/>
        <w:jc w:val="both"/>
        <w:rPr>
          <w:rFonts w:eastAsia="Arial Unicode MS"/>
          <w:sz w:val="20"/>
        </w:rPr>
      </w:pPr>
      <w:r w:rsidRPr="00870CE2">
        <w:rPr>
          <w:rFonts w:eastAsia="Arial Unicode MS"/>
          <w:sz w:val="20"/>
        </w:rPr>
        <w:t>9.1. A reforma da Farmácia da Unidade Básica de Saúde Central possui escopo técnico delimitado e plenamente definido no Projeto, Memorial Descritivo e Planilha Orçamentária Oficial, caracterizando-se como intervenção autônoma e autossuficiente. Não há contratação prévia, concomitante ou futura cuja execução constitua condição para viabilização do objeto, inexistindo interdependência técnica ou operacional que comprometa sua implementação integral.</w:t>
      </w:r>
    </w:p>
    <w:p w14:paraId="2D5D582D" w14:textId="4868B036" w:rsidR="00C62440" w:rsidRDefault="00870CE2" w:rsidP="00870CE2">
      <w:pPr>
        <w:spacing w:after="0" w:line="240" w:lineRule="auto"/>
        <w:jc w:val="both"/>
        <w:rPr>
          <w:rFonts w:eastAsia="Arial Unicode MS"/>
          <w:sz w:val="20"/>
        </w:rPr>
      </w:pPr>
      <w:r w:rsidRPr="00870CE2">
        <w:rPr>
          <w:rFonts w:eastAsia="Arial Unicode MS"/>
          <w:sz w:val="20"/>
        </w:rPr>
        <w:t>9.2. Eventuais contratações futuras relacionadas à fase de operação e manutenção do gerador portátil — tais como aquisição de combustível e serviços de manutenção preventiva — situam-se no âmbito da gestão patrimonial e não interferem na execução da obra ora licitada. Dessa forma, conclui-se que o objeto não depende de contratações correlatas ou interdependentes para sua conclusão, não havendo risco de fracionamento indevido ou segmentação artificial de despesa.</w:t>
      </w:r>
    </w:p>
    <w:p w14:paraId="0206B2A7" w14:textId="77777777" w:rsidR="00870CE2" w:rsidRPr="00134594" w:rsidRDefault="00870CE2" w:rsidP="00870CE2">
      <w:pPr>
        <w:spacing w:after="0" w:line="240" w:lineRule="auto"/>
        <w:jc w:val="both"/>
        <w:rPr>
          <w:rFonts w:eastAsia="Arial Unicode MS"/>
          <w:b/>
          <w:sz w:val="20"/>
        </w:rPr>
      </w:pPr>
    </w:p>
    <w:p w14:paraId="4B198DB8"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10</w:t>
      </w:r>
      <w:r w:rsidR="0059033B" w:rsidRPr="00134594">
        <w:rPr>
          <w:rFonts w:eastAsia="Arial Unicode MS"/>
          <w:b/>
          <w:sz w:val="20"/>
        </w:rPr>
        <w:t>.</w:t>
      </w:r>
      <w:r w:rsidRPr="00134594">
        <w:rPr>
          <w:rFonts w:eastAsia="Arial Unicode MS"/>
          <w:b/>
          <w:sz w:val="20"/>
        </w:rPr>
        <w:t xml:space="preserve"> ALINHAMENTO ENTRE A CONTRATAÇÃO E O PLANEJAMENTO</w:t>
      </w:r>
      <w:r w:rsidRPr="00134594">
        <w:rPr>
          <w:rFonts w:eastAsia="Arial Unicode MS"/>
          <w:sz w:val="20"/>
        </w:rPr>
        <w:t>:</w:t>
      </w:r>
    </w:p>
    <w:p w14:paraId="1D8B64F1"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10.1. A presente contratação encontra-se regularmente prevista no Plano de Contratações Anual – PCA 2026 do Município de Paverama, evidenciando que a demanda foi previamente identificada, tecnicamente analisada e incorporada ao ciclo formal de planejamento administrativo, em consonância com os princípios do planejamento, da eficiência e da racionalidade na gestão dos recursos públicos. A inclusão no PCA demonstra aderência à programação estratégica da Administração e afasta qualquer hipótese de contratação emergencial não planejada ou de execução improvisada.</w:t>
      </w:r>
    </w:p>
    <w:p w14:paraId="07AC31FE" w14:textId="56006CFC" w:rsidR="00193F18" w:rsidRPr="00193F18" w:rsidRDefault="00193F18" w:rsidP="00134594">
      <w:pPr>
        <w:spacing w:after="0" w:line="240" w:lineRule="auto"/>
        <w:jc w:val="both"/>
        <w:rPr>
          <w:rFonts w:eastAsia="Arial Unicode MS"/>
          <w:sz w:val="20"/>
        </w:rPr>
      </w:pPr>
      <w:r w:rsidRPr="00193F18">
        <w:rPr>
          <w:rFonts w:eastAsia="Arial Unicode MS"/>
          <w:sz w:val="20"/>
        </w:rPr>
        <w:t xml:space="preserve">10.2. A reforma da Farmácia da Unidade Básica de Saúde Central está diretamente alinhada às metas institucionais do Município voltadas ao fortalecimento da política pública de Saúde e da Atenção Básica ao paciente, especialmente no que se refere à garantia de condições adequadas de armazenamento de medicamentos, à preservação da cadeia de conservação de imunobiológicos e à manutenção da infraestrutura predial essencial ao funcionamento regular dos serviços assistenciais. </w:t>
      </w:r>
    </w:p>
    <w:p w14:paraId="740698D7"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10.3. As despesas decorrentes da execução da obra serão integralmente custeadas com recursos próprios do Município de Paverama, devidamente previstos na Lei Orçamentária Anual vigente, conforme manifestação técnica do Setor de Contabilidade. A dotação orçamentária apresenta compatibilidade com o cronograma físico-financeiro estimado, assegurando cobertura financeira suficiente para a execução integral do objeto, sem dependência de repasses externos ou convênios.</w:t>
      </w:r>
    </w:p>
    <w:p w14:paraId="3C225975"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10.4. O alinhamento orçamentário, financeiro e estratégico da contratação reforça a coerência entre planejamento, execução e controle, permitindo acompanhamento sistemático da aplicação dos recursos públicos. A compatibilização entre projeto técnico, planilha orçamentária e cronograma de execução possibilita gestão fiscal responsável, monitoramento físico-financeiro adequado e prestação de contas transparente aos órgãos de controle e à sociedade.</w:t>
      </w:r>
    </w:p>
    <w:p w14:paraId="0CCE9FF8"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10.5. A contratação integra, ainda, a política municipal de manutenção preventiva e requalificação dos bens públicos, inserindo-se em estratégia mais ampla de conservação patrimonial e mitigação de riscos operacionais. Ao promover melhorias estruturais e garantir estabilidade energética da unidade de saúde, a Administração atua preventivamente, reduzindo probabilidade de perdas materiais, interrupções de serviço e despesas futuras decorrentes de falhas estruturais não tratadas tempestivamente.</w:t>
      </w:r>
    </w:p>
    <w:p w14:paraId="26A3788C" w14:textId="77777777" w:rsidR="00DE3CB0" w:rsidRPr="00134594" w:rsidRDefault="00DE3CB0" w:rsidP="00134594">
      <w:pPr>
        <w:spacing w:after="0" w:line="240" w:lineRule="auto"/>
        <w:jc w:val="both"/>
        <w:rPr>
          <w:rFonts w:eastAsia="Arial Unicode MS"/>
          <w:sz w:val="20"/>
        </w:rPr>
      </w:pPr>
    </w:p>
    <w:p w14:paraId="7B48B008"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11</w:t>
      </w:r>
      <w:r w:rsidR="0059033B" w:rsidRPr="00134594">
        <w:rPr>
          <w:rFonts w:eastAsia="Arial Unicode MS"/>
          <w:b/>
          <w:sz w:val="20"/>
        </w:rPr>
        <w:t>.</w:t>
      </w:r>
      <w:r w:rsidRPr="00134594">
        <w:rPr>
          <w:rFonts w:eastAsia="Arial Unicode MS"/>
          <w:b/>
          <w:sz w:val="20"/>
        </w:rPr>
        <w:t xml:space="preserve"> RESULTADOS PRETENDIDOS</w:t>
      </w:r>
      <w:r w:rsidR="00C97D9E" w:rsidRPr="00134594">
        <w:rPr>
          <w:rFonts w:eastAsia="Arial Unicode MS"/>
          <w:b/>
          <w:sz w:val="20"/>
        </w:rPr>
        <w:t>:</w:t>
      </w:r>
    </w:p>
    <w:p w14:paraId="48FF42FC"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11.1. O presente processo de contratação tem por finalidade assegurar a execução adequada, tempestiva e tecnicamente qualificada da reforma da Farmácia da Unidade Básica de Saúde Central, mediante seleção da proposta mais vantajosa sob os aspectos econômico, técnico e qualitativo. Busca-se garantir a correta aplicação dos recursos públicos, com a entrega de infraestrutura predial requalificada, segura e funcional, em conformidade com o Memorial Descritivo e com as especificações técnicas estabelecidas.</w:t>
      </w:r>
    </w:p>
    <w:p w14:paraId="03B99CDC" w14:textId="218A888C" w:rsidR="00193F18" w:rsidRPr="00193F18" w:rsidRDefault="00193F18" w:rsidP="00134594">
      <w:pPr>
        <w:spacing w:after="0" w:line="240" w:lineRule="auto"/>
        <w:jc w:val="both"/>
        <w:rPr>
          <w:rFonts w:eastAsia="Arial Unicode MS"/>
          <w:sz w:val="20"/>
        </w:rPr>
      </w:pPr>
      <w:r w:rsidRPr="00193F18">
        <w:rPr>
          <w:rFonts w:eastAsia="Arial Unicode MS"/>
          <w:sz w:val="20"/>
        </w:rPr>
        <w:t>11.2. A partir da descrição da necessidade verificada</w:t>
      </w:r>
      <w:r w:rsidR="00870CE2">
        <w:rPr>
          <w:rFonts w:eastAsia="Arial Unicode MS"/>
          <w:sz w:val="20"/>
        </w:rPr>
        <w:t>,</w:t>
      </w:r>
      <w:r w:rsidRPr="00193F18">
        <w:rPr>
          <w:rFonts w:eastAsia="Arial Unicode MS"/>
          <w:sz w:val="20"/>
        </w:rPr>
        <w:t xml:space="preserve"> espera-se como resultado direto a mitigação de riscos estruturais, a proteção do patrimônio público e a preservação da integridade dos insumos farmacêuticos e imunobiológicos.</w:t>
      </w:r>
    </w:p>
    <w:p w14:paraId="02C35933"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11.3. A implantação do sistema de geração de energia elétrica autônoma constitui resultado estratégico da contratação, na medida em que proporcionará continuidade operacional da farmácia mesmo em situações de falha no fornecimento da rede pública, reduzindo significativamente o risco de perdas de medicamentos termolábeis, vacinas e demais insumos sensíveis. Tal medida fortalece a segurança sanitária, a confiabilidade do serviço e a estabilidade da assistência farmacêutica municipal.</w:t>
      </w:r>
    </w:p>
    <w:p w14:paraId="1B41B2A0"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11.4. A execução dos serviços de pintura e de correção pontual do sistema de cobertura contribuirá para a recomposição do desempenho construtivo da edificação, prevenindo infiltrações, deterioração precoce de elementos estruturais e comprometimento de ambientes internos. Como resultado, espera-se ampliação da vida útil do imóvel, redução de custos futuros com manutenções corretivas emergenciais e melhoria das condições ambientais de atendimento.</w:t>
      </w:r>
    </w:p>
    <w:p w14:paraId="426E6757"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11.5. Sob a ótica assistencial, a requalificação da Farmácia Básica impactará diretamente a rede municipal de saúde ao proporcionar ambiente mais adequado para armazenamento, organização e dispensação de medicamentos, favorecendo melhores fluxos internos, maior controle operacional e incremento da eficiência no atendimento ao paciente. A melhoria da infraestrutura física contribui para maior resolutividade da Atenção Básica e para a qualificação da experiência do usuário do Sistema Municipal de Saúde.</w:t>
      </w:r>
    </w:p>
    <w:p w14:paraId="207F3C77"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11.6. No campo da governança pública, espera-se como resultado a consolidação de política de manutenção preventiva e gestão patrimonial responsável, alinhada às boas práticas de planejamento, eficiência e controle. A intervenção evita agravamento de patologias construtivas, reduz exposição a riscos administrativos e financeiros e reforça o compromisso institucional com a conservação de bens públicos estratégicos.</w:t>
      </w:r>
    </w:p>
    <w:p w14:paraId="4C3F5C20" w14:textId="77777777" w:rsidR="00193F18" w:rsidRPr="00193F18" w:rsidRDefault="00193F18" w:rsidP="00134594">
      <w:pPr>
        <w:spacing w:after="0" w:line="240" w:lineRule="auto"/>
        <w:jc w:val="both"/>
        <w:rPr>
          <w:rFonts w:eastAsia="Arial Unicode MS"/>
          <w:sz w:val="20"/>
        </w:rPr>
      </w:pPr>
      <w:r w:rsidRPr="00193F18">
        <w:rPr>
          <w:rFonts w:eastAsia="Arial Unicode MS"/>
          <w:sz w:val="20"/>
        </w:rPr>
        <w:t>11.7. O procedimento licitatório estruturado com base em critérios objetivos, ampla competitividade e julgamento pelo menor preço global contribuirá para assegurar economicidade, transparência e mitigação de riscos de sobrepreço ou inexequibilidade, fortalecendo a credibilidade da gestão perante os órgãos de controle e a sociedade.</w:t>
      </w:r>
    </w:p>
    <w:p w14:paraId="35BE08A0" w14:textId="77777777" w:rsidR="00193F18" w:rsidRPr="00134594" w:rsidRDefault="00193F18" w:rsidP="00134594">
      <w:pPr>
        <w:spacing w:after="0" w:line="240" w:lineRule="auto"/>
        <w:jc w:val="both"/>
        <w:rPr>
          <w:rFonts w:eastAsia="Arial Unicode MS"/>
          <w:sz w:val="20"/>
        </w:rPr>
      </w:pPr>
      <w:r w:rsidRPr="00193F18">
        <w:rPr>
          <w:rFonts w:eastAsia="Arial Unicode MS"/>
          <w:sz w:val="20"/>
        </w:rPr>
        <w:t>11.8. Como resultado institucional ampliado, a concretização da presente contratação contribuirá para o fortalecimento da rede municipal de saúde, ao assegurar infraestrutura adequada para funcionamento regular da assistência farmacêutica, preservar a qualidade dos medicamentos fornecidos à população e garantir maior estabilidade na prestação dos serviços de Atenção Primária, refletindo diretamente na proteção da saúde coletiva e na confiança da comunidade na Administração Pública.</w:t>
      </w:r>
    </w:p>
    <w:p w14:paraId="7BF0FB87" w14:textId="77777777" w:rsidR="00193F18" w:rsidRPr="00193F18" w:rsidRDefault="00193F18" w:rsidP="00134594">
      <w:pPr>
        <w:spacing w:after="0" w:line="240" w:lineRule="auto"/>
        <w:jc w:val="both"/>
        <w:rPr>
          <w:rFonts w:eastAsia="Arial Unicode MS"/>
          <w:sz w:val="20"/>
        </w:rPr>
      </w:pPr>
    </w:p>
    <w:p w14:paraId="6317B346" w14:textId="77777777" w:rsidR="008327CD" w:rsidRPr="00134594" w:rsidRDefault="008327CD" w:rsidP="00134594">
      <w:pPr>
        <w:spacing w:after="0" w:line="240" w:lineRule="auto"/>
        <w:jc w:val="both"/>
        <w:rPr>
          <w:rFonts w:eastAsia="Arial Unicode MS"/>
          <w:b/>
          <w:sz w:val="20"/>
        </w:rPr>
      </w:pPr>
      <w:r w:rsidRPr="00134594">
        <w:rPr>
          <w:rFonts w:eastAsia="Arial Unicode MS"/>
          <w:b/>
          <w:sz w:val="20"/>
        </w:rPr>
        <w:t>12</w:t>
      </w:r>
      <w:r w:rsidR="006B2F9C" w:rsidRPr="00134594">
        <w:rPr>
          <w:rFonts w:eastAsia="Arial Unicode MS"/>
          <w:b/>
          <w:sz w:val="20"/>
        </w:rPr>
        <w:t>.</w:t>
      </w:r>
      <w:r w:rsidRPr="00134594">
        <w:rPr>
          <w:rFonts w:eastAsia="Arial Unicode MS"/>
          <w:b/>
          <w:sz w:val="20"/>
        </w:rPr>
        <w:t xml:space="preserve"> PROVIDÊNCIAS A SEREM ADOTADAS PREVIAMENTE À CELEBRAÇÃO DO CONTRATO</w:t>
      </w:r>
      <w:r w:rsidR="00C97D9E" w:rsidRPr="00134594">
        <w:rPr>
          <w:rFonts w:eastAsia="Arial Unicode MS"/>
          <w:b/>
          <w:sz w:val="20"/>
        </w:rPr>
        <w:t>:</w:t>
      </w:r>
    </w:p>
    <w:p w14:paraId="052B3148" w14:textId="64B0F3C6" w:rsidR="00134594" w:rsidRPr="00134594" w:rsidRDefault="00134594" w:rsidP="00134594">
      <w:pPr>
        <w:spacing w:after="0" w:line="240" w:lineRule="auto"/>
        <w:jc w:val="both"/>
        <w:rPr>
          <w:rFonts w:eastAsia="Arial Unicode MS"/>
          <w:bCs/>
          <w:sz w:val="20"/>
        </w:rPr>
      </w:pPr>
      <w:r w:rsidRPr="00134594">
        <w:rPr>
          <w:rFonts w:eastAsia="Arial Unicode MS"/>
          <w:bCs/>
          <w:sz w:val="20"/>
        </w:rPr>
        <w:t>12.1. Com fundamento nas conclusões deste Estudo Técnico Preliminar e nos documentos técnicos que o instruem serão consolidados o Termo de Referência, a minuta do Edital e a minuta do Contrato Administrativo, bem como a Matriz de Riscos da contratação, instrumentos indispensáveis para a precisa delimitação do objeto, definição do regime de execução, estabelecimento de critérios de habilitação e julgamento, alocação adequada de riscos e formalização das obrigações</w:t>
      </w:r>
      <w:r w:rsidR="00870CE2">
        <w:rPr>
          <w:rFonts w:eastAsia="Arial Unicode MS"/>
          <w:bCs/>
          <w:sz w:val="20"/>
        </w:rPr>
        <w:t>.</w:t>
      </w:r>
    </w:p>
    <w:p w14:paraId="71FB6761"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12.2. Na sequência, o processo administrativo será submetido à manifestação formal do Setor de Contabilidade, para verificação da existência de dotação orçamentária suficiente e compatível com a Lei Orçamentária Anual vigente, bem como confirmação da adequação financeira da despesa, considerando que a execução será custeada com recursos próprios do Município.</w:t>
      </w:r>
    </w:p>
    <w:p w14:paraId="7D679ED8"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12.3. Após a certificação orçamentária, o processo será encaminhado à Assessoria Jurídica para análise de conformidade formal e material, abrangendo a verificação da adequação da modalidade licitatória escolhida, do enquadramento do objeto como serviço comum de engenharia, da regularidade dos critérios de julgamento, das exigências de habilitação técnica e da coerência entre os documentos técnicos e o instrumento convocatório.</w:t>
      </w:r>
    </w:p>
    <w:p w14:paraId="0FE71D07"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12.4. Emitido parecer jurídico favorável, a autoridade competente autorizará formalmente a instauração do procedimento licitatório, determinando a publicação do Edital e designando o Agente de Contratação e a equipe de apoio responsáveis pela condução do certame.</w:t>
      </w:r>
    </w:p>
    <w:p w14:paraId="7E874B76" w14:textId="6EC3F367" w:rsidR="00134594" w:rsidRPr="00134594" w:rsidRDefault="00134594" w:rsidP="00870CE2">
      <w:pPr>
        <w:spacing w:after="0" w:line="240" w:lineRule="auto"/>
        <w:jc w:val="both"/>
        <w:rPr>
          <w:rFonts w:eastAsia="Arial Unicode MS"/>
          <w:bCs/>
          <w:sz w:val="20"/>
        </w:rPr>
      </w:pPr>
      <w:r w:rsidRPr="00134594">
        <w:rPr>
          <w:rFonts w:eastAsia="Arial Unicode MS"/>
          <w:bCs/>
          <w:sz w:val="20"/>
        </w:rPr>
        <w:t>12.5. O procedimento licitatório observará rigorosamente os princípios da publicidade, transparência, competitividade e controle social, com divulgação obrigatória nos meios oficiais: Portal Nacional de Contratações Públicas – PNCP;</w:t>
      </w:r>
      <w:r w:rsidR="00870CE2">
        <w:rPr>
          <w:rFonts w:eastAsia="Arial Unicode MS"/>
          <w:bCs/>
          <w:sz w:val="20"/>
        </w:rPr>
        <w:t xml:space="preserve"> </w:t>
      </w:r>
      <w:r w:rsidRPr="00134594">
        <w:rPr>
          <w:rFonts w:eastAsia="Arial Unicode MS"/>
          <w:bCs/>
          <w:sz w:val="20"/>
        </w:rPr>
        <w:t>sítio eletrônico oficial do Município;</w:t>
      </w:r>
      <w:r w:rsidR="00870CE2">
        <w:rPr>
          <w:rFonts w:eastAsia="Arial Unicode MS"/>
          <w:bCs/>
          <w:sz w:val="20"/>
        </w:rPr>
        <w:t xml:space="preserve"> </w:t>
      </w:r>
      <w:r w:rsidRPr="00134594">
        <w:rPr>
          <w:rFonts w:eastAsia="Arial Unicode MS"/>
          <w:bCs/>
          <w:sz w:val="20"/>
        </w:rPr>
        <w:t>sistema eletrônico utilizado para realização da sessão pública</w:t>
      </w:r>
      <w:r w:rsidR="00870CE2">
        <w:rPr>
          <w:rFonts w:eastAsia="Arial Unicode MS"/>
          <w:bCs/>
          <w:sz w:val="20"/>
        </w:rPr>
        <w:t xml:space="preserve">; </w:t>
      </w:r>
      <w:r w:rsidRPr="00134594">
        <w:rPr>
          <w:rFonts w:eastAsia="Arial Unicode MS"/>
          <w:bCs/>
          <w:sz w:val="20"/>
        </w:rPr>
        <w:t>Portal LicitaCon-RS</w:t>
      </w:r>
      <w:r w:rsidR="00870CE2">
        <w:rPr>
          <w:rFonts w:eastAsia="Arial Unicode MS"/>
          <w:bCs/>
          <w:sz w:val="20"/>
        </w:rPr>
        <w:t>; Diário Oficial da União – DOU; e em Jornal amplamente acessado</w:t>
      </w:r>
      <w:r w:rsidRPr="00134594">
        <w:rPr>
          <w:rFonts w:eastAsia="Arial Unicode MS"/>
          <w:bCs/>
          <w:sz w:val="20"/>
        </w:rPr>
        <w:t>.</w:t>
      </w:r>
    </w:p>
    <w:p w14:paraId="31638A53" w14:textId="2F73B7B0" w:rsidR="00134594" w:rsidRPr="00134594" w:rsidRDefault="00134594" w:rsidP="00134594">
      <w:pPr>
        <w:spacing w:after="0" w:line="240" w:lineRule="auto"/>
        <w:jc w:val="both"/>
        <w:rPr>
          <w:rFonts w:eastAsia="Arial Unicode MS"/>
          <w:bCs/>
          <w:sz w:val="20"/>
        </w:rPr>
      </w:pPr>
      <w:r w:rsidRPr="00134594">
        <w:rPr>
          <w:rFonts w:eastAsia="Arial Unicode MS"/>
          <w:bCs/>
          <w:sz w:val="20"/>
        </w:rPr>
        <w:t xml:space="preserve">12.6. Realizada a sessão pública, as propostas serão analisadas conforme o critério de julgamento estabelecido no Edital, observando-se a verificação da exequibilidade dos preços ofertados e a compatibilidade com os quantitativos e especificações técnicas constantes da Planilha Orçamentária Oficial. A fase de habilitação abrangerá a análise da regularidade jurídica, fiscal, econômico-financeira e da qualificação técnica, </w:t>
      </w:r>
      <w:r w:rsidR="00870CE2">
        <w:rPr>
          <w:rFonts w:eastAsia="Arial Unicode MS"/>
          <w:bCs/>
          <w:sz w:val="20"/>
        </w:rPr>
        <w:t>incluindo os documentos previstos no Capítulo 3, no Termo de Referência e no Edital.</w:t>
      </w:r>
    </w:p>
    <w:p w14:paraId="6B5382B2"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12.7. Concluída a fase recursal e homologado o resultado do certame, a empresa vencedora será convocada para apresentação dos documentos complementares exigidos no Edital, bem como para prestação da garantia contratual, quando prevista, nos percentuais e modalidades admitidos, como mecanismo de mitigação de riscos e salvaguarda do interesse público.</w:t>
      </w:r>
    </w:p>
    <w:p w14:paraId="45D002A4"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12.8. Previamente à assinatura do contrato, será formalmente designado o Gestor do Contrato e o Fiscal da Execução, mediante ato da autoridade competente, com definição expressa de atribuições e responsabilidades, assegurando acompanhamento técnico adequado, controle da execução física, aferição de medições e fiscalização do cumprimento das obrigações contratuais.</w:t>
      </w:r>
    </w:p>
    <w:p w14:paraId="63592071"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12.9. Após a assinatura do contrato e a emissão da Ordem de Início dos Serviços, será realizada reunião técnica de alinhamento entre a contratada, a fiscalização e os setores administrativos envolvidos, com o objetivo de definir fluxos de comunicação, cronograma detalhado, critérios de medição e pagamento, procedimentos de controle de qualidade, exigências de segurança do trabalho e diretrizes para gestão de resíduos da construção civil.</w:t>
      </w:r>
    </w:p>
    <w:p w14:paraId="1CBFF98F" w14:textId="10336E85" w:rsidR="00D7782D" w:rsidRPr="00134594" w:rsidRDefault="00134594" w:rsidP="00134594">
      <w:pPr>
        <w:spacing w:after="0" w:line="240" w:lineRule="auto"/>
        <w:jc w:val="both"/>
        <w:rPr>
          <w:rFonts w:eastAsia="Arial Unicode MS"/>
          <w:bCs/>
          <w:sz w:val="20"/>
        </w:rPr>
      </w:pPr>
      <w:r w:rsidRPr="00134594">
        <w:rPr>
          <w:rFonts w:eastAsia="Arial Unicode MS"/>
          <w:bCs/>
          <w:sz w:val="20"/>
        </w:rPr>
        <w:t>12.10. A celebração contratual e o início da execução somente ocorrerão após a confirmação de que todas as etapas procedimentais foram regularmente concluídas, assegurando que a contratação se desenvolva de forma planejada, transparente, juridicamente regular e alinhada às boas práticas de governança pública e controle externo.</w:t>
      </w:r>
    </w:p>
    <w:p w14:paraId="0EF0AA87" w14:textId="77777777" w:rsidR="00134594" w:rsidRPr="00134594" w:rsidRDefault="00134594" w:rsidP="00134594">
      <w:pPr>
        <w:spacing w:after="0" w:line="240" w:lineRule="auto"/>
        <w:jc w:val="both"/>
        <w:rPr>
          <w:rFonts w:eastAsia="Arial Unicode MS"/>
          <w:sz w:val="20"/>
        </w:rPr>
      </w:pPr>
    </w:p>
    <w:p w14:paraId="128C3CC1" w14:textId="77777777" w:rsidR="006B2F9C" w:rsidRPr="00134594" w:rsidRDefault="006E786C" w:rsidP="00134594">
      <w:pPr>
        <w:spacing w:after="0" w:line="240" w:lineRule="auto"/>
        <w:jc w:val="both"/>
        <w:rPr>
          <w:rFonts w:eastAsia="Arial Unicode MS"/>
          <w:b/>
          <w:sz w:val="20"/>
        </w:rPr>
      </w:pPr>
      <w:r w:rsidRPr="00134594">
        <w:rPr>
          <w:rFonts w:eastAsia="Arial Unicode MS"/>
          <w:b/>
          <w:sz w:val="20"/>
        </w:rPr>
        <w:t>13</w:t>
      </w:r>
      <w:r w:rsidR="006B2F9C" w:rsidRPr="00134594">
        <w:rPr>
          <w:rFonts w:eastAsia="Arial Unicode MS"/>
          <w:b/>
          <w:sz w:val="20"/>
        </w:rPr>
        <w:t>.</w:t>
      </w:r>
      <w:r w:rsidRPr="00134594">
        <w:rPr>
          <w:rFonts w:eastAsia="Arial Unicode MS"/>
          <w:b/>
          <w:sz w:val="20"/>
        </w:rPr>
        <w:t xml:space="preserve"> </w:t>
      </w:r>
      <w:r w:rsidR="006B2F9C" w:rsidRPr="00134594">
        <w:rPr>
          <w:rFonts w:eastAsia="Arial Unicode MS"/>
          <w:b/>
          <w:sz w:val="20"/>
        </w:rPr>
        <w:t>POSSÍVEIS IMPACTOS AMBIENTAIS E MEDIDAS DE TRATAMENTO</w:t>
      </w:r>
      <w:r w:rsidR="00C97D9E" w:rsidRPr="00134594">
        <w:rPr>
          <w:rFonts w:eastAsia="Arial Unicode MS"/>
          <w:b/>
          <w:sz w:val="20"/>
        </w:rPr>
        <w:t>:</w:t>
      </w:r>
    </w:p>
    <w:p w14:paraId="404369AD"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13.1. A reforma da Farmácia da Unidade Básica de Saúde Central, embora classificada como intervenção de baixa complexidade e pequeno porte, poderá gerar impactos ambientais negativos pontuais durante sua fase de execução, especialmente em razão da movimentação de materiais, substituição de elementos construtivos, intervenções elétricas e atividades de pintura. Tais impactos, ainda que de reduzida magnitude e temporários, exigem planejamento preventivo e adoção de medidas mitigatórias adequadas.</w:t>
      </w:r>
    </w:p>
    <w:p w14:paraId="499AD60A"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13.2. Entre os principais impactos ambientais negativos potenciais destacam-se: geração de resíduos da construção civil (entulhos, embalagens, restos de tinta e materiais de cobertura), emissão de particulados e poeira durante raspagens e preparação de superfícies, produção de ruídos decorrentes da utilização de ferramentas elétricas, risco de descarte inadequado de materiais contaminantes (como solventes e resíduos de tinta), possibilidade de contaminação do solo por armazenamento incorreto de insumos e eventual consumo ineficiente de água e energia durante a execução.</w:t>
      </w:r>
    </w:p>
    <w:p w14:paraId="57FB2D85"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13.3. No tocante aos resíduos sólidos, a execução da obra poderá gerar resíduos classificados como Classe A (resíduos reutilizáveis ou recicláveis, como argamassa e concreto), Classe B (plásticos, papéis, metais e embalagens), Classe C (materiais sem tecnologia viável de reciclagem local) e Classe D (resíduos potencialmente perigosos, como tintas e solventes). A gestão inadequada desses resíduos pode ocasionar poluição visual, contaminação ambiental e impactos negativos ao entorno da Unidade de Saúde.</w:t>
      </w:r>
    </w:p>
    <w:p w14:paraId="6DE96CDF" w14:textId="61123E4C" w:rsidR="00134594" w:rsidRPr="00134594" w:rsidRDefault="00134594" w:rsidP="00134594">
      <w:pPr>
        <w:spacing w:after="0" w:line="240" w:lineRule="auto"/>
        <w:jc w:val="both"/>
        <w:rPr>
          <w:rFonts w:eastAsia="Arial Unicode MS"/>
          <w:sz w:val="20"/>
        </w:rPr>
      </w:pPr>
      <w:r w:rsidRPr="00134594">
        <w:rPr>
          <w:rFonts w:eastAsia="Arial Unicode MS"/>
          <w:sz w:val="20"/>
        </w:rPr>
        <w:t>13.4. Para mitigar tais riscos, a empresa contratada deverá implementar plano de gerenciamento de resíduos da construção civil compatível com a legislação ambiental vigente, assegurando segregação na origem, acondicionamento adequado, armazenamento temporário seguro, transporte por empresa autorizada e destinação final ambientalmente regularizada.</w:t>
      </w:r>
      <w:r w:rsidR="00870CE2" w:rsidRPr="00870CE2">
        <w:rPr>
          <w:rFonts w:eastAsia="Arial Unicode MS"/>
          <w:b/>
          <w:bCs/>
          <w:sz w:val="20"/>
        </w:rPr>
        <w:t xml:space="preserve"> É VEDADO O DESCARTE IRREGULAR EM VIAS PÚBLICAS, TERRENOS BALDIOS OU ÁREAS NÃO LICENCIADAS.</w:t>
      </w:r>
    </w:p>
    <w:p w14:paraId="0ED97427"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13.5. Quanto às emissões de poeira e particulados, especialmente durante raspagem e preparação de superfícies para pintura, deverão ser adotadas medidas de controle como umidificação moderada das áreas de trabalho, cobertura de materiais pulverulentos e delimitação física do local de intervenção, evitando dispersão para áreas adjacentes da Unidade de Saúde e minimizando impacto sobre usuários e profissionais.</w:t>
      </w:r>
    </w:p>
    <w:p w14:paraId="701DC789" w14:textId="7D15CFC8" w:rsidR="00134594" w:rsidRPr="00134594" w:rsidRDefault="00134594" w:rsidP="00134594">
      <w:pPr>
        <w:spacing w:after="0" w:line="240" w:lineRule="auto"/>
        <w:jc w:val="both"/>
        <w:rPr>
          <w:rFonts w:eastAsia="Arial Unicode MS"/>
          <w:sz w:val="20"/>
        </w:rPr>
      </w:pPr>
      <w:r w:rsidRPr="00134594">
        <w:rPr>
          <w:rFonts w:eastAsia="Arial Unicode MS"/>
          <w:sz w:val="20"/>
        </w:rPr>
        <w:t>13.6. A emissão de ruídos decorrente da utilização de ferramentas e equipamentos deverá ser controlada mediante uso de equipamentos em boas condições de manutenção, limitação das atividades aos horários permitidos pela legislação municipal e adoção de procedimentos que reduzam impactos sobre pacientes e servidores da Unidade</w:t>
      </w:r>
      <w:r w:rsidR="00870CE2">
        <w:rPr>
          <w:rFonts w:eastAsia="Arial Unicode MS"/>
          <w:sz w:val="20"/>
        </w:rPr>
        <w:t>.</w:t>
      </w:r>
    </w:p>
    <w:p w14:paraId="6943F3D4"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13.7. No que se refere ao uso de produtos químicos, especialmente tintas, solventes e materiais impermeabilizantes, deverá ser assegurado armazenamento em local protegido, ventilado e com contenção adequada, prevenindo vazamentos e contaminação do solo ou da rede de drenagem pluvial. Resíduos líquidos ou contaminantes não poderão ser descartados em redes públicas de esgoto ou galerias pluviais.</w:t>
      </w:r>
    </w:p>
    <w:p w14:paraId="3D26B437"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13.8. Durante a execução, deverá ser promovido uso racional de recursos naturais, com controle do consumo de água para limpeza e preparo de superfícies, desligamento de equipamentos quando não utilizados e prevenção de desperdícios de materiais, em consonância com boas práticas de sustentabilidade ambiental.</w:t>
      </w:r>
    </w:p>
    <w:p w14:paraId="7478C51D"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13.9. Considerando tratar-se de intervenção em área urbana consolidada e já edificada, não há supressão de vegetação nativa nem alteração de uso do solo. Ainda assim, deverão ser adotadas medidas para preservação do entorno imediato, evitando danos a áreas públicas, calçadas, redes existentes e elementos paisagísticos adjacentes.</w:t>
      </w:r>
    </w:p>
    <w:p w14:paraId="1B4843B8" w14:textId="77777777" w:rsidR="00134594" w:rsidRPr="00134594" w:rsidRDefault="00134594" w:rsidP="00134594">
      <w:pPr>
        <w:spacing w:after="0" w:line="240" w:lineRule="auto"/>
        <w:jc w:val="both"/>
        <w:rPr>
          <w:rFonts w:eastAsia="Arial Unicode MS"/>
          <w:sz w:val="20"/>
        </w:rPr>
      </w:pPr>
      <w:r w:rsidRPr="00134594">
        <w:rPr>
          <w:rFonts w:eastAsia="Arial Unicode MS"/>
          <w:sz w:val="20"/>
        </w:rPr>
        <w:t>13.10. O Município exercerá fiscalização ambiental concomitante à fiscalização técnica da obra, podendo determinar a correção imediata de práticas inadequadas, aplicação de penalidades contratuais e, em casos graves, suspensão dos serviços até regularização das inconformidades ambientais.</w:t>
      </w:r>
    </w:p>
    <w:p w14:paraId="37DEA71B" w14:textId="77777777" w:rsidR="00134594" w:rsidRPr="00AA6DFE" w:rsidRDefault="00134594" w:rsidP="00134594">
      <w:pPr>
        <w:spacing w:after="0" w:line="240" w:lineRule="auto"/>
        <w:jc w:val="both"/>
        <w:rPr>
          <w:rFonts w:eastAsia="Arial Unicode MS"/>
          <w:b/>
          <w:bCs/>
          <w:sz w:val="20"/>
          <w:u w:val="single"/>
        </w:rPr>
      </w:pPr>
      <w:r w:rsidRPr="00AA6DFE">
        <w:rPr>
          <w:rFonts w:eastAsia="Arial Unicode MS"/>
          <w:b/>
          <w:bCs/>
          <w:sz w:val="20"/>
          <w:u w:val="single"/>
        </w:rPr>
        <w:t>13.11. A contratada será integralmente responsável por quaisquer danos ambientais decorrentes de ação ou omissão durante a execução contratual, assumindo obrigação de reparar, mitigar ou compensar eventuais impactos negativos, sem prejuízo das sanções administrativas, civis e demais responsabilidades legais cabíveis.</w:t>
      </w:r>
    </w:p>
    <w:p w14:paraId="52C4293D" w14:textId="481B7C3B" w:rsidR="00C720FA" w:rsidRPr="00134594" w:rsidRDefault="00134594" w:rsidP="00134594">
      <w:pPr>
        <w:spacing w:after="0" w:line="240" w:lineRule="auto"/>
        <w:jc w:val="both"/>
        <w:rPr>
          <w:rFonts w:eastAsia="Arial Unicode MS"/>
          <w:sz w:val="20"/>
        </w:rPr>
      </w:pPr>
      <w:r w:rsidRPr="00134594">
        <w:rPr>
          <w:rFonts w:eastAsia="Arial Unicode MS"/>
          <w:sz w:val="20"/>
        </w:rPr>
        <w:t>13.12. A adoção das medidas preventivas e mitigatórias ora descritas visa assegurar que os impactos ambientais negativos da obra sejam temporários, controlados e de baixa magnitude, garantindo que a reforma se desenvolva de forma ambientalmente responsável, compatível com a natureza do serviço e com a função social do equipamento público de saúde.</w:t>
      </w:r>
    </w:p>
    <w:p w14:paraId="5A478078" w14:textId="77777777" w:rsidR="00134594" w:rsidRPr="00134594" w:rsidRDefault="00134594" w:rsidP="00134594">
      <w:pPr>
        <w:spacing w:after="0" w:line="240" w:lineRule="auto"/>
        <w:jc w:val="both"/>
        <w:rPr>
          <w:rFonts w:eastAsia="Arial Unicode MS"/>
          <w:b/>
          <w:sz w:val="20"/>
        </w:rPr>
      </w:pPr>
    </w:p>
    <w:p w14:paraId="4A4766E2" w14:textId="07C5D236" w:rsidR="0034161A" w:rsidRPr="00134594" w:rsidRDefault="0034161A" w:rsidP="00134594">
      <w:pPr>
        <w:spacing w:after="0" w:line="240" w:lineRule="auto"/>
        <w:jc w:val="both"/>
        <w:rPr>
          <w:rFonts w:eastAsia="Arial Unicode MS"/>
          <w:b/>
          <w:sz w:val="20"/>
        </w:rPr>
      </w:pPr>
      <w:r w:rsidRPr="00134594">
        <w:rPr>
          <w:rFonts w:eastAsia="Arial Unicode MS"/>
          <w:b/>
          <w:sz w:val="20"/>
        </w:rPr>
        <w:t>14</w:t>
      </w:r>
      <w:r w:rsidR="00BE12DA" w:rsidRPr="00134594">
        <w:rPr>
          <w:rFonts w:eastAsia="Arial Unicode MS"/>
          <w:b/>
          <w:sz w:val="20"/>
        </w:rPr>
        <w:t>.</w:t>
      </w:r>
      <w:r w:rsidRPr="00134594">
        <w:rPr>
          <w:rFonts w:eastAsia="Arial Unicode MS"/>
          <w:b/>
          <w:sz w:val="20"/>
        </w:rPr>
        <w:t xml:space="preserve"> POSICIONAMENTO CONCLUSIVO SOBRE A ADEQUAÇÃO DA CONTRATAÇÃO</w:t>
      </w:r>
      <w:r w:rsidR="00C97D9E" w:rsidRPr="00134594">
        <w:rPr>
          <w:rFonts w:eastAsia="Arial Unicode MS"/>
          <w:b/>
          <w:sz w:val="20"/>
        </w:rPr>
        <w:t>:</w:t>
      </w:r>
    </w:p>
    <w:p w14:paraId="6BD1C588"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14.1. Após a elaboração do presente Estudo Técnico Preliminar, conclui-se que a contratação de empresa especializada para a execução de serviços comuns de engenharia destinados à reforma da Farmácia da Unidade Básica de Saúde Central do Município de Paverama revela-se necessária, adequada e plenamente alinhada ao interesse público. A análise técnica demonstrou que a intervenção decorre de demanda concreta e atual, relacionada à necessidade de recomposição do desempenho predial, à correção de patologias construtivas pontuais e, especialmente, à mitigação de riscos operacionais decorrentes da instabilidade no fornecimento de energia elétrica.</w:t>
      </w:r>
    </w:p>
    <w:p w14:paraId="6993E57E"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14.2. Restou evidenciado que a situação atual da edificação, marcada por desgaste da pintura externa, falhas pontuais no sistema de cobertura e vulnerabilidade no armazenamento de medicamentos em razão de interrupções energéticas, compromete a eficiência da assistência farmacêutica municipal e expõe o patrimônio público a risco de deterioração progressiva. A solução estudada — consistente na execução integrada de serviços de pintura, adequações no sistema de cobertura e instalação de gerador portátil com infraestrutura adequada — mostra-se tecnicamente suficiente para sanar as fragilidades identificadas.</w:t>
      </w:r>
    </w:p>
    <w:p w14:paraId="69D812F9"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14.3. O Estudo Técnico Preliminar avaliou alternativas como intervenções parciais isoladas ou postergação da manutenção, concluindo que tais opções não atenderiam de forma satisfatória ao interesse público, podendo gerar custos futuros superiores e risco de perda de medicamentos e imunobiológicos. Demonstrou-se, ainda, que a execução integrada por única empresa especializada constitui a alternativa mais eficiente sob os aspectos técnico-operacional, econômico e de governança, assegurando coordenação unificada, padronização executiva, responsabilidade técnica centralizada e maior controle da qualidade dos serviços.</w:t>
      </w:r>
    </w:p>
    <w:p w14:paraId="215CD27F"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14.4. Sob a perspectiva ambiental, verificou-se que os impactos decorrentes da execução são de baixa magnitude, temporários e plenamente mitigáveis, estando previstas medidas de controle quanto à gestão de resíduos, controle de poeira, ruídos e uso racional de recursos naturais, conforme detalhado no capítulo específico deste Estudo.</w:t>
      </w:r>
    </w:p>
    <w:p w14:paraId="0104052B" w14:textId="4D34128F" w:rsidR="00134594" w:rsidRPr="00134594" w:rsidRDefault="00134594" w:rsidP="00134594">
      <w:pPr>
        <w:spacing w:after="0" w:line="240" w:lineRule="auto"/>
        <w:jc w:val="both"/>
        <w:rPr>
          <w:rFonts w:eastAsia="Arial Unicode MS"/>
          <w:bCs/>
          <w:sz w:val="20"/>
        </w:rPr>
      </w:pPr>
      <w:r w:rsidRPr="00134594">
        <w:rPr>
          <w:rFonts w:eastAsia="Arial Unicode MS"/>
          <w:bCs/>
          <w:sz w:val="20"/>
        </w:rPr>
        <w:t>14.5. No campo orçamentário e financeiro, constatou-se que a contratação encontra-se regularmente prevista no Plano de Contratações Anual – PCA 2026, alinhada às metas municipais de fortalecimento da Atenção Básica e da infraestrutura de saúde, com custeio assegurado por recursos próprios do Município, devidamente compatibilizados com a Lei Orçamentária Anual</w:t>
      </w:r>
      <w:r w:rsidR="00AA6DFE">
        <w:rPr>
          <w:rFonts w:eastAsia="Arial Unicode MS"/>
          <w:bCs/>
          <w:sz w:val="20"/>
        </w:rPr>
        <w:t>.</w:t>
      </w:r>
    </w:p>
    <w:p w14:paraId="1246EA7C" w14:textId="77777777" w:rsidR="00134594" w:rsidRPr="00134594" w:rsidRDefault="00134594" w:rsidP="00134594">
      <w:pPr>
        <w:spacing w:after="0" w:line="240" w:lineRule="auto"/>
        <w:jc w:val="both"/>
        <w:rPr>
          <w:rFonts w:eastAsia="Arial Unicode MS"/>
          <w:bCs/>
          <w:sz w:val="20"/>
        </w:rPr>
      </w:pPr>
      <w:r w:rsidRPr="00134594">
        <w:rPr>
          <w:rFonts w:eastAsia="Arial Unicode MS"/>
          <w:bCs/>
          <w:sz w:val="20"/>
        </w:rPr>
        <w:t>14.6. À luz das análises realizadas, conclui-se que a solução proposta apresenta viabilidade técnica, adequação administrativa, sustentabilidade operacional e compatibilidade financeira, contribuindo para o fortalecimento da rede municipal de saúde, a preservação do patrimônio público e a melhoria das condições de atendimento à população.</w:t>
      </w:r>
    </w:p>
    <w:p w14:paraId="459E62CD" w14:textId="0C16045D" w:rsidR="00134594" w:rsidRPr="00134594" w:rsidRDefault="00134594" w:rsidP="00134594">
      <w:pPr>
        <w:spacing w:after="0" w:line="240" w:lineRule="auto"/>
        <w:jc w:val="both"/>
        <w:rPr>
          <w:rFonts w:eastAsia="Arial Unicode MS"/>
          <w:bCs/>
          <w:sz w:val="20"/>
        </w:rPr>
      </w:pPr>
      <w:r w:rsidRPr="00134594">
        <w:rPr>
          <w:rFonts w:eastAsia="Arial Unicode MS"/>
          <w:bCs/>
          <w:sz w:val="20"/>
        </w:rPr>
        <w:t xml:space="preserve">14.7. Diante do exposto, </w:t>
      </w:r>
      <w:r w:rsidRPr="00134594">
        <w:rPr>
          <w:rFonts w:eastAsia="Arial Unicode MS"/>
          <w:b/>
          <w:sz w:val="20"/>
        </w:rPr>
        <w:t>MANIFESTA-SE POSICIONAMENTO FAVORÁVEL AO REGULAR PROSSEGUIMENTO DO PROCESSO DE CONTRATAÇÃO, DECLARANDO-SE A VIABILIDADE E A ADEQUAÇÃO DA SOLUÇÃO PROPOSTA.</w:t>
      </w:r>
      <w:r w:rsidRPr="00134594">
        <w:rPr>
          <w:rFonts w:eastAsia="Arial Unicode MS"/>
          <w:bCs/>
          <w:sz w:val="20"/>
        </w:rPr>
        <w:t xml:space="preserve"> Determina-se, assim, a elaboração do Termo de Referência e a continuidade da fase interna do procedimento licitatório</w:t>
      </w:r>
      <w:r w:rsidR="00D67E6E">
        <w:rPr>
          <w:rFonts w:eastAsia="Arial Unicode MS"/>
          <w:bCs/>
          <w:sz w:val="20"/>
        </w:rPr>
        <w:t>.</w:t>
      </w:r>
    </w:p>
    <w:p w14:paraId="6BB34364" w14:textId="77777777" w:rsidR="00100C32" w:rsidRPr="00134594" w:rsidRDefault="00100C32" w:rsidP="00134594">
      <w:pPr>
        <w:spacing w:after="0" w:line="240" w:lineRule="auto"/>
        <w:jc w:val="both"/>
        <w:rPr>
          <w:rFonts w:eastAsia="Arial Unicode MS"/>
          <w:bCs/>
          <w:sz w:val="20"/>
        </w:rPr>
      </w:pPr>
    </w:p>
    <w:p w14:paraId="3E6D49B6" w14:textId="77777777" w:rsidR="006E786C" w:rsidRPr="00134594" w:rsidRDefault="006E786C" w:rsidP="00134594">
      <w:pPr>
        <w:spacing w:after="0" w:line="240" w:lineRule="auto"/>
        <w:jc w:val="both"/>
        <w:rPr>
          <w:rFonts w:eastAsia="Arial Unicode MS"/>
          <w:sz w:val="20"/>
        </w:rPr>
      </w:pPr>
      <w:r w:rsidRPr="00134594">
        <w:rPr>
          <w:rFonts w:eastAsia="Arial Unicode MS"/>
          <w:b/>
          <w:sz w:val="20"/>
        </w:rPr>
        <w:t>15</w:t>
      </w:r>
      <w:r w:rsidR="00C97D9E" w:rsidRPr="00134594">
        <w:rPr>
          <w:rFonts w:eastAsia="Arial Unicode MS"/>
          <w:b/>
          <w:sz w:val="20"/>
        </w:rPr>
        <w:t>.</w:t>
      </w:r>
      <w:r w:rsidRPr="00134594">
        <w:rPr>
          <w:rFonts w:eastAsia="Arial Unicode MS"/>
          <w:b/>
          <w:sz w:val="20"/>
        </w:rPr>
        <w:t xml:space="preserve"> ANEXOS:</w:t>
      </w:r>
      <w:r w:rsidRPr="00134594">
        <w:rPr>
          <w:rFonts w:eastAsia="Arial Unicode MS"/>
          <w:sz w:val="20"/>
        </w:rPr>
        <w:t xml:space="preserve"> </w:t>
      </w:r>
    </w:p>
    <w:p w14:paraId="0BB1E69C" w14:textId="42E89350" w:rsidR="00D67E6E" w:rsidRPr="00134594" w:rsidRDefault="00354CE2" w:rsidP="00134594">
      <w:pPr>
        <w:spacing w:after="0" w:line="240" w:lineRule="auto"/>
        <w:jc w:val="both"/>
        <w:rPr>
          <w:rFonts w:eastAsia="Arial Unicode MS"/>
          <w:sz w:val="20"/>
        </w:rPr>
      </w:pPr>
      <w:r w:rsidRPr="00134594">
        <w:rPr>
          <w:rFonts w:eastAsia="Arial Unicode MS"/>
          <w:sz w:val="20"/>
        </w:rPr>
        <w:t>15.1 Integram o presente Estudo Técnico Preliminar, para viabilização da contratação e adequada compreensão da solução proposta, os seguintes documentos técnicos:</w:t>
      </w:r>
    </w:p>
    <w:p w14:paraId="53FBE69C" w14:textId="59247587" w:rsidR="00354CE2" w:rsidRPr="00134594" w:rsidRDefault="00354CE2" w:rsidP="00134594">
      <w:pPr>
        <w:spacing w:after="0" w:line="240" w:lineRule="auto"/>
        <w:ind w:firstLine="708"/>
        <w:jc w:val="both"/>
        <w:rPr>
          <w:rFonts w:eastAsia="Arial Unicode MS"/>
          <w:b/>
          <w:bCs/>
          <w:sz w:val="20"/>
        </w:rPr>
      </w:pPr>
      <w:r w:rsidRPr="00134594">
        <w:rPr>
          <w:rFonts w:eastAsia="Arial Unicode MS"/>
          <w:b/>
          <w:bCs/>
          <w:sz w:val="20"/>
        </w:rPr>
        <w:t xml:space="preserve">– PROJETO BÁSICO: </w:t>
      </w:r>
    </w:p>
    <w:p w14:paraId="2C662A91" w14:textId="278CA0D3" w:rsidR="00354CE2" w:rsidRPr="00134594" w:rsidRDefault="00100C32" w:rsidP="006A130A">
      <w:pPr>
        <w:spacing w:after="0" w:line="240" w:lineRule="auto"/>
        <w:jc w:val="both"/>
        <w:rPr>
          <w:rFonts w:eastAsia="Arial Unicode MS"/>
          <w:sz w:val="20"/>
        </w:rPr>
      </w:pPr>
      <w:r w:rsidRPr="00134594">
        <w:rPr>
          <w:rFonts w:eastAsia="Arial Unicode MS"/>
          <w:sz w:val="20"/>
        </w:rPr>
        <w:t>- M</w:t>
      </w:r>
      <w:r w:rsidR="00354CE2" w:rsidRPr="00134594">
        <w:rPr>
          <w:rFonts w:eastAsia="Arial Unicode MS"/>
          <w:sz w:val="20"/>
        </w:rPr>
        <w:t>emorial Descritivo – especificação técnica dos serviços, materiais e métodos construtivos;</w:t>
      </w:r>
    </w:p>
    <w:p w14:paraId="667BB804" w14:textId="39C07671"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Planilha Orçamentária – estimativa de custos por item e etapa da obra;</w:t>
      </w:r>
    </w:p>
    <w:p w14:paraId="334F6C43" w14:textId="5A062B85"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Planilha de Levantamento de Quantidades – discriminação dos quantitativos dos serviços e insumos;</w:t>
      </w:r>
    </w:p>
    <w:p w14:paraId="08F91505" w14:textId="6C0013D8"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Cronograma Físico-Financeiro – programação das etapas da obra e respectivos desembolsos;</w:t>
      </w:r>
    </w:p>
    <w:p w14:paraId="66AE1E49" w14:textId="1C4A5DE0"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Composição de Custos – detalhamento dos custos unitários de insumos, mão de obra e equipamentos;</w:t>
      </w:r>
    </w:p>
    <w:p w14:paraId="331EB5BA" w14:textId="63D92416"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Quadro de Composição do BDI – demonstrativo dos benefícios e despesas indiretas aplicáveis;</w:t>
      </w:r>
    </w:p>
    <w:p w14:paraId="0F833CA0" w14:textId="40A3B810" w:rsidR="00354CE2" w:rsidRPr="00134594" w:rsidRDefault="00100C32"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 xml:space="preserve">Plantas Básicas </w:t>
      </w:r>
      <w:r w:rsidR="00134594" w:rsidRPr="00134594">
        <w:rPr>
          <w:rFonts w:eastAsia="Arial Unicode MS"/>
          <w:sz w:val="20"/>
        </w:rPr>
        <w:t>–</w:t>
      </w:r>
      <w:r w:rsidR="00354CE2" w:rsidRPr="00134594">
        <w:rPr>
          <w:rFonts w:eastAsia="Arial Unicode MS"/>
          <w:sz w:val="20"/>
        </w:rPr>
        <w:t xml:space="preserve"> desenhos técnicos completos, contendo dimensões, cortes, detalhes construtivos e especificações finais;</w:t>
      </w:r>
    </w:p>
    <w:p w14:paraId="38B9860A" w14:textId="06CBA2EE" w:rsidR="00354CE2" w:rsidRPr="00134594" w:rsidRDefault="00134594" w:rsidP="006A130A">
      <w:pPr>
        <w:spacing w:after="0" w:line="240" w:lineRule="auto"/>
        <w:jc w:val="both"/>
        <w:rPr>
          <w:rFonts w:eastAsia="Arial Unicode MS"/>
          <w:sz w:val="20"/>
        </w:rPr>
      </w:pPr>
      <w:r w:rsidRPr="00134594">
        <w:rPr>
          <w:rFonts w:eastAsia="Arial Unicode MS"/>
          <w:sz w:val="20"/>
        </w:rPr>
        <w:t xml:space="preserve">- </w:t>
      </w:r>
      <w:r w:rsidR="00354CE2" w:rsidRPr="00134594">
        <w:rPr>
          <w:rFonts w:eastAsia="Arial Unicode MS"/>
          <w:sz w:val="20"/>
        </w:rPr>
        <w:t>Detalhamentos Técnicos Complementares – informações adicionais indispensáveis à perfeita execução dos serviços.</w:t>
      </w:r>
    </w:p>
    <w:p w14:paraId="32B1E38D" w14:textId="46F7C0BC" w:rsidR="00354CE2" w:rsidRPr="00134594" w:rsidRDefault="00354CE2" w:rsidP="00134594">
      <w:pPr>
        <w:spacing w:after="0" w:line="240" w:lineRule="auto"/>
        <w:jc w:val="both"/>
        <w:rPr>
          <w:rFonts w:eastAsia="Arial Unicode MS"/>
          <w:b/>
          <w:bCs/>
          <w:sz w:val="20"/>
        </w:rPr>
      </w:pPr>
      <w:r w:rsidRPr="00134594">
        <w:rPr>
          <w:rFonts w:eastAsia="Arial Unicode MS"/>
          <w:sz w:val="20"/>
        </w:rPr>
        <w:tab/>
      </w:r>
      <w:r w:rsidRPr="00134594">
        <w:rPr>
          <w:rFonts w:eastAsia="Arial Unicode MS"/>
          <w:b/>
          <w:bCs/>
          <w:sz w:val="20"/>
        </w:rPr>
        <w:t xml:space="preserve">- TERMO DE REFERÊNCIA; </w:t>
      </w:r>
      <w:r w:rsidR="005D6994" w:rsidRPr="00134594">
        <w:rPr>
          <w:rFonts w:eastAsia="Arial Unicode MS"/>
          <w:b/>
          <w:bCs/>
          <w:sz w:val="20"/>
        </w:rPr>
        <w:t>e</w:t>
      </w:r>
    </w:p>
    <w:p w14:paraId="061D5950" w14:textId="38EDE69A" w:rsidR="00354CE2" w:rsidRPr="00134594" w:rsidRDefault="00354CE2" w:rsidP="00134594">
      <w:pPr>
        <w:spacing w:after="0" w:line="240" w:lineRule="auto"/>
        <w:jc w:val="both"/>
        <w:rPr>
          <w:rFonts w:eastAsia="Arial Unicode MS"/>
          <w:b/>
          <w:bCs/>
          <w:sz w:val="20"/>
        </w:rPr>
      </w:pPr>
      <w:r w:rsidRPr="00134594">
        <w:rPr>
          <w:rFonts w:eastAsia="Arial Unicode MS"/>
          <w:b/>
          <w:bCs/>
          <w:sz w:val="20"/>
        </w:rPr>
        <w:tab/>
        <w:t>- MATRIZ DE RISCOS.</w:t>
      </w:r>
    </w:p>
    <w:p w14:paraId="18FB9EA1" w14:textId="77777777" w:rsidR="00354CE2" w:rsidRPr="00134594" w:rsidRDefault="00354CE2" w:rsidP="00134594">
      <w:pPr>
        <w:spacing w:after="0" w:line="240" w:lineRule="auto"/>
        <w:jc w:val="both"/>
        <w:rPr>
          <w:rFonts w:eastAsia="Arial Unicode MS"/>
          <w:sz w:val="20"/>
        </w:rPr>
      </w:pPr>
    </w:p>
    <w:p w14:paraId="02BA04AC" w14:textId="4A92762F" w:rsidR="008C0ACC" w:rsidRPr="00134594" w:rsidRDefault="008C0ACC" w:rsidP="00134594">
      <w:pPr>
        <w:spacing w:after="0" w:line="240" w:lineRule="auto"/>
        <w:jc w:val="both"/>
        <w:rPr>
          <w:rFonts w:eastAsia="Arial Unicode MS"/>
          <w:b/>
          <w:sz w:val="20"/>
        </w:rPr>
      </w:pPr>
      <w:r w:rsidRPr="00134594">
        <w:rPr>
          <w:rFonts w:eastAsia="Arial Unicode MS"/>
          <w:b/>
          <w:sz w:val="20"/>
        </w:rPr>
        <w:t>1</w:t>
      </w:r>
      <w:r w:rsidR="00C026FA" w:rsidRPr="00134594">
        <w:rPr>
          <w:rFonts w:eastAsia="Arial Unicode MS"/>
          <w:b/>
          <w:sz w:val="20"/>
        </w:rPr>
        <w:t>6.</w:t>
      </w:r>
      <w:r w:rsidRPr="00134594">
        <w:rPr>
          <w:rFonts w:eastAsia="Arial Unicode MS"/>
          <w:b/>
          <w:sz w:val="20"/>
        </w:rPr>
        <w:t xml:space="preserve"> RESPONSÁVE</w:t>
      </w:r>
      <w:r w:rsidR="00134594" w:rsidRPr="00134594">
        <w:rPr>
          <w:rFonts w:eastAsia="Arial Unicode MS"/>
          <w:b/>
          <w:sz w:val="20"/>
        </w:rPr>
        <w:t>IS</w:t>
      </w:r>
      <w:r w:rsidRPr="00134594">
        <w:rPr>
          <w:rFonts w:eastAsia="Arial Unicode MS"/>
          <w:b/>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6"/>
        <w:gridCol w:w="2834"/>
        <w:gridCol w:w="2835"/>
        <w:gridCol w:w="1836"/>
      </w:tblGrid>
      <w:tr w:rsidR="008C0ACC" w:rsidRPr="00134594" w14:paraId="001F208B" w14:textId="77777777" w:rsidTr="00565429">
        <w:tc>
          <w:tcPr>
            <w:tcW w:w="1556" w:type="dxa"/>
            <w:vMerge w:val="restart"/>
            <w:vAlign w:val="center"/>
            <w:hideMark/>
          </w:tcPr>
          <w:p w14:paraId="3551DF0D" w14:textId="77777777" w:rsidR="008C0ACC" w:rsidRPr="00134594" w:rsidRDefault="008C0ACC" w:rsidP="00134594">
            <w:pPr>
              <w:spacing w:after="0" w:line="240" w:lineRule="auto"/>
              <w:jc w:val="center"/>
              <w:rPr>
                <w:rFonts w:eastAsia="Arial Unicode MS"/>
                <w:b/>
                <w:bCs/>
                <w:sz w:val="20"/>
              </w:rPr>
            </w:pPr>
            <w:r w:rsidRPr="00134594">
              <w:rPr>
                <w:rFonts w:eastAsia="Arial Unicode MS"/>
                <w:b/>
                <w:bCs/>
                <w:sz w:val="20"/>
              </w:rPr>
              <w:t>Responsáveis pelo Estudo:</w:t>
            </w:r>
          </w:p>
        </w:tc>
        <w:tc>
          <w:tcPr>
            <w:tcW w:w="2834" w:type="dxa"/>
            <w:vAlign w:val="center"/>
          </w:tcPr>
          <w:p w14:paraId="20E6C1C8" w14:textId="77777777" w:rsidR="008C0ACC" w:rsidRPr="00134594" w:rsidRDefault="008C0ACC" w:rsidP="00134594">
            <w:pPr>
              <w:spacing w:after="0" w:line="240" w:lineRule="auto"/>
              <w:rPr>
                <w:rFonts w:eastAsia="Arial Unicode MS"/>
                <w:sz w:val="20"/>
              </w:rPr>
            </w:pPr>
            <w:r w:rsidRPr="00134594">
              <w:rPr>
                <w:rFonts w:eastAsia="Arial Unicode MS"/>
                <w:sz w:val="20"/>
              </w:rPr>
              <w:t>Ueslei José Garcia</w:t>
            </w:r>
          </w:p>
        </w:tc>
        <w:tc>
          <w:tcPr>
            <w:tcW w:w="2835" w:type="dxa"/>
            <w:vAlign w:val="center"/>
          </w:tcPr>
          <w:p w14:paraId="4FA4C7C8" w14:textId="77777777" w:rsidR="008C0ACC" w:rsidRPr="00134594" w:rsidRDefault="008C0ACC" w:rsidP="00134594">
            <w:pPr>
              <w:spacing w:after="0" w:line="240" w:lineRule="auto"/>
              <w:rPr>
                <w:rFonts w:eastAsia="Arial Unicode MS"/>
                <w:sz w:val="20"/>
              </w:rPr>
            </w:pPr>
            <w:r w:rsidRPr="00134594">
              <w:rPr>
                <w:rFonts w:eastAsia="Arial Unicode MS"/>
                <w:sz w:val="20"/>
              </w:rPr>
              <w:t>Chefe do Setor de Compras</w:t>
            </w:r>
          </w:p>
        </w:tc>
        <w:tc>
          <w:tcPr>
            <w:tcW w:w="1836" w:type="dxa"/>
            <w:vAlign w:val="center"/>
            <w:hideMark/>
          </w:tcPr>
          <w:p w14:paraId="7F913159" w14:textId="77777777" w:rsidR="008C0ACC" w:rsidRPr="00134594" w:rsidRDefault="008C0ACC" w:rsidP="00134594">
            <w:pPr>
              <w:spacing w:after="0" w:line="240" w:lineRule="auto"/>
              <w:jc w:val="center"/>
              <w:rPr>
                <w:rFonts w:eastAsia="Arial Unicode MS"/>
                <w:sz w:val="20"/>
              </w:rPr>
            </w:pPr>
            <w:r w:rsidRPr="00134594">
              <w:rPr>
                <w:rFonts w:eastAsia="Arial Unicode MS"/>
                <w:b/>
                <w:bCs/>
                <w:sz w:val="20"/>
              </w:rPr>
              <w:t>Matrícula:</w:t>
            </w:r>
            <w:r w:rsidRPr="00134594">
              <w:rPr>
                <w:rFonts w:eastAsia="Arial Unicode MS"/>
                <w:sz w:val="20"/>
              </w:rPr>
              <w:t xml:space="preserve"> 1449</w:t>
            </w:r>
          </w:p>
        </w:tc>
      </w:tr>
      <w:tr w:rsidR="008C0ACC" w:rsidRPr="00134594" w14:paraId="33DC44F5" w14:textId="77777777" w:rsidTr="00565429">
        <w:tc>
          <w:tcPr>
            <w:tcW w:w="1556" w:type="dxa"/>
            <w:vMerge/>
            <w:vAlign w:val="center"/>
          </w:tcPr>
          <w:p w14:paraId="453015B0" w14:textId="77777777" w:rsidR="008C0ACC" w:rsidRPr="00134594" w:rsidRDefault="008C0ACC" w:rsidP="00134594">
            <w:pPr>
              <w:spacing w:after="0" w:line="240" w:lineRule="auto"/>
              <w:jc w:val="center"/>
              <w:rPr>
                <w:rFonts w:eastAsia="Arial Unicode MS"/>
                <w:sz w:val="20"/>
              </w:rPr>
            </w:pPr>
          </w:p>
        </w:tc>
        <w:tc>
          <w:tcPr>
            <w:tcW w:w="2834" w:type="dxa"/>
            <w:vAlign w:val="center"/>
          </w:tcPr>
          <w:p w14:paraId="60BCECAF" w14:textId="77777777" w:rsidR="008C0ACC" w:rsidRPr="00134594" w:rsidRDefault="008C0ACC" w:rsidP="00134594">
            <w:pPr>
              <w:spacing w:after="0" w:line="240" w:lineRule="auto"/>
              <w:rPr>
                <w:rFonts w:eastAsia="Arial Unicode MS"/>
                <w:sz w:val="20"/>
              </w:rPr>
            </w:pPr>
            <w:r w:rsidRPr="00134594">
              <w:rPr>
                <w:rFonts w:eastAsia="Arial Unicode MS"/>
                <w:sz w:val="20"/>
              </w:rPr>
              <w:t>Frederico da Silva Pacheco</w:t>
            </w:r>
          </w:p>
        </w:tc>
        <w:tc>
          <w:tcPr>
            <w:tcW w:w="2835" w:type="dxa"/>
            <w:vAlign w:val="center"/>
          </w:tcPr>
          <w:p w14:paraId="4AD0E571" w14:textId="77777777" w:rsidR="008C0ACC" w:rsidRPr="00134594" w:rsidRDefault="008C0ACC" w:rsidP="00134594">
            <w:pPr>
              <w:spacing w:after="0" w:line="240" w:lineRule="auto"/>
              <w:rPr>
                <w:rFonts w:eastAsia="Arial Unicode MS"/>
                <w:sz w:val="20"/>
              </w:rPr>
            </w:pPr>
            <w:r w:rsidRPr="00134594">
              <w:rPr>
                <w:rFonts w:eastAsia="Arial Unicode MS"/>
                <w:sz w:val="20"/>
              </w:rPr>
              <w:t>Estagiário</w:t>
            </w:r>
          </w:p>
        </w:tc>
        <w:tc>
          <w:tcPr>
            <w:tcW w:w="1836" w:type="dxa"/>
            <w:vAlign w:val="center"/>
          </w:tcPr>
          <w:p w14:paraId="4AFF0128" w14:textId="77777777" w:rsidR="008C0ACC" w:rsidRPr="00134594" w:rsidRDefault="008C0ACC" w:rsidP="00134594">
            <w:pPr>
              <w:spacing w:after="0" w:line="240" w:lineRule="auto"/>
              <w:jc w:val="center"/>
              <w:rPr>
                <w:rFonts w:eastAsia="Arial Unicode MS"/>
                <w:sz w:val="20"/>
              </w:rPr>
            </w:pPr>
            <w:r w:rsidRPr="00134594">
              <w:rPr>
                <w:rFonts w:eastAsia="Arial Unicode MS"/>
                <w:b/>
                <w:bCs/>
                <w:sz w:val="20"/>
              </w:rPr>
              <w:t>Matrícula:</w:t>
            </w:r>
            <w:r w:rsidRPr="00134594">
              <w:rPr>
                <w:rFonts w:eastAsia="Arial Unicode MS"/>
                <w:sz w:val="20"/>
              </w:rPr>
              <w:t xml:space="preserve"> 1972</w:t>
            </w:r>
          </w:p>
        </w:tc>
      </w:tr>
      <w:tr w:rsidR="008C0ACC" w:rsidRPr="00134594" w14:paraId="027AA8A3" w14:textId="77777777" w:rsidTr="00565429">
        <w:trPr>
          <w:trHeight w:val="70"/>
        </w:trPr>
        <w:tc>
          <w:tcPr>
            <w:tcW w:w="4390" w:type="dxa"/>
            <w:gridSpan w:val="2"/>
            <w:vAlign w:val="center"/>
            <w:hideMark/>
          </w:tcPr>
          <w:p w14:paraId="244E3449" w14:textId="77777777" w:rsidR="008C0ACC" w:rsidRPr="00134594" w:rsidRDefault="008C0ACC" w:rsidP="00134594">
            <w:pPr>
              <w:spacing w:after="0" w:line="240" w:lineRule="auto"/>
              <w:jc w:val="center"/>
              <w:rPr>
                <w:rFonts w:eastAsia="Arial Unicode MS"/>
                <w:sz w:val="20"/>
              </w:rPr>
            </w:pPr>
            <w:r w:rsidRPr="00134594">
              <w:rPr>
                <w:rFonts w:eastAsia="Arial Unicode MS"/>
                <w:b/>
                <w:bCs/>
                <w:sz w:val="20"/>
              </w:rPr>
              <w:t>E-mail:</w:t>
            </w:r>
            <w:r w:rsidRPr="00134594">
              <w:rPr>
                <w:rFonts w:eastAsia="Arial Unicode MS"/>
                <w:sz w:val="20"/>
              </w:rPr>
              <w:t xml:space="preserve"> compras@paverama.rs.gov.br</w:t>
            </w:r>
          </w:p>
        </w:tc>
        <w:tc>
          <w:tcPr>
            <w:tcW w:w="4671" w:type="dxa"/>
            <w:gridSpan w:val="2"/>
            <w:vAlign w:val="center"/>
          </w:tcPr>
          <w:p w14:paraId="6738A0B8" w14:textId="77777777" w:rsidR="008C0ACC" w:rsidRPr="00134594" w:rsidRDefault="008C0ACC" w:rsidP="00134594">
            <w:pPr>
              <w:spacing w:after="0" w:line="240" w:lineRule="auto"/>
              <w:jc w:val="center"/>
              <w:rPr>
                <w:rFonts w:eastAsia="Arial Unicode MS"/>
                <w:sz w:val="20"/>
              </w:rPr>
            </w:pPr>
            <w:r w:rsidRPr="00134594">
              <w:rPr>
                <w:rFonts w:eastAsia="Arial Unicode MS"/>
                <w:b/>
                <w:bCs/>
                <w:sz w:val="20"/>
              </w:rPr>
              <w:t>Fone:</w:t>
            </w:r>
            <w:r w:rsidRPr="00134594">
              <w:rPr>
                <w:rFonts w:eastAsia="Arial Unicode MS"/>
                <w:sz w:val="20"/>
              </w:rPr>
              <w:t xml:space="preserve"> (51) 3761-1044</w:t>
            </w:r>
          </w:p>
        </w:tc>
      </w:tr>
    </w:tbl>
    <w:p w14:paraId="36A41702" w14:textId="77777777" w:rsidR="008C0ACC" w:rsidRPr="00134594" w:rsidRDefault="008C0ACC" w:rsidP="00134594">
      <w:pPr>
        <w:spacing w:after="0" w:line="240" w:lineRule="auto"/>
        <w:ind w:firstLine="708"/>
        <w:jc w:val="both"/>
        <w:rPr>
          <w:rFonts w:eastAsia="Arial Unicode MS"/>
          <w:sz w:val="20"/>
        </w:rPr>
      </w:pPr>
    </w:p>
    <w:p w14:paraId="50137E7F" w14:textId="19B47CE9" w:rsidR="008C0ACC" w:rsidRPr="00134594" w:rsidRDefault="008C0ACC" w:rsidP="00134594">
      <w:pPr>
        <w:spacing w:after="0" w:line="240" w:lineRule="auto"/>
        <w:ind w:firstLine="708"/>
        <w:jc w:val="both"/>
        <w:rPr>
          <w:rFonts w:eastAsia="Arial Unicode MS"/>
          <w:sz w:val="20"/>
        </w:rPr>
      </w:pPr>
      <w:r w:rsidRPr="00134594">
        <w:rPr>
          <w:rFonts w:eastAsia="Arial Unicode MS"/>
          <w:sz w:val="20"/>
        </w:rPr>
        <w:t>Realizadas as tarefas pertinentes ao ETP, encaminho o documento solicitando ciência e aprovação para posterior elaboração do Termo de Referência.</w:t>
      </w:r>
    </w:p>
    <w:p w14:paraId="16E8A5A8" w14:textId="77777777" w:rsidR="008C0ACC" w:rsidRPr="00134594" w:rsidRDefault="008C0ACC" w:rsidP="00134594">
      <w:pPr>
        <w:spacing w:after="0" w:line="240" w:lineRule="auto"/>
        <w:jc w:val="both"/>
        <w:rPr>
          <w:rFonts w:eastAsia="Arial Unicode MS"/>
          <w:sz w:val="20"/>
        </w:rPr>
      </w:pPr>
    </w:p>
    <w:p w14:paraId="19359FEC" w14:textId="42904D1E" w:rsidR="00254015" w:rsidRPr="00134594" w:rsidRDefault="008C0ACC" w:rsidP="00134594">
      <w:pPr>
        <w:spacing w:after="0" w:line="240" w:lineRule="auto"/>
        <w:jc w:val="center"/>
        <w:rPr>
          <w:rFonts w:eastAsia="Arial Unicode MS"/>
          <w:sz w:val="20"/>
        </w:rPr>
      </w:pPr>
      <w:r w:rsidRPr="00134594">
        <w:rPr>
          <w:rFonts w:eastAsia="Arial Unicode MS"/>
          <w:sz w:val="20"/>
        </w:rPr>
        <w:t xml:space="preserve">Paverama/RS, </w:t>
      </w:r>
      <w:r w:rsidR="00134594" w:rsidRPr="00134594">
        <w:rPr>
          <w:rFonts w:eastAsia="Arial Unicode MS"/>
          <w:sz w:val="20"/>
        </w:rPr>
        <w:t>2</w:t>
      </w:r>
      <w:r w:rsidR="00D67E6E">
        <w:rPr>
          <w:rFonts w:eastAsia="Arial Unicode MS"/>
          <w:sz w:val="20"/>
        </w:rPr>
        <w:t>4</w:t>
      </w:r>
      <w:r w:rsidR="00354CE2" w:rsidRPr="00134594">
        <w:rPr>
          <w:rFonts w:eastAsia="Arial Unicode MS"/>
          <w:sz w:val="20"/>
        </w:rPr>
        <w:t xml:space="preserve"> </w:t>
      </w:r>
      <w:r w:rsidRPr="00134594">
        <w:rPr>
          <w:rFonts w:eastAsia="Arial Unicode MS"/>
          <w:sz w:val="20"/>
        </w:rPr>
        <w:t xml:space="preserve">de </w:t>
      </w:r>
      <w:r w:rsidR="00354CE2" w:rsidRPr="00134594">
        <w:rPr>
          <w:rFonts w:eastAsia="Arial Unicode MS"/>
          <w:sz w:val="20"/>
        </w:rPr>
        <w:t>feverei</w:t>
      </w:r>
      <w:r w:rsidRPr="00134594">
        <w:rPr>
          <w:rFonts w:eastAsia="Arial Unicode MS"/>
          <w:sz w:val="20"/>
        </w:rPr>
        <w:t>ro de 202</w:t>
      </w:r>
      <w:r w:rsidR="00354CE2" w:rsidRPr="00134594">
        <w:rPr>
          <w:rFonts w:eastAsia="Arial Unicode MS"/>
          <w:sz w:val="20"/>
        </w:rPr>
        <w:t>6</w:t>
      </w:r>
      <w:r w:rsidRPr="00134594">
        <w:rPr>
          <w:rFonts w:eastAsia="Arial Unicode MS"/>
          <w:sz w:val="20"/>
        </w:rPr>
        <w:t>.</w:t>
      </w:r>
    </w:p>
    <w:p w14:paraId="3BA8C6A5" w14:textId="77777777" w:rsidR="00D60675" w:rsidRPr="00134594" w:rsidRDefault="00D60675" w:rsidP="00134594">
      <w:pPr>
        <w:spacing w:after="0" w:line="240" w:lineRule="auto"/>
        <w:jc w:val="center"/>
        <w:rPr>
          <w:rFonts w:eastAsia="Arial Unicode MS"/>
          <w:sz w:val="20"/>
        </w:rPr>
      </w:pPr>
    </w:p>
    <w:p w14:paraId="50C41D59" w14:textId="77777777" w:rsidR="008C0ACC" w:rsidRPr="00134594" w:rsidRDefault="008C0ACC" w:rsidP="00134594">
      <w:pPr>
        <w:spacing w:after="0" w:line="240" w:lineRule="auto"/>
        <w:jc w:val="center"/>
        <w:rPr>
          <w:rFonts w:eastAsia="Arial Unicode MS"/>
          <w:sz w:val="20"/>
        </w:rPr>
      </w:pPr>
    </w:p>
    <w:p w14:paraId="3C28BDC1" w14:textId="77777777" w:rsidR="00354CE2" w:rsidRPr="00134594" w:rsidRDefault="00354CE2" w:rsidP="00134594">
      <w:pPr>
        <w:spacing w:after="0" w:line="240" w:lineRule="auto"/>
        <w:jc w:val="center"/>
        <w:rPr>
          <w:rFonts w:eastAsia="Arial Unicode MS"/>
          <w:b/>
          <w:sz w:val="20"/>
        </w:rPr>
        <w:sectPr w:rsidR="00354CE2" w:rsidRPr="00134594" w:rsidSect="00D67E6E">
          <w:headerReference w:type="default" r:id="rId7"/>
          <w:footerReference w:type="default" r:id="rId8"/>
          <w:pgSz w:w="11906" w:h="16838"/>
          <w:pgMar w:top="1701" w:right="1134" w:bottom="1276" w:left="1701" w:header="709" w:footer="709" w:gutter="0"/>
          <w:cols w:space="708"/>
          <w:docGrid w:linePitch="360"/>
        </w:sectPr>
      </w:pPr>
    </w:p>
    <w:p w14:paraId="2C34A901" w14:textId="77777777" w:rsidR="008C0ACC" w:rsidRPr="00134594" w:rsidRDefault="008C0ACC" w:rsidP="00134594">
      <w:pPr>
        <w:spacing w:after="0" w:line="240" w:lineRule="auto"/>
        <w:jc w:val="center"/>
        <w:rPr>
          <w:rFonts w:eastAsia="Arial Unicode MS"/>
          <w:b/>
          <w:sz w:val="20"/>
        </w:rPr>
      </w:pPr>
      <w:r w:rsidRPr="00134594">
        <w:rPr>
          <w:rFonts w:eastAsia="Arial Unicode MS"/>
          <w:b/>
          <w:sz w:val="20"/>
        </w:rPr>
        <w:t>UESLEI JOSÉ GARCIA</w:t>
      </w:r>
    </w:p>
    <w:p w14:paraId="7B44552A" w14:textId="77777777" w:rsidR="008C0ACC" w:rsidRPr="00134594" w:rsidRDefault="008C0ACC" w:rsidP="00134594">
      <w:pPr>
        <w:spacing w:after="0" w:line="240" w:lineRule="auto"/>
        <w:jc w:val="center"/>
        <w:rPr>
          <w:rFonts w:eastAsia="Arial Unicode MS"/>
          <w:b/>
          <w:sz w:val="20"/>
        </w:rPr>
      </w:pPr>
      <w:r w:rsidRPr="00134594">
        <w:rPr>
          <w:rFonts w:eastAsia="Arial Unicode MS"/>
          <w:b/>
          <w:sz w:val="20"/>
        </w:rPr>
        <w:t>CHEFE DO SETOR DE COMPRAS</w:t>
      </w:r>
    </w:p>
    <w:p w14:paraId="0784293E" w14:textId="77777777" w:rsidR="008C0ACC" w:rsidRPr="00134594" w:rsidRDefault="008C0ACC" w:rsidP="00134594">
      <w:pPr>
        <w:spacing w:after="0" w:line="240" w:lineRule="auto"/>
        <w:jc w:val="center"/>
        <w:rPr>
          <w:rFonts w:eastAsia="Arial Unicode MS"/>
          <w:b/>
          <w:sz w:val="20"/>
        </w:rPr>
      </w:pPr>
    </w:p>
    <w:p w14:paraId="5DEED156" w14:textId="77777777" w:rsidR="008C0ACC" w:rsidRPr="00134594" w:rsidRDefault="008C0ACC" w:rsidP="00134594">
      <w:pPr>
        <w:spacing w:after="0" w:line="240" w:lineRule="auto"/>
        <w:jc w:val="center"/>
        <w:rPr>
          <w:rFonts w:eastAsia="Arial Unicode MS"/>
          <w:b/>
          <w:sz w:val="20"/>
        </w:rPr>
      </w:pPr>
      <w:r w:rsidRPr="00134594">
        <w:rPr>
          <w:rFonts w:eastAsia="Arial Unicode MS"/>
          <w:b/>
          <w:sz w:val="20"/>
        </w:rPr>
        <w:t>FREDERICO DA SILVA PACHECO</w:t>
      </w:r>
    </w:p>
    <w:p w14:paraId="2DE1A7E9" w14:textId="77777777" w:rsidR="008C0ACC" w:rsidRPr="00134594" w:rsidRDefault="008C0ACC" w:rsidP="00134594">
      <w:pPr>
        <w:spacing w:after="0" w:line="240" w:lineRule="auto"/>
        <w:jc w:val="center"/>
        <w:rPr>
          <w:rFonts w:eastAsia="Arial Unicode MS"/>
          <w:b/>
          <w:sz w:val="20"/>
        </w:rPr>
      </w:pPr>
      <w:r w:rsidRPr="00134594">
        <w:rPr>
          <w:rFonts w:eastAsia="Arial Unicode MS"/>
          <w:b/>
          <w:sz w:val="20"/>
        </w:rPr>
        <w:t>ESTAGIÁRIO</w:t>
      </w:r>
    </w:p>
    <w:p w14:paraId="0204570E" w14:textId="77777777" w:rsidR="00354CE2" w:rsidRPr="00134594" w:rsidRDefault="00354CE2" w:rsidP="00134594">
      <w:pPr>
        <w:spacing w:after="0" w:line="240" w:lineRule="auto"/>
        <w:jc w:val="both"/>
        <w:rPr>
          <w:rFonts w:eastAsia="Arial Unicode MS"/>
          <w:sz w:val="20"/>
        </w:rPr>
        <w:sectPr w:rsidR="00354CE2" w:rsidRPr="00134594" w:rsidSect="00354CE2">
          <w:type w:val="continuous"/>
          <w:pgSz w:w="11906" w:h="16838"/>
          <w:pgMar w:top="1843" w:right="1134" w:bottom="1276" w:left="1701" w:header="709" w:footer="709" w:gutter="0"/>
          <w:cols w:num="2" w:space="708"/>
          <w:docGrid w:linePitch="360"/>
        </w:sectPr>
      </w:pPr>
    </w:p>
    <w:p w14:paraId="47459988" w14:textId="1AE1B7F3" w:rsidR="008C0ACC" w:rsidRPr="00134594" w:rsidRDefault="008C0ACC" w:rsidP="00134594">
      <w:pPr>
        <w:spacing w:after="0" w:line="240" w:lineRule="auto"/>
        <w:ind w:firstLine="708"/>
        <w:jc w:val="both"/>
        <w:rPr>
          <w:rFonts w:eastAsia="Arial Unicode MS"/>
          <w:sz w:val="20"/>
        </w:rPr>
      </w:pPr>
      <w:r w:rsidRPr="00134594">
        <w:rPr>
          <w:rFonts w:eastAsia="Arial Unicode MS"/>
          <w:sz w:val="20"/>
        </w:rPr>
        <w:t>Realizadas as tarefas pertinentes ao ETP, encaminho o documento solicitando ciência e aprovação para posterior</w:t>
      </w:r>
      <w:r w:rsidR="00354CE2" w:rsidRPr="00134594">
        <w:rPr>
          <w:rFonts w:eastAsia="Arial Unicode MS"/>
          <w:sz w:val="20"/>
        </w:rPr>
        <w:t xml:space="preserve"> formalização da contratação</w:t>
      </w:r>
      <w:r w:rsidRPr="00134594">
        <w:rPr>
          <w:rFonts w:eastAsia="Arial Unicode MS"/>
          <w:sz w:val="20"/>
        </w:rPr>
        <w:t>.</w:t>
      </w:r>
    </w:p>
    <w:p w14:paraId="541FE021" w14:textId="77777777" w:rsidR="008C0ACC" w:rsidRPr="00134594" w:rsidRDefault="008C0ACC" w:rsidP="00134594">
      <w:pPr>
        <w:widowControl w:val="0"/>
        <w:spacing w:after="0" w:line="240" w:lineRule="auto"/>
        <w:jc w:val="center"/>
        <w:rPr>
          <w:rFonts w:eastAsia="Arial Unicode MS"/>
          <w:b/>
          <w:bCs/>
          <w:sz w:val="20"/>
          <w:u w:val="single"/>
          <w:lang w:eastAsia="x-non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1"/>
      </w:tblGrid>
      <w:tr w:rsidR="008C0ACC" w:rsidRPr="00134594" w14:paraId="62041BAE" w14:textId="77777777" w:rsidTr="000379E2">
        <w:tc>
          <w:tcPr>
            <w:tcW w:w="9211" w:type="dxa"/>
            <w:tcBorders>
              <w:top w:val="single" w:sz="4" w:space="0" w:color="000000"/>
              <w:left w:val="single" w:sz="4" w:space="0" w:color="000000"/>
              <w:bottom w:val="single" w:sz="4" w:space="0" w:color="000000"/>
              <w:right w:val="single" w:sz="4" w:space="0" w:color="000000"/>
            </w:tcBorders>
          </w:tcPr>
          <w:p w14:paraId="65E63724" w14:textId="77777777" w:rsidR="008C0ACC" w:rsidRPr="00134594" w:rsidRDefault="008C0ACC" w:rsidP="00134594">
            <w:pPr>
              <w:spacing w:after="0" w:line="240" w:lineRule="auto"/>
              <w:jc w:val="center"/>
              <w:rPr>
                <w:rFonts w:eastAsia="Arial Unicode MS"/>
                <w:b/>
                <w:bCs/>
                <w:sz w:val="20"/>
              </w:rPr>
            </w:pPr>
          </w:p>
          <w:p w14:paraId="4BDE4229" w14:textId="77777777" w:rsidR="008C0ACC" w:rsidRPr="00134594" w:rsidRDefault="008C0ACC" w:rsidP="00134594">
            <w:pPr>
              <w:spacing w:after="0" w:line="240" w:lineRule="auto"/>
              <w:jc w:val="center"/>
              <w:rPr>
                <w:rFonts w:eastAsia="Arial Unicode MS"/>
                <w:b/>
                <w:bCs/>
                <w:sz w:val="20"/>
              </w:rPr>
            </w:pPr>
            <w:r w:rsidRPr="00134594">
              <w:rPr>
                <w:rFonts w:eastAsia="Arial Unicode MS"/>
                <w:b/>
                <w:bCs/>
                <w:sz w:val="20"/>
              </w:rPr>
              <w:t>SECRETARIA MUNICIPAL DE ADMINISTRAÇÃO, FAZENDA E PLANEJAMENTO</w:t>
            </w:r>
          </w:p>
          <w:p w14:paraId="289CEFD2" w14:textId="77777777" w:rsidR="008C0ACC" w:rsidRPr="00134594" w:rsidRDefault="008C0ACC" w:rsidP="00134594">
            <w:pPr>
              <w:spacing w:after="0" w:line="240" w:lineRule="auto"/>
              <w:ind w:firstLine="709"/>
              <w:rPr>
                <w:rFonts w:eastAsia="Arial Unicode MS"/>
                <w:sz w:val="20"/>
              </w:rPr>
            </w:pPr>
            <w:r w:rsidRPr="00134594">
              <w:rPr>
                <w:rFonts w:eastAsia="Arial Unicode MS"/>
                <w:sz w:val="20"/>
              </w:rPr>
              <w:t>Parecer conclusivo de ciência e aprovação:</w:t>
            </w:r>
          </w:p>
          <w:p w14:paraId="27A9055C" w14:textId="5FA2894A" w:rsidR="008C0ACC" w:rsidRPr="00134594" w:rsidRDefault="008C0ACC" w:rsidP="00134594">
            <w:pPr>
              <w:spacing w:after="0" w:line="240" w:lineRule="auto"/>
              <w:ind w:firstLine="1156"/>
              <w:rPr>
                <w:rFonts w:eastAsia="Arial Unicode MS"/>
                <w:sz w:val="20"/>
              </w:rPr>
            </w:pPr>
            <w:r w:rsidRPr="00134594">
              <w:rPr>
                <w:rFonts w:eastAsia="Arial Unicode MS"/>
                <w:sz w:val="20"/>
              </w:rPr>
              <w:t>(</w:t>
            </w:r>
            <w:r w:rsidR="009F7F7A" w:rsidRPr="00134594">
              <w:rPr>
                <w:rFonts w:eastAsia="Arial Unicode MS"/>
                <w:sz w:val="20"/>
              </w:rPr>
              <w:t>X</w:t>
            </w:r>
            <w:r w:rsidRPr="00134594">
              <w:rPr>
                <w:rFonts w:eastAsia="Arial Unicode MS"/>
                <w:sz w:val="20"/>
              </w:rPr>
              <w:t>) Defiro; ou</w:t>
            </w:r>
          </w:p>
          <w:p w14:paraId="1A3F6B7F" w14:textId="4E42E01C" w:rsidR="008C0ACC" w:rsidRPr="00134594" w:rsidRDefault="008C0ACC" w:rsidP="00134594">
            <w:pPr>
              <w:spacing w:after="0" w:line="240" w:lineRule="auto"/>
              <w:ind w:firstLine="1156"/>
              <w:rPr>
                <w:rFonts w:eastAsia="Arial Unicode MS"/>
                <w:sz w:val="20"/>
              </w:rPr>
            </w:pPr>
            <w:r w:rsidRPr="00134594">
              <w:rPr>
                <w:rFonts w:eastAsia="Arial Unicode MS"/>
                <w:sz w:val="20"/>
              </w:rPr>
              <w:t>(  ) Indefiro</w:t>
            </w:r>
          </w:p>
          <w:p w14:paraId="0E0BAF25" w14:textId="4DFCEC80" w:rsidR="008C0ACC" w:rsidRPr="00134594" w:rsidRDefault="008C0ACC" w:rsidP="00134594">
            <w:pPr>
              <w:spacing w:after="0" w:line="240" w:lineRule="auto"/>
              <w:ind w:firstLine="709"/>
              <w:rPr>
                <w:rFonts w:eastAsia="Arial Unicode MS"/>
                <w:sz w:val="20"/>
              </w:rPr>
            </w:pPr>
            <w:r w:rsidRPr="00134594">
              <w:rPr>
                <w:rFonts w:eastAsia="Arial Unicode MS"/>
                <w:sz w:val="20"/>
              </w:rPr>
              <w:t xml:space="preserve">Motivar: </w:t>
            </w:r>
            <w:r w:rsidR="009F7F7A" w:rsidRPr="00134594">
              <w:rPr>
                <w:rFonts w:eastAsia="Arial Unicode MS"/>
                <w:sz w:val="20"/>
              </w:rPr>
              <w:t>Após an</w:t>
            </w:r>
            <w:r w:rsidR="0010344E" w:rsidRPr="00134594">
              <w:rPr>
                <w:rFonts w:eastAsia="Arial Unicode MS"/>
                <w:sz w:val="20"/>
              </w:rPr>
              <w:t>á</w:t>
            </w:r>
            <w:r w:rsidR="009F7F7A" w:rsidRPr="00134594">
              <w:rPr>
                <w:rFonts w:eastAsia="Arial Unicode MS"/>
                <w:sz w:val="20"/>
              </w:rPr>
              <w:t>lise e fundamentações postas, defiro a solicitação.</w:t>
            </w:r>
          </w:p>
          <w:p w14:paraId="714AE745" w14:textId="77777777" w:rsidR="008C0ACC" w:rsidRPr="00134594" w:rsidRDefault="008C0ACC" w:rsidP="00134594">
            <w:pPr>
              <w:spacing w:after="0" w:line="240" w:lineRule="auto"/>
              <w:jc w:val="center"/>
              <w:rPr>
                <w:rFonts w:eastAsia="Arial Unicode MS"/>
                <w:sz w:val="20"/>
              </w:rPr>
            </w:pPr>
          </w:p>
          <w:p w14:paraId="6197312F" w14:textId="70D0A499" w:rsidR="008C0ACC" w:rsidRPr="00134594" w:rsidRDefault="008C0ACC" w:rsidP="00134594">
            <w:pPr>
              <w:spacing w:after="0" w:line="240" w:lineRule="auto"/>
              <w:jc w:val="center"/>
              <w:rPr>
                <w:rFonts w:eastAsia="Arial Unicode MS"/>
                <w:sz w:val="20"/>
              </w:rPr>
            </w:pPr>
            <w:r w:rsidRPr="00134594">
              <w:rPr>
                <w:rFonts w:eastAsia="Arial Unicode MS"/>
                <w:sz w:val="20"/>
              </w:rPr>
              <w:t xml:space="preserve">Paverama/RS, </w:t>
            </w:r>
            <w:r w:rsidR="00AA6DFE">
              <w:rPr>
                <w:rFonts w:eastAsia="Arial Unicode MS"/>
                <w:sz w:val="20"/>
              </w:rPr>
              <w:t>2</w:t>
            </w:r>
            <w:r w:rsidR="00D67E6E">
              <w:rPr>
                <w:rFonts w:eastAsia="Arial Unicode MS"/>
                <w:sz w:val="20"/>
              </w:rPr>
              <w:t>4</w:t>
            </w:r>
            <w:r w:rsidRPr="00134594">
              <w:rPr>
                <w:rFonts w:eastAsia="Arial Unicode MS"/>
                <w:sz w:val="20"/>
              </w:rPr>
              <w:t xml:space="preserve"> de </w:t>
            </w:r>
            <w:r w:rsidR="00100C32" w:rsidRPr="00134594">
              <w:rPr>
                <w:rFonts w:eastAsia="Arial Unicode MS"/>
                <w:sz w:val="20"/>
              </w:rPr>
              <w:t>feverei</w:t>
            </w:r>
            <w:r w:rsidRPr="00134594">
              <w:rPr>
                <w:rFonts w:eastAsia="Arial Unicode MS"/>
                <w:sz w:val="20"/>
              </w:rPr>
              <w:t>ro de 202</w:t>
            </w:r>
            <w:r w:rsidR="00100C32" w:rsidRPr="00134594">
              <w:rPr>
                <w:rFonts w:eastAsia="Arial Unicode MS"/>
                <w:sz w:val="20"/>
              </w:rPr>
              <w:t>6</w:t>
            </w:r>
            <w:r w:rsidRPr="00134594">
              <w:rPr>
                <w:rFonts w:eastAsia="Arial Unicode MS"/>
                <w:sz w:val="20"/>
              </w:rPr>
              <w:t>.</w:t>
            </w:r>
          </w:p>
          <w:p w14:paraId="1E820D3F" w14:textId="77777777" w:rsidR="0010344E" w:rsidRPr="00134594" w:rsidRDefault="0010344E" w:rsidP="00D67E6E">
            <w:pPr>
              <w:widowControl w:val="0"/>
              <w:spacing w:after="0" w:line="240" w:lineRule="auto"/>
              <w:rPr>
                <w:rFonts w:eastAsia="Arial Unicode MS"/>
                <w:b/>
                <w:bCs/>
                <w:sz w:val="20"/>
              </w:rPr>
            </w:pPr>
          </w:p>
          <w:p w14:paraId="693567CC" w14:textId="77777777" w:rsidR="0010344E" w:rsidRPr="00134594" w:rsidRDefault="0010344E" w:rsidP="00134594">
            <w:pPr>
              <w:widowControl w:val="0"/>
              <w:spacing w:after="0" w:line="240" w:lineRule="auto"/>
              <w:jc w:val="center"/>
              <w:rPr>
                <w:rFonts w:eastAsia="Arial Unicode MS"/>
                <w:b/>
                <w:bCs/>
                <w:sz w:val="20"/>
              </w:rPr>
            </w:pPr>
          </w:p>
          <w:p w14:paraId="43156A9C" w14:textId="77777777" w:rsidR="008C0ACC" w:rsidRPr="00134594" w:rsidRDefault="008C0ACC" w:rsidP="00134594">
            <w:pPr>
              <w:widowControl w:val="0"/>
              <w:spacing w:after="0" w:line="240" w:lineRule="auto"/>
              <w:jc w:val="center"/>
              <w:rPr>
                <w:rFonts w:eastAsia="Arial Unicode MS"/>
                <w:b/>
                <w:bCs/>
                <w:sz w:val="20"/>
                <w:lang w:eastAsia="x-none"/>
              </w:rPr>
            </w:pPr>
            <w:r w:rsidRPr="00134594">
              <w:rPr>
                <w:rFonts w:eastAsia="Arial Unicode MS"/>
                <w:b/>
                <w:bCs/>
                <w:sz w:val="20"/>
                <w:lang w:eastAsia="x-none"/>
              </w:rPr>
              <w:t>ALEXANDRE LUÍS KLEBER</w:t>
            </w:r>
          </w:p>
          <w:p w14:paraId="68AA22C0" w14:textId="43B20E45" w:rsidR="008C0ACC" w:rsidRPr="00134594" w:rsidRDefault="008C0ACC" w:rsidP="00D67E6E">
            <w:pPr>
              <w:widowControl w:val="0"/>
              <w:spacing w:after="0" w:line="240" w:lineRule="auto"/>
              <w:jc w:val="center"/>
              <w:rPr>
                <w:rFonts w:eastAsia="Arial Unicode MS"/>
                <w:b/>
                <w:bCs/>
                <w:sz w:val="20"/>
                <w:lang w:eastAsia="x-none"/>
              </w:rPr>
            </w:pPr>
            <w:r w:rsidRPr="00134594">
              <w:rPr>
                <w:rFonts w:eastAsia="Arial Unicode MS"/>
                <w:b/>
                <w:bCs/>
                <w:sz w:val="20"/>
                <w:lang w:eastAsia="x-none"/>
              </w:rPr>
              <w:t>Secretário Municipal de Administração, Fazenda e Planejamento</w:t>
            </w:r>
          </w:p>
        </w:tc>
      </w:tr>
    </w:tbl>
    <w:p w14:paraId="52A6CCAF" w14:textId="77777777" w:rsidR="00E762DA" w:rsidRPr="00134594" w:rsidRDefault="00E762DA" w:rsidP="00134594">
      <w:pPr>
        <w:spacing w:after="0" w:line="240" w:lineRule="auto"/>
        <w:jc w:val="both"/>
        <w:rPr>
          <w:rFonts w:eastAsia="Arial Unicode MS"/>
          <w:sz w:val="20"/>
        </w:rPr>
      </w:pPr>
    </w:p>
    <w:sectPr w:rsidR="00E762DA" w:rsidRPr="00134594" w:rsidSect="00354CE2">
      <w:type w:val="continuous"/>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FBB64" w14:textId="77777777" w:rsidR="00B92C9D" w:rsidRDefault="00B92C9D">
      <w:pPr>
        <w:spacing w:after="0" w:line="240" w:lineRule="auto"/>
      </w:pPr>
      <w:r>
        <w:separator/>
      </w:r>
    </w:p>
  </w:endnote>
  <w:endnote w:type="continuationSeparator" w:id="0">
    <w:p w14:paraId="0A3EC190" w14:textId="77777777" w:rsidR="00B92C9D" w:rsidRDefault="00B92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6D8D8" w14:textId="77777777" w:rsidR="00CC2FEC" w:rsidRDefault="0007260B">
    <w:pPr>
      <w:pStyle w:val="Rodap"/>
    </w:pPr>
    <w:r>
      <w:rPr>
        <w:noProof/>
      </w:rPr>
      <w:drawing>
        <wp:anchor distT="0" distB="0" distL="114300" distR="114300" simplePos="0" relativeHeight="251660288" behindDoc="1" locked="0" layoutInCell="1" allowOverlap="1" wp14:anchorId="4CD915E5" wp14:editId="1AB37E4D">
          <wp:simplePos x="0" y="0"/>
          <wp:positionH relativeFrom="margin">
            <wp:align>center</wp:align>
          </wp:positionH>
          <wp:positionV relativeFrom="paragraph">
            <wp:posOffset>-30235</wp:posOffset>
          </wp:positionV>
          <wp:extent cx="4714240" cy="781050"/>
          <wp:effectExtent l="0" t="0" r="0" b="0"/>
          <wp:wrapNone/>
          <wp:docPr id="1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14240" cy="781050"/>
                  </a:xfrm>
                  <a:prstGeom prst="rect">
                    <a:avLst/>
                  </a:prstGeom>
                  <a:noFill/>
                </pic:spPr>
              </pic:pic>
            </a:graphicData>
          </a:graphic>
          <wp14:sizeRelH relativeFrom="page">
            <wp14:pctWidth>0</wp14:pctWidth>
          </wp14:sizeRelH>
          <wp14:sizeRelV relativeFrom="page">
            <wp14:pctHeight>0</wp14:pctHeight>
          </wp14:sizeRelV>
        </wp:anchor>
      </w:drawing>
    </w:r>
  </w:p>
  <w:p w14:paraId="14E9987C" w14:textId="77777777" w:rsidR="00CC2FEC" w:rsidRDefault="00CC2F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D33D37" w14:textId="77777777" w:rsidR="00B92C9D" w:rsidRDefault="00B92C9D">
      <w:pPr>
        <w:spacing w:after="0" w:line="240" w:lineRule="auto"/>
      </w:pPr>
      <w:r>
        <w:separator/>
      </w:r>
    </w:p>
  </w:footnote>
  <w:footnote w:type="continuationSeparator" w:id="0">
    <w:p w14:paraId="373DEB54" w14:textId="77777777" w:rsidR="00B92C9D" w:rsidRDefault="00B92C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DBEBE" w14:textId="77777777" w:rsidR="00CC2FEC" w:rsidRDefault="00CC2FEC">
    <w:pPr>
      <w:pStyle w:val="Cabealho"/>
    </w:pPr>
    <w:r>
      <w:rPr>
        <w:noProof/>
        <w:lang w:eastAsia="pt-BR"/>
      </w:rPr>
      <w:drawing>
        <wp:anchor distT="0" distB="0" distL="114300" distR="114300" simplePos="0" relativeHeight="251659264" behindDoc="1" locked="0" layoutInCell="1" allowOverlap="1" wp14:anchorId="3CCCC4AA" wp14:editId="17B3452C">
          <wp:simplePos x="0" y="0"/>
          <wp:positionH relativeFrom="margin">
            <wp:align>center</wp:align>
          </wp:positionH>
          <wp:positionV relativeFrom="paragraph">
            <wp:posOffset>-361950</wp:posOffset>
          </wp:positionV>
          <wp:extent cx="4381500" cy="981710"/>
          <wp:effectExtent l="0" t="0" r="0" b="889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981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0B75EF" w14:textId="77777777" w:rsidR="00CC2FEC" w:rsidRDefault="00CC2F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611BFD"/>
    <w:multiLevelType w:val="hybridMultilevel"/>
    <w:tmpl w:val="BC0A73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4505089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2CA"/>
    <w:rsid w:val="00002DF3"/>
    <w:rsid w:val="00005532"/>
    <w:rsid w:val="000254E2"/>
    <w:rsid w:val="00037BAF"/>
    <w:rsid w:val="00051D95"/>
    <w:rsid w:val="00054310"/>
    <w:rsid w:val="00061ECF"/>
    <w:rsid w:val="000648A3"/>
    <w:rsid w:val="0007260B"/>
    <w:rsid w:val="000829DF"/>
    <w:rsid w:val="000830A4"/>
    <w:rsid w:val="00090694"/>
    <w:rsid w:val="00095AF3"/>
    <w:rsid w:val="000A4C62"/>
    <w:rsid w:val="000C6178"/>
    <w:rsid w:val="000D355E"/>
    <w:rsid w:val="00100C32"/>
    <w:rsid w:val="0010344E"/>
    <w:rsid w:val="00134594"/>
    <w:rsid w:val="00140BED"/>
    <w:rsid w:val="001416D1"/>
    <w:rsid w:val="001433DA"/>
    <w:rsid w:val="001453C1"/>
    <w:rsid w:val="0014751F"/>
    <w:rsid w:val="00173EB2"/>
    <w:rsid w:val="00186683"/>
    <w:rsid w:val="00193F18"/>
    <w:rsid w:val="00195E10"/>
    <w:rsid w:val="001A40F7"/>
    <w:rsid w:val="001A518A"/>
    <w:rsid w:val="001B2EEA"/>
    <w:rsid w:val="001B6F41"/>
    <w:rsid w:val="001C786C"/>
    <w:rsid w:val="00217597"/>
    <w:rsid w:val="00231D1D"/>
    <w:rsid w:val="00242D32"/>
    <w:rsid w:val="00244ED4"/>
    <w:rsid w:val="00254015"/>
    <w:rsid w:val="00275D93"/>
    <w:rsid w:val="002811DE"/>
    <w:rsid w:val="00290E5C"/>
    <w:rsid w:val="00295590"/>
    <w:rsid w:val="002969B7"/>
    <w:rsid w:val="002A64AC"/>
    <w:rsid w:val="002A6584"/>
    <w:rsid w:val="002B36DE"/>
    <w:rsid w:val="002C1128"/>
    <w:rsid w:val="002F1231"/>
    <w:rsid w:val="002F758D"/>
    <w:rsid w:val="00314449"/>
    <w:rsid w:val="00337414"/>
    <w:rsid w:val="0034161A"/>
    <w:rsid w:val="00351B14"/>
    <w:rsid w:val="00354B4D"/>
    <w:rsid w:val="00354CE2"/>
    <w:rsid w:val="003619F0"/>
    <w:rsid w:val="00382B99"/>
    <w:rsid w:val="00391F04"/>
    <w:rsid w:val="00393F3F"/>
    <w:rsid w:val="004301F5"/>
    <w:rsid w:val="004377BA"/>
    <w:rsid w:val="004429CB"/>
    <w:rsid w:val="0045591F"/>
    <w:rsid w:val="0046337F"/>
    <w:rsid w:val="004720CF"/>
    <w:rsid w:val="00472BC9"/>
    <w:rsid w:val="00477F4D"/>
    <w:rsid w:val="00486D6B"/>
    <w:rsid w:val="004979DA"/>
    <w:rsid w:val="004979FD"/>
    <w:rsid w:val="004A0DDD"/>
    <w:rsid w:val="004A3D98"/>
    <w:rsid w:val="004C2B75"/>
    <w:rsid w:val="005074A0"/>
    <w:rsid w:val="0051464A"/>
    <w:rsid w:val="005170D1"/>
    <w:rsid w:val="00532970"/>
    <w:rsid w:val="0053719A"/>
    <w:rsid w:val="0054574C"/>
    <w:rsid w:val="00565429"/>
    <w:rsid w:val="005676AE"/>
    <w:rsid w:val="0059033B"/>
    <w:rsid w:val="00595D67"/>
    <w:rsid w:val="0059715D"/>
    <w:rsid w:val="005A2ED6"/>
    <w:rsid w:val="005B7CDE"/>
    <w:rsid w:val="005C0BB8"/>
    <w:rsid w:val="005D6994"/>
    <w:rsid w:val="005E4F41"/>
    <w:rsid w:val="00601C03"/>
    <w:rsid w:val="00621D5A"/>
    <w:rsid w:val="0062287B"/>
    <w:rsid w:val="00631468"/>
    <w:rsid w:val="00652F36"/>
    <w:rsid w:val="00655D89"/>
    <w:rsid w:val="006627E2"/>
    <w:rsid w:val="00676535"/>
    <w:rsid w:val="00681EF9"/>
    <w:rsid w:val="00683BCF"/>
    <w:rsid w:val="00685C47"/>
    <w:rsid w:val="006A130A"/>
    <w:rsid w:val="006A1544"/>
    <w:rsid w:val="006B017F"/>
    <w:rsid w:val="006B01EB"/>
    <w:rsid w:val="006B2F9C"/>
    <w:rsid w:val="006E0F08"/>
    <w:rsid w:val="006E786C"/>
    <w:rsid w:val="0073230F"/>
    <w:rsid w:val="00733F97"/>
    <w:rsid w:val="00741A2C"/>
    <w:rsid w:val="007534F0"/>
    <w:rsid w:val="007536E3"/>
    <w:rsid w:val="00762AD8"/>
    <w:rsid w:val="007805B9"/>
    <w:rsid w:val="0078281B"/>
    <w:rsid w:val="00795ECA"/>
    <w:rsid w:val="007B1F19"/>
    <w:rsid w:val="007C46A4"/>
    <w:rsid w:val="007D2FB8"/>
    <w:rsid w:val="007E76DC"/>
    <w:rsid w:val="007F25A5"/>
    <w:rsid w:val="008327CD"/>
    <w:rsid w:val="00837C8F"/>
    <w:rsid w:val="00862BB7"/>
    <w:rsid w:val="008704AA"/>
    <w:rsid w:val="00870CE2"/>
    <w:rsid w:val="00880582"/>
    <w:rsid w:val="008A6408"/>
    <w:rsid w:val="008B00BF"/>
    <w:rsid w:val="008C0ACC"/>
    <w:rsid w:val="008C6D6F"/>
    <w:rsid w:val="008D1473"/>
    <w:rsid w:val="008D5866"/>
    <w:rsid w:val="008D6BAF"/>
    <w:rsid w:val="008F32AD"/>
    <w:rsid w:val="008F742D"/>
    <w:rsid w:val="009020FF"/>
    <w:rsid w:val="009156DA"/>
    <w:rsid w:val="009264B9"/>
    <w:rsid w:val="00955914"/>
    <w:rsid w:val="009914EE"/>
    <w:rsid w:val="00995344"/>
    <w:rsid w:val="009A45E7"/>
    <w:rsid w:val="009B6FCB"/>
    <w:rsid w:val="009C71B0"/>
    <w:rsid w:val="009F7F7A"/>
    <w:rsid w:val="00A060D4"/>
    <w:rsid w:val="00A11551"/>
    <w:rsid w:val="00A16E5E"/>
    <w:rsid w:val="00A26C15"/>
    <w:rsid w:val="00A45C9D"/>
    <w:rsid w:val="00A564F4"/>
    <w:rsid w:val="00AA6DFE"/>
    <w:rsid w:val="00AA7742"/>
    <w:rsid w:val="00AB1D36"/>
    <w:rsid w:val="00AB1FBD"/>
    <w:rsid w:val="00AB3C11"/>
    <w:rsid w:val="00AC54FB"/>
    <w:rsid w:val="00AC7E05"/>
    <w:rsid w:val="00AE0D8A"/>
    <w:rsid w:val="00AE4ECF"/>
    <w:rsid w:val="00B03EEE"/>
    <w:rsid w:val="00B36009"/>
    <w:rsid w:val="00B579C9"/>
    <w:rsid w:val="00B61CE8"/>
    <w:rsid w:val="00B81197"/>
    <w:rsid w:val="00B92C9D"/>
    <w:rsid w:val="00BB5D4D"/>
    <w:rsid w:val="00BC0A7F"/>
    <w:rsid w:val="00BD425B"/>
    <w:rsid w:val="00BE12DA"/>
    <w:rsid w:val="00BE1B96"/>
    <w:rsid w:val="00BE2FD9"/>
    <w:rsid w:val="00C026FA"/>
    <w:rsid w:val="00C04DEF"/>
    <w:rsid w:val="00C25C8F"/>
    <w:rsid w:val="00C41A32"/>
    <w:rsid w:val="00C4718B"/>
    <w:rsid w:val="00C62440"/>
    <w:rsid w:val="00C720FA"/>
    <w:rsid w:val="00C767AA"/>
    <w:rsid w:val="00C84007"/>
    <w:rsid w:val="00C97D9E"/>
    <w:rsid w:val="00CA6663"/>
    <w:rsid w:val="00CA7843"/>
    <w:rsid w:val="00CC2FEC"/>
    <w:rsid w:val="00CC77C0"/>
    <w:rsid w:val="00CC780A"/>
    <w:rsid w:val="00CE1738"/>
    <w:rsid w:val="00CE347D"/>
    <w:rsid w:val="00D45F05"/>
    <w:rsid w:val="00D569BA"/>
    <w:rsid w:val="00D60675"/>
    <w:rsid w:val="00D65BC3"/>
    <w:rsid w:val="00D67E6E"/>
    <w:rsid w:val="00D70A66"/>
    <w:rsid w:val="00D76F99"/>
    <w:rsid w:val="00D772CA"/>
    <w:rsid w:val="00D7782D"/>
    <w:rsid w:val="00D85B36"/>
    <w:rsid w:val="00DA1A29"/>
    <w:rsid w:val="00DA452F"/>
    <w:rsid w:val="00DC6860"/>
    <w:rsid w:val="00DD353E"/>
    <w:rsid w:val="00DE3893"/>
    <w:rsid w:val="00DE3CB0"/>
    <w:rsid w:val="00DE3FC8"/>
    <w:rsid w:val="00E02FFC"/>
    <w:rsid w:val="00E069BF"/>
    <w:rsid w:val="00E11E43"/>
    <w:rsid w:val="00E17DCF"/>
    <w:rsid w:val="00E21276"/>
    <w:rsid w:val="00E21CD5"/>
    <w:rsid w:val="00E31DA2"/>
    <w:rsid w:val="00E413A7"/>
    <w:rsid w:val="00E51BC4"/>
    <w:rsid w:val="00E6249E"/>
    <w:rsid w:val="00E6668F"/>
    <w:rsid w:val="00E71A16"/>
    <w:rsid w:val="00E74D59"/>
    <w:rsid w:val="00E762DA"/>
    <w:rsid w:val="00E7710C"/>
    <w:rsid w:val="00EA150E"/>
    <w:rsid w:val="00EB75BA"/>
    <w:rsid w:val="00EC3CEA"/>
    <w:rsid w:val="00EE2FAC"/>
    <w:rsid w:val="00F06D06"/>
    <w:rsid w:val="00F34550"/>
    <w:rsid w:val="00F46594"/>
    <w:rsid w:val="00F526D5"/>
    <w:rsid w:val="00F67A4E"/>
    <w:rsid w:val="00F85573"/>
    <w:rsid w:val="00F931ED"/>
    <w:rsid w:val="00FA0B37"/>
    <w:rsid w:val="00FA63D2"/>
    <w:rsid w:val="00FB2ACD"/>
    <w:rsid w:val="00FC3550"/>
    <w:rsid w:val="00FC5356"/>
    <w:rsid w:val="00FC67DF"/>
    <w:rsid w:val="00FC7AFE"/>
    <w:rsid w:val="00FE2E87"/>
    <w:rsid w:val="00FF70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6DA66"/>
  <w15:chartTrackingRefBased/>
  <w15:docId w15:val="{1FB07FDF-F23A-45FD-ADAB-BD955E337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Theme="minorHAnsi" w:hAnsi="Arial Unicode MS" w:cs="Arial Unicode MS"/>
        <w:iCs/>
        <w:sz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CabealhoChar">
    <w:name w:val="Cabeçalho Char"/>
    <w:basedOn w:val="Fontepargpadro"/>
    <w:link w:val="Cabealho"/>
    <w:uiPriority w:val="99"/>
    <w:rsid w:val="00D772CA"/>
    <w:rPr>
      <w:rFonts w:ascii="Calibri" w:eastAsia="Calibri" w:hAnsi="Calibri" w:cs="Times New Roman"/>
      <w:iCs w:val="0"/>
      <w:szCs w:val="22"/>
    </w:rPr>
  </w:style>
  <w:style w:type="paragraph" w:styleId="Rodap">
    <w:name w:val="footer"/>
    <w:basedOn w:val="Normal"/>
    <w:link w:val="RodapChar"/>
    <w:uiPriority w:val="99"/>
    <w:unhideWhenUsed/>
    <w:rsid w:val="00D772CA"/>
    <w:pPr>
      <w:tabs>
        <w:tab w:val="center" w:pos="4252"/>
        <w:tab w:val="right" w:pos="8504"/>
      </w:tabs>
      <w:spacing w:after="0" w:line="240" w:lineRule="auto"/>
    </w:pPr>
    <w:rPr>
      <w:rFonts w:ascii="Calibri" w:eastAsia="Calibri" w:hAnsi="Calibri" w:cs="Times New Roman"/>
      <w:iCs w:val="0"/>
      <w:szCs w:val="22"/>
    </w:rPr>
  </w:style>
  <w:style w:type="character" w:customStyle="1" w:styleId="RodapChar">
    <w:name w:val="Rodapé Char"/>
    <w:basedOn w:val="Fontepargpadro"/>
    <w:link w:val="Rodap"/>
    <w:uiPriority w:val="99"/>
    <w:rsid w:val="00D772CA"/>
    <w:rPr>
      <w:rFonts w:ascii="Calibri" w:eastAsia="Calibri" w:hAnsi="Calibri" w:cs="Times New Roman"/>
      <w:iCs w:val="0"/>
      <w:szCs w:val="22"/>
    </w:rPr>
  </w:style>
  <w:style w:type="character" w:styleId="Hyperlink">
    <w:name w:val="Hyperlink"/>
    <w:uiPriority w:val="99"/>
    <w:rsid w:val="00D772CA"/>
    <w:rPr>
      <w:color w:val="0000FF"/>
      <w:u w:val="single"/>
    </w:rPr>
  </w:style>
  <w:style w:type="table" w:styleId="Tabelacomgrade">
    <w:name w:val="Table Grid"/>
    <w:basedOn w:val="Tabelanormal"/>
    <w:uiPriority w:val="59"/>
    <w:rsid w:val="0045591F"/>
    <w:pPr>
      <w:spacing w:after="0" w:line="240" w:lineRule="auto"/>
      <w:jc w:val="center"/>
    </w:pPr>
    <w:rPr>
      <w:rFonts w:asciiTheme="minorHAnsi" w:hAnsiTheme="minorHAnsi" w:cstheme="minorBidi"/>
      <w:i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rsid w:val="00DA1A29"/>
    <w:pPr>
      <w:ind w:left="720"/>
      <w:contextualSpacing/>
    </w:pPr>
  </w:style>
  <w:style w:type="character" w:styleId="MenoPendente">
    <w:name w:val="Unresolved Mention"/>
    <w:basedOn w:val="Fontepargpadro"/>
    <w:uiPriority w:val="99"/>
    <w:semiHidden/>
    <w:unhideWhenUsed/>
    <w:rsid w:val="00C97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2782">
      <w:bodyDiv w:val="1"/>
      <w:marLeft w:val="0"/>
      <w:marRight w:val="0"/>
      <w:marTop w:val="0"/>
      <w:marBottom w:val="0"/>
      <w:divBdr>
        <w:top w:val="none" w:sz="0" w:space="0" w:color="auto"/>
        <w:left w:val="none" w:sz="0" w:space="0" w:color="auto"/>
        <w:bottom w:val="none" w:sz="0" w:space="0" w:color="auto"/>
        <w:right w:val="none" w:sz="0" w:space="0" w:color="auto"/>
      </w:divBdr>
    </w:div>
    <w:div w:id="185992371">
      <w:bodyDiv w:val="1"/>
      <w:marLeft w:val="0"/>
      <w:marRight w:val="0"/>
      <w:marTop w:val="0"/>
      <w:marBottom w:val="0"/>
      <w:divBdr>
        <w:top w:val="none" w:sz="0" w:space="0" w:color="auto"/>
        <w:left w:val="none" w:sz="0" w:space="0" w:color="auto"/>
        <w:bottom w:val="none" w:sz="0" w:space="0" w:color="auto"/>
        <w:right w:val="none" w:sz="0" w:space="0" w:color="auto"/>
      </w:divBdr>
    </w:div>
    <w:div w:id="321468088">
      <w:bodyDiv w:val="1"/>
      <w:marLeft w:val="0"/>
      <w:marRight w:val="0"/>
      <w:marTop w:val="0"/>
      <w:marBottom w:val="0"/>
      <w:divBdr>
        <w:top w:val="none" w:sz="0" w:space="0" w:color="auto"/>
        <w:left w:val="none" w:sz="0" w:space="0" w:color="auto"/>
        <w:bottom w:val="none" w:sz="0" w:space="0" w:color="auto"/>
        <w:right w:val="none" w:sz="0" w:space="0" w:color="auto"/>
      </w:divBdr>
    </w:div>
    <w:div w:id="459958092">
      <w:bodyDiv w:val="1"/>
      <w:marLeft w:val="0"/>
      <w:marRight w:val="0"/>
      <w:marTop w:val="0"/>
      <w:marBottom w:val="0"/>
      <w:divBdr>
        <w:top w:val="none" w:sz="0" w:space="0" w:color="auto"/>
        <w:left w:val="none" w:sz="0" w:space="0" w:color="auto"/>
        <w:bottom w:val="none" w:sz="0" w:space="0" w:color="auto"/>
        <w:right w:val="none" w:sz="0" w:space="0" w:color="auto"/>
      </w:divBdr>
    </w:div>
    <w:div w:id="487210809">
      <w:bodyDiv w:val="1"/>
      <w:marLeft w:val="0"/>
      <w:marRight w:val="0"/>
      <w:marTop w:val="0"/>
      <w:marBottom w:val="0"/>
      <w:divBdr>
        <w:top w:val="none" w:sz="0" w:space="0" w:color="auto"/>
        <w:left w:val="none" w:sz="0" w:space="0" w:color="auto"/>
        <w:bottom w:val="none" w:sz="0" w:space="0" w:color="auto"/>
        <w:right w:val="none" w:sz="0" w:space="0" w:color="auto"/>
      </w:divBdr>
    </w:div>
    <w:div w:id="496261947">
      <w:bodyDiv w:val="1"/>
      <w:marLeft w:val="0"/>
      <w:marRight w:val="0"/>
      <w:marTop w:val="0"/>
      <w:marBottom w:val="0"/>
      <w:divBdr>
        <w:top w:val="none" w:sz="0" w:space="0" w:color="auto"/>
        <w:left w:val="none" w:sz="0" w:space="0" w:color="auto"/>
        <w:bottom w:val="none" w:sz="0" w:space="0" w:color="auto"/>
        <w:right w:val="none" w:sz="0" w:space="0" w:color="auto"/>
      </w:divBdr>
    </w:div>
    <w:div w:id="718090889">
      <w:bodyDiv w:val="1"/>
      <w:marLeft w:val="0"/>
      <w:marRight w:val="0"/>
      <w:marTop w:val="0"/>
      <w:marBottom w:val="0"/>
      <w:divBdr>
        <w:top w:val="none" w:sz="0" w:space="0" w:color="auto"/>
        <w:left w:val="none" w:sz="0" w:space="0" w:color="auto"/>
        <w:bottom w:val="none" w:sz="0" w:space="0" w:color="auto"/>
        <w:right w:val="none" w:sz="0" w:space="0" w:color="auto"/>
      </w:divBdr>
    </w:div>
    <w:div w:id="757092104">
      <w:bodyDiv w:val="1"/>
      <w:marLeft w:val="0"/>
      <w:marRight w:val="0"/>
      <w:marTop w:val="0"/>
      <w:marBottom w:val="0"/>
      <w:divBdr>
        <w:top w:val="none" w:sz="0" w:space="0" w:color="auto"/>
        <w:left w:val="none" w:sz="0" w:space="0" w:color="auto"/>
        <w:bottom w:val="none" w:sz="0" w:space="0" w:color="auto"/>
        <w:right w:val="none" w:sz="0" w:space="0" w:color="auto"/>
      </w:divBdr>
    </w:div>
    <w:div w:id="788663811">
      <w:bodyDiv w:val="1"/>
      <w:marLeft w:val="0"/>
      <w:marRight w:val="0"/>
      <w:marTop w:val="0"/>
      <w:marBottom w:val="0"/>
      <w:divBdr>
        <w:top w:val="none" w:sz="0" w:space="0" w:color="auto"/>
        <w:left w:val="none" w:sz="0" w:space="0" w:color="auto"/>
        <w:bottom w:val="none" w:sz="0" w:space="0" w:color="auto"/>
        <w:right w:val="none" w:sz="0" w:space="0" w:color="auto"/>
      </w:divBdr>
    </w:div>
    <w:div w:id="808134099">
      <w:bodyDiv w:val="1"/>
      <w:marLeft w:val="0"/>
      <w:marRight w:val="0"/>
      <w:marTop w:val="0"/>
      <w:marBottom w:val="0"/>
      <w:divBdr>
        <w:top w:val="none" w:sz="0" w:space="0" w:color="auto"/>
        <w:left w:val="none" w:sz="0" w:space="0" w:color="auto"/>
        <w:bottom w:val="none" w:sz="0" w:space="0" w:color="auto"/>
        <w:right w:val="none" w:sz="0" w:space="0" w:color="auto"/>
      </w:divBdr>
    </w:div>
    <w:div w:id="843323313">
      <w:bodyDiv w:val="1"/>
      <w:marLeft w:val="0"/>
      <w:marRight w:val="0"/>
      <w:marTop w:val="0"/>
      <w:marBottom w:val="0"/>
      <w:divBdr>
        <w:top w:val="none" w:sz="0" w:space="0" w:color="auto"/>
        <w:left w:val="none" w:sz="0" w:space="0" w:color="auto"/>
        <w:bottom w:val="none" w:sz="0" w:space="0" w:color="auto"/>
        <w:right w:val="none" w:sz="0" w:space="0" w:color="auto"/>
      </w:divBdr>
    </w:div>
    <w:div w:id="855577640">
      <w:bodyDiv w:val="1"/>
      <w:marLeft w:val="0"/>
      <w:marRight w:val="0"/>
      <w:marTop w:val="0"/>
      <w:marBottom w:val="0"/>
      <w:divBdr>
        <w:top w:val="none" w:sz="0" w:space="0" w:color="auto"/>
        <w:left w:val="none" w:sz="0" w:space="0" w:color="auto"/>
        <w:bottom w:val="none" w:sz="0" w:space="0" w:color="auto"/>
        <w:right w:val="none" w:sz="0" w:space="0" w:color="auto"/>
      </w:divBdr>
    </w:div>
    <w:div w:id="916941990">
      <w:bodyDiv w:val="1"/>
      <w:marLeft w:val="0"/>
      <w:marRight w:val="0"/>
      <w:marTop w:val="0"/>
      <w:marBottom w:val="0"/>
      <w:divBdr>
        <w:top w:val="none" w:sz="0" w:space="0" w:color="auto"/>
        <w:left w:val="none" w:sz="0" w:space="0" w:color="auto"/>
        <w:bottom w:val="none" w:sz="0" w:space="0" w:color="auto"/>
        <w:right w:val="none" w:sz="0" w:space="0" w:color="auto"/>
      </w:divBdr>
    </w:div>
    <w:div w:id="927466328">
      <w:bodyDiv w:val="1"/>
      <w:marLeft w:val="0"/>
      <w:marRight w:val="0"/>
      <w:marTop w:val="0"/>
      <w:marBottom w:val="0"/>
      <w:divBdr>
        <w:top w:val="none" w:sz="0" w:space="0" w:color="auto"/>
        <w:left w:val="none" w:sz="0" w:space="0" w:color="auto"/>
        <w:bottom w:val="none" w:sz="0" w:space="0" w:color="auto"/>
        <w:right w:val="none" w:sz="0" w:space="0" w:color="auto"/>
      </w:divBdr>
    </w:div>
    <w:div w:id="933823954">
      <w:bodyDiv w:val="1"/>
      <w:marLeft w:val="0"/>
      <w:marRight w:val="0"/>
      <w:marTop w:val="0"/>
      <w:marBottom w:val="0"/>
      <w:divBdr>
        <w:top w:val="none" w:sz="0" w:space="0" w:color="auto"/>
        <w:left w:val="none" w:sz="0" w:space="0" w:color="auto"/>
        <w:bottom w:val="none" w:sz="0" w:space="0" w:color="auto"/>
        <w:right w:val="none" w:sz="0" w:space="0" w:color="auto"/>
      </w:divBdr>
    </w:div>
    <w:div w:id="1073504916">
      <w:bodyDiv w:val="1"/>
      <w:marLeft w:val="0"/>
      <w:marRight w:val="0"/>
      <w:marTop w:val="0"/>
      <w:marBottom w:val="0"/>
      <w:divBdr>
        <w:top w:val="none" w:sz="0" w:space="0" w:color="auto"/>
        <w:left w:val="none" w:sz="0" w:space="0" w:color="auto"/>
        <w:bottom w:val="none" w:sz="0" w:space="0" w:color="auto"/>
        <w:right w:val="none" w:sz="0" w:space="0" w:color="auto"/>
      </w:divBdr>
    </w:div>
    <w:div w:id="1120493169">
      <w:bodyDiv w:val="1"/>
      <w:marLeft w:val="0"/>
      <w:marRight w:val="0"/>
      <w:marTop w:val="0"/>
      <w:marBottom w:val="0"/>
      <w:divBdr>
        <w:top w:val="none" w:sz="0" w:space="0" w:color="auto"/>
        <w:left w:val="none" w:sz="0" w:space="0" w:color="auto"/>
        <w:bottom w:val="none" w:sz="0" w:space="0" w:color="auto"/>
        <w:right w:val="none" w:sz="0" w:space="0" w:color="auto"/>
      </w:divBdr>
    </w:div>
    <w:div w:id="1123309576">
      <w:bodyDiv w:val="1"/>
      <w:marLeft w:val="0"/>
      <w:marRight w:val="0"/>
      <w:marTop w:val="0"/>
      <w:marBottom w:val="0"/>
      <w:divBdr>
        <w:top w:val="none" w:sz="0" w:space="0" w:color="auto"/>
        <w:left w:val="none" w:sz="0" w:space="0" w:color="auto"/>
        <w:bottom w:val="none" w:sz="0" w:space="0" w:color="auto"/>
        <w:right w:val="none" w:sz="0" w:space="0" w:color="auto"/>
      </w:divBdr>
    </w:div>
    <w:div w:id="1135374868">
      <w:bodyDiv w:val="1"/>
      <w:marLeft w:val="0"/>
      <w:marRight w:val="0"/>
      <w:marTop w:val="0"/>
      <w:marBottom w:val="0"/>
      <w:divBdr>
        <w:top w:val="none" w:sz="0" w:space="0" w:color="auto"/>
        <w:left w:val="none" w:sz="0" w:space="0" w:color="auto"/>
        <w:bottom w:val="none" w:sz="0" w:space="0" w:color="auto"/>
        <w:right w:val="none" w:sz="0" w:space="0" w:color="auto"/>
      </w:divBdr>
    </w:div>
    <w:div w:id="1140341124">
      <w:bodyDiv w:val="1"/>
      <w:marLeft w:val="0"/>
      <w:marRight w:val="0"/>
      <w:marTop w:val="0"/>
      <w:marBottom w:val="0"/>
      <w:divBdr>
        <w:top w:val="none" w:sz="0" w:space="0" w:color="auto"/>
        <w:left w:val="none" w:sz="0" w:space="0" w:color="auto"/>
        <w:bottom w:val="none" w:sz="0" w:space="0" w:color="auto"/>
        <w:right w:val="none" w:sz="0" w:space="0" w:color="auto"/>
      </w:divBdr>
    </w:div>
    <w:div w:id="1157111662">
      <w:bodyDiv w:val="1"/>
      <w:marLeft w:val="0"/>
      <w:marRight w:val="0"/>
      <w:marTop w:val="0"/>
      <w:marBottom w:val="0"/>
      <w:divBdr>
        <w:top w:val="none" w:sz="0" w:space="0" w:color="auto"/>
        <w:left w:val="none" w:sz="0" w:space="0" w:color="auto"/>
        <w:bottom w:val="none" w:sz="0" w:space="0" w:color="auto"/>
        <w:right w:val="none" w:sz="0" w:space="0" w:color="auto"/>
      </w:divBdr>
    </w:div>
    <w:div w:id="1201556527">
      <w:bodyDiv w:val="1"/>
      <w:marLeft w:val="0"/>
      <w:marRight w:val="0"/>
      <w:marTop w:val="0"/>
      <w:marBottom w:val="0"/>
      <w:divBdr>
        <w:top w:val="none" w:sz="0" w:space="0" w:color="auto"/>
        <w:left w:val="none" w:sz="0" w:space="0" w:color="auto"/>
        <w:bottom w:val="none" w:sz="0" w:space="0" w:color="auto"/>
        <w:right w:val="none" w:sz="0" w:space="0" w:color="auto"/>
      </w:divBdr>
    </w:div>
    <w:div w:id="1240095429">
      <w:bodyDiv w:val="1"/>
      <w:marLeft w:val="0"/>
      <w:marRight w:val="0"/>
      <w:marTop w:val="0"/>
      <w:marBottom w:val="0"/>
      <w:divBdr>
        <w:top w:val="none" w:sz="0" w:space="0" w:color="auto"/>
        <w:left w:val="none" w:sz="0" w:space="0" w:color="auto"/>
        <w:bottom w:val="none" w:sz="0" w:space="0" w:color="auto"/>
        <w:right w:val="none" w:sz="0" w:space="0" w:color="auto"/>
      </w:divBdr>
    </w:div>
    <w:div w:id="1259102449">
      <w:bodyDiv w:val="1"/>
      <w:marLeft w:val="0"/>
      <w:marRight w:val="0"/>
      <w:marTop w:val="0"/>
      <w:marBottom w:val="0"/>
      <w:divBdr>
        <w:top w:val="none" w:sz="0" w:space="0" w:color="auto"/>
        <w:left w:val="none" w:sz="0" w:space="0" w:color="auto"/>
        <w:bottom w:val="none" w:sz="0" w:space="0" w:color="auto"/>
        <w:right w:val="none" w:sz="0" w:space="0" w:color="auto"/>
      </w:divBdr>
    </w:div>
    <w:div w:id="1286500433">
      <w:bodyDiv w:val="1"/>
      <w:marLeft w:val="0"/>
      <w:marRight w:val="0"/>
      <w:marTop w:val="0"/>
      <w:marBottom w:val="0"/>
      <w:divBdr>
        <w:top w:val="none" w:sz="0" w:space="0" w:color="auto"/>
        <w:left w:val="none" w:sz="0" w:space="0" w:color="auto"/>
        <w:bottom w:val="none" w:sz="0" w:space="0" w:color="auto"/>
        <w:right w:val="none" w:sz="0" w:space="0" w:color="auto"/>
      </w:divBdr>
    </w:div>
    <w:div w:id="1338381216">
      <w:bodyDiv w:val="1"/>
      <w:marLeft w:val="0"/>
      <w:marRight w:val="0"/>
      <w:marTop w:val="0"/>
      <w:marBottom w:val="0"/>
      <w:divBdr>
        <w:top w:val="none" w:sz="0" w:space="0" w:color="auto"/>
        <w:left w:val="none" w:sz="0" w:space="0" w:color="auto"/>
        <w:bottom w:val="none" w:sz="0" w:space="0" w:color="auto"/>
        <w:right w:val="none" w:sz="0" w:space="0" w:color="auto"/>
      </w:divBdr>
    </w:div>
    <w:div w:id="1383864717">
      <w:bodyDiv w:val="1"/>
      <w:marLeft w:val="0"/>
      <w:marRight w:val="0"/>
      <w:marTop w:val="0"/>
      <w:marBottom w:val="0"/>
      <w:divBdr>
        <w:top w:val="none" w:sz="0" w:space="0" w:color="auto"/>
        <w:left w:val="none" w:sz="0" w:space="0" w:color="auto"/>
        <w:bottom w:val="none" w:sz="0" w:space="0" w:color="auto"/>
        <w:right w:val="none" w:sz="0" w:space="0" w:color="auto"/>
      </w:divBdr>
    </w:div>
    <w:div w:id="1416515595">
      <w:bodyDiv w:val="1"/>
      <w:marLeft w:val="0"/>
      <w:marRight w:val="0"/>
      <w:marTop w:val="0"/>
      <w:marBottom w:val="0"/>
      <w:divBdr>
        <w:top w:val="none" w:sz="0" w:space="0" w:color="auto"/>
        <w:left w:val="none" w:sz="0" w:space="0" w:color="auto"/>
        <w:bottom w:val="none" w:sz="0" w:space="0" w:color="auto"/>
        <w:right w:val="none" w:sz="0" w:space="0" w:color="auto"/>
      </w:divBdr>
    </w:div>
    <w:div w:id="1485967687">
      <w:bodyDiv w:val="1"/>
      <w:marLeft w:val="0"/>
      <w:marRight w:val="0"/>
      <w:marTop w:val="0"/>
      <w:marBottom w:val="0"/>
      <w:divBdr>
        <w:top w:val="none" w:sz="0" w:space="0" w:color="auto"/>
        <w:left w:val="none" w:sz="0" w:space="0" w:color="auto"/>
        <w:bottom w:val="none" w:sz="0" w:space="0" w:color="auto"/>
        <w:right w:val="none" w:sz="0" w:space="0" w:color="auto"/>
      </w:divBdr>
    </w:div>
    <w:div w:id="1504978071">
      <w:bodyDiv w:val="1"/>
      <w:marLeft w:val="0"/>
      <w:marRight w:val="0"/>
      <w:marTop w:val="0"/>
      <w:marBottom w:val="0"/>
      <w:divBdr>
        <w:top w:val="none" w:sz="0" w:space="0" w:color="auto"/>
        <w:left w:val="none" w:sz="0" w:space="0" w:color="auto"/>
        <w:bottom w:val="none" w:sz="0" w:space="0" w:color="auto"/>
        <w:right w:val="none" w:sz="0" w:space="0" w:color="auto"/>
      </w:divBdr>
    </w:div>
    <w:div w:id="1517690949">
      <w:bodyDiv w:val="1"/>
      <w:marLeft w:val="0"/>
      <w:marRight w:val="0"/>
      <w:marTop w:val="0"/>
      <w:marBottom w:val="0"/>
      <w:divBdr>
        <w:top w:val="none" w:sz="0" w:space="0" w:color="auto"/>
        <w:left w:val="none" w:sz="0" w:space="0" w:color="auto"/>
        <w:bottom w:val="none" w:sz="0" w:space="0" w:color="auto"/>
        <w:right w:val="none" w:sz="0" w:space="0" w:color="auto"/>
      </w:divBdr>
    </w:div>
    <w:div w:id="1599945592">
      <w:bodyDiv w:val="1"/>
      <w:marLeft w:val="0"/>
      <w:marRight w:val="0"/>
      <w:marTop w:val="0"/>
      <w:marBottom w:val="0"/>
      <w:divBdr>
        <w:top w:val="none" w:sz="0" w:space="0" w:color="auto"/>
        <w:left w:val="none" w:sz="0" w:space="0" w:color="auto"/>
        <w:bottom w:val="none" w:sz="0" w:space="0" w:color="auto"/>
        <w:right w:val="none" w:sz="0" w:space="0" w:color="auto"/>
      </w:divBdr>
    </w:div>
    <w:div w:id="1638996024">
      <w:bodyDiv w:val="1"/>
      <w:marLeft w:val="0"/>
      <w:marRight w:val="0"/>
      <w:marTop w:val="0"/>
      <w:marBottom w:val="0"/>
      <w:divBdr>
        <w:top w:val="none" w:sz="0" w:space="0" w:color="auto"/>
        <w:left w:val="none" w:sz="0" w:space="0" w:color="auto"/>
        <w:bottom w:val="none" w:sz="0" w:space="0" w:color="auto"/>
        <w:right w:val="none" w:sz="0" w:space="0" w:color="auto"/>
      </w:divBdr>
    </w:div>
    <w:div w:id="1903638142">
      <w:bodyDiv w:val="1"/>
      <w:marLeft w:val="0"/>
      <w:marRight w:val="0"/>
      <w:marTop w:val="0"/>
      <w:marBottom w:val="0"/>
      <w:divBdr>
        <w:top w:val="none" w:sz="0" w:space="0" w:color="auto"/>
        <w:left w:val="none" w:sz="0" w:space="0" w:color="auto"/>
        <w:bottom w:val="none" w:sz="0" w:space="0" w:color="auto"/>
        <w:right w:val="none" w:sz="0" w:space="0" w:color="auto"/>
      </w:divBdr>
    </w:div>
    <w:div w:id="1967735964">
      <w:bodyDiv w:val="1"/>
      <w:marLeft w:val="0"/>
      <w:marRight w:val="0"/>
      <w:marTop w:val="0"/>
      <w:marBottom w:val="0"/>
      <w:divBdr>
        <w:top w:val="none" w:sz="0" w:space="0" w:color="auto"/>
        <w:left w:val="none" w:sz="0" w:space="0" w:color="auto"/>
        <w:bottom w:val="none" w:sz="0" w:space="0" w:color="auto"/>
        <w:right w:val="none" w:sz="0" w:space="0" w:color="auto"/>
      </w:divBdr>
    </w:div>
    <w:div w:id="1975401975">
      <w:bodyDiv w:val="1"/>
      <w:marLeft w:val="0"/>
      <w:marRight w:val="0"/>
      <w:marTop w:val="0"/>
      <w:marBottom w:val="0"/>
      <w:divBdr>
        <w:top w:val="none" w:sz="0" w:space="0" w:color="auto"/>
        <w:left w:val="none" w:sz="0" w:space="0" w:color="auto"/>
        <w:bottom w:val="none" w:sz="0" w:space="0" w:color="auto"/>
        <w:right w:val="none" w:sz="0" w:space="0" w:color="auto"/>
      </w:divBdr>
    </w:div>
    <w:div w:id="2109959966">
      <w:bodyDiv w:val="1"/>
      <w:marLeft w:val="0"/>
      <w:marRight w:val="0"/>
      <w:marTop w:val="0"/>
      <w:marBottom w:val="0"/>
      <w:divBdr>
        <w:top w:val="none" w:sz="0" w:space="0" w:color="auto"/>
        <w:left w:val="none" w:sz="0" w:space="0" w:color="auto"/>
        <w:bottom w:val="none" w:sz="0" w:space="0" w:color="auto"/>
        <w:right w:val="none" w:sz="0" w:space="0" w:color="auto"/>
      </w:divBdr>
    </w:div>
    <w:div w:id="2119173297">
      <w:bodyDiv w:val="1"/>
      <w:marLeft w:val="0"/>
      <w:marRight w:val="0"/>
      <w:marTop w:val="0"/>
      <w:marBottom w:val="0"/>
      <w:divBdr>
        <w:top w:val="none" w:sz="0" w:space="0" w:color="auto"/>
        <w:left w:val="none" w:sz="0" w:space="0" w:color="auto"/>
        <w:bottom w:val="none" w:sz="0" w:space="0" w:color="auto"/>
        <w:right w:val="none" w:sz="0" w:space="0" w:color="auto"/>
      </w:divBdr>
    </w:div>
    <w:div w:id="2128350546">
      <w:bodyDiv w:val="1"/>
      <w:marLeft w:val="0"/>
      <w:marRight w:val="0"/>
      <w:marTop w:val="0"/>
      <w:marBottom w:val="0"/>
      <w:divBdr>
        <w:top w:val="none" w:sz="0" w:space="0" w:color="auto"/>
        <w:left w:val="none" w:sz="0" w:space="0" w:color="auto"/>
        <w:bottom w:val="none" w:sz="0" w:space="0" w:color="auto"/>
        <w:right w:val="none" w:sz="0" w:space="0" w:color="auto"/>
      </w:divBdr>
    </w:div>
    <w:div w:id="213420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1605</TotalTime>
  <Pages>18</Pages>
  <Words>8885</Words>
  <Characters>47984</Characters>
  <Application>Microsoft Office Word</Application>
  <DocSecurity>0</DocSecurity>
  <Lines>399</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81</cp:revision>
  <cp:lastPrinted>2025-12-18T17:48:00Z</cp:lastPrinted>
  <dcterms:created xsi:type="dcterms:W3CDTF">2024-01-29T12:19:00Z</dcterms:created>
  <dcterms:modified xsi:type="dcterms:W3CDTF">2026-02-24T12:40:00Z</dcterms:modified>
</cp:coreProperties>
</file>