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3874" w14:textId="77777777" w:rsidR="002E7759" w:rsidRPr="002E7759" w:rsidRDefault="002E7759" w:rsidP="002E7759">
      <w:pPr>
        <w:pStyle w:val="Default"/>
        <w:spacing w:line="360" w:lineRule="auto"/>
        <w:jc w:val="center"/>
        <w:rPr>
          <w:rFonts w:ascii="Times New Roman" w:hAnsi="Times New Roman" w:cs="Times New Roman"/>
          <w:b/>
          <w:bCs/>
          <w:sz w:val="32"/>
          <w:szCs w:val="32"/>
        </w:rPr>
      </w:pPr>
    </w:p>
    <w:p w14:paraId="31DE88BE" w14:textId="77777777" w:rsidR="002E7759" w:rsidRPr="002E7759" w:rsidRDefault="002E7759" w:rsidP="002E7759">
      <w:pPr>
        <w:pStyle w:val="Default"/>
        <w:spacing w:line="360" w:lineRule="auto"/>
        <w:jc w:val="center"/>
        <w:rPr>
          <w:rFonts w:ascii="Times New Roman" w:hAnsi="Times New Roman" w:cs="Times New Roman"/>
          <w:b/>
          <w:bCs/>
          <w:sz w:val="32"/>
          <w:szCs w:val="32"/>
        </w:rPr>
      </w:pPr>
      <w:r w:rsidRPr="002E7759">
        <w:rPr>
          <w:rFonts w:ascii="Times New Roman" w:hAnsi="Times New Roman" w:cs="Times New Roman"/>
          <w:b/>
          <w:bCs/>
          <w:sz w:val="32"/>
          <w:szCs w:val="32"/>
        </w:rPr>
        <w:t>MATRIZ DE RISCO</w:t>
      </w:r>
    </w:p>
    <w:p w14:paraId="4130A941" w14:textId="77777777" w:rsidR="002E7759" w:rsidRPr="002E7759" w:rsidRDefault="002E7759" w:rsidP="002E7759">
      <w:pPr>
        <w:pStyle w:val="Default"/>
        <w:spacing w:line="360" w:lineRule="auto"/>
        <w:jc w:val="both"/>
        <w:rPr>
          <w:rFonts w:ascii="Times New Roman" w:hAnsi="Times New Roman" w:cs="Times New Roman"/>
          <w:b/>
          <w:bCs/>
          <w:sz w:val="32"/>
          <w:szCs w:val="32"/>
        </w:rPr>
      </w:pPr>
    </w:p>
    <w:p w14:paraId="329E56A8" w14:textId="5D1BC011" w:rsidR="002E7759" w:rsidRPr="002E7759" w:rsidRDefault="002E7759" w:rsidP="002E7759">
      <w:pPr>
        <w:spacing w:line="360" w:lineRule="auto"/>
        <w:jc w:val="both"/>
        <w:rPr>
          <w:rFonts w:ascii="Times New Roman" w:hAnsi="Times New Roman" w:cs="Times New Roman"/>
          <w:b/>
          <w:bCs/>
          <w:sz w:val="20"/>
          <w:szCs w:val="20"/>
        </w:rPr>
      </w:pPr>
      <w:r w:rsidRPr="002E7759">
        <w:rPr>
          <w:rFonts w:ascii="Times New Roman" w:hAnsi="Times New Roman" w:cs="Times New Roman"/>
          <w:sz w:val="20"/>
          <w:szCs w:val="20"/>
        </w:rPr>
        <w:tab/>
      </w:r>
      <w:r w:rsidRPr="002E7759">
        <w:rPr>
          <w:rFonts w:ascii="Times New Roman" w:hAnsi="Times New Roman" w:cs="Times New Roman"/>
          <w:sz w:val="20"/>
          <w:szCs w:val="20"/>
        </w:rPr>
        <w:tab/>
      </w:r>
      <w:r w:rsidRPr="002E7759">
        <w:rPr>
          <w:rFonts w:ascii="Times New Roman" w:hAnsi="Times New Roman" w:cs="Times New Roman"/>
          <w:b/>
          <w:bCs/>
          <w:sz w:val="20"/>
          <w:szCs w:val="20"/>
        </w:rPr>
        <w:t>Execução de obra de infraestrutura viária, compreendendo serviços de terraplenagem, regularização e compactação de subleito, execução de sub-base e base, implantação de sistema de microdrenagem pluvial, imprimação com asfalto diluído de petróleo, pintura de ligação com emulsão asfáltica, pavimentação asfáltica em Concreto Betuminoso Usinado a Quente (C.B.U.Q.), sinalização viária horizontal e vertical na Rua 04 de Julho, bem como a realização de serviços complementares necessários à plena execução do objeto, com valor estimado de R$ 1.311.321,72 (UM MILHÃO, TREZENTOS E ONZE MIL, TREZENTOS E VINTE E UM REAIS E SETENTA E DOIS CENTAVOS), conforme Planilha Orçamentária Oficial integrante do processo administrativo.</w:t>
      </w:r>
    </w:p>
    <w:p w14:paraId="482F1B3B"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1.1. OBJETIVOS DA MATRIZ DE RISCOS:</w:t>
      </w:r>
    </w:p>
    <w:p w14:paraId="746B0EE1"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A Matriz de Riscos tem como finalidade principal identificar, analisar, classificar e alocar os riscos que possam impactar a execução do contrato de obra de engenharia para a execução de pavimentação asfáltica em trecho da Rua 04 de Julho, na localidade da Cidade Baixa, no Município de Paverama/RS, permitindo ao Município e à empresa contratada o conhecimento prévio dos fatores críticos da intervenção e subsidiando decisões técnicas, administrativas, financeiras e operacionais ao longo de toda a execução contratual, especialmente considerando tratar-se de obra de infraestrutura viária em área de expansão urbana, com interferência direta na mobilidade, na drenagem urbana e na circulação de veículos e pedestres.</w:t>
      </w:r>
    </w:p>
    <w:p w14:paraId="4A26C613"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Constituem objetivos específicos da Matriz de Riscos:</w:t>
      </w:r>
    </w:p>
    <w:p w14:paraId="4C8995F4"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a) Identificação de riscos potenciais: mapear eventos que possam afetar a execução da obra de infraestrutura viária, abrangendo aspectos técnicos, construtivos, geotécnicos, operacionais, ambientais, legais, administrativos e financeiros, especialmente aqueles relacionados à execução de serviços de terraplenagem, regularização de subleito, implantação de microdrenagem, execução de base e sub-base, imprimação, aplicação de revestimento asfáltico em C.B.U.Q., bem como às interferências com redes existentes, condições climáticas e características do solo;</w:t>
      </w:r>
    </w:p>
    <w:p w14:paraId="554A7D51"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b) Classificação dos riscos: avaliar cada risco identificado quanto à sua probabilidade de ocorrência (alta, média ou baixa) e ao seu potencial impacto sobre o prazo, o custo, a qualidade técnica dos serviços, a segurança dos trabalhadores, dos usuários da via e de terceiros, bem como sobre a funcionalidade da infraestrutura implantada e a durabilidade do pavimento;</w:t>
      </w:r>
    </w:p>
    <w:p w14:paraId="25B677CD"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c) Registro dos riscos por categoria, organizando-os, entre outros, nos seguintes grupos:</w:t>
      </w:r>
    </w:p>
    <w:p w14:paraId="641EB21C" w14:textId="77777777" w:rsidR="002E7759" w:rsidRPr="002E7759" w:rsidRDefault="002E7759" w:rsidP="002E7759">
      <w:pPr>
        <w:spacing w:after="0" w:line="360" w:lineRule="auto"/>
        <w:ind w:firstLine="1418"/>
        <w:jc w:val="both"/>
        <w:rPr>
          <w:rFonts w:ascii="Times New Roman" w:hAnsi="Times New Roman" w:cs="Times New Roman"/>
          <w:sz w:val="20"/>
          <w:szCs w:val="20"/>
        </w:rPr>
      </w:pPr>
      <w:r w:rsidRPr="002E7759">
        <w:rPr>
          <w:rFonts w:ascii="Times New Roman" w:hAnsi="Times New Roman" w:cs="Times New Roman"/>
          <w:sz w:val="20"/>
          <w:szCs w:val="20"/>
        </w:rPr>
        <w:t>I – Técnicos e construtivos: falhas na execução de terraplenagem, compactação insuficiente de subleito, base ou sub-base, aplicação inadequada de imprimação, inconsistências na execução do revestimento asfáltico em C.B.U.Q., deficiência no controle tecnológico, utilização de materiais fora das especificações, falhas na execução da microdrenagem, incompatibilidades entre projeto, memorial descritivo e condições reais de campo, bem como não atendimento às normas técnicas do DNIT, ABNT e demais referenciais aplicáveis;</w:t>
      </w:r>
    </w:p>
    <w:p w14:paraId="08A3D6AF" w14:textId="77777777" w:rsidR="002E7759" w:rsidRPr="002E7759" w:rsidRDefault="002E7759" w:rsidP="002E7759">
      <w:pPr>
        <w:spacing w:after="0" w:line="360" w:lineRule="auto"/>
        <w:ind w:firstLine="1418"/>
        <w:jc w:val="both"/>
        <w:rPr>
          <w:rFonts w:ascii="Times New Roman" w:hAnsi="Times New Roman" w:cs="Times New Roman"/>
          <w:sz w:val="20"/>
          <w:szCs w:val="20"/>
        </w:rPr>
      </w:pPr>
      <w:r w:rsidRPr="002E7759">
        <w:rPr>
          <w:rFonts w:ascii="Times New Roman" w:hAnsi="Times New Roman" w:cs="Times New Roman"/>
          <w:sz w:val="20"/>
          <w:szCs w:val="20"/>
        </w:rPr>
        <w:lastRenderedPageBreak/>
        <w:t>II – Ambientais: geração de poeira e material particulado, manejo inadequado de resíduos da construção civil, riscos de assoreamento ou obstrução de dispositivos de drenagem, contaminação por materiais betuminosos, impactos decorrentes de movimentação de solo e necessidade de controle de erosão, bem como descumprimento de condicionantes ambientais eventualmente estabelecidas;</w:t>
      </w:r>
    </w:p>
    <w:p w14:paraId="106FAA61" w14:textId="77777777" w:rsidR="002E7759" w:rsidRPr="002E7759" w:rsidRDefault="002E7759" w:rsidP="002E7759">
      <w:pPr>
        <w:spacing w:after="0" w:line="360" w:lineRule="auto"/>
        <w:ind w:firstLine="1418"/>
        <w:jc w:val="both"/>
        <w:rPr>
          <w:rFonts w:ascii="Times New Roman" w:hAnsi="Times New Roman" w:cs="Times New Roman"/>
          <w:sz w:val="20"/>
          <w:szCs w:val="20"/>
        </w:rPr>
      </w:pPr>
      <w:r w:rsidRPr="002E7759">
        <w:rPr>
          <w:rFonts w:ascii="Times New Roman" w:hAnsi="Times New Roman" w:cs="Times New Roman"/>
          <w:sz w:val="20"/>
          <w:szCs w:val="20"/>
        </w:rPr>
        <w:t>III – Legais e regulatórios: descumprimento de normas técnicas, ambientais, urbanísticas e de segurança do trabalho; inobservância das disposições da Lei nº 14.133/2021; ausência ou irregularidade de ART/RRT; execução em desacordo com os documentos técnicos; e descumprimento de determinações da fiscalização ou dos órgãos de controle;</w:t>
      </w:r>
    </w:p>
    <w:p w14:paraId="26E8048F" w14:textId="77777777" w:rsidR="002E7759" w:rsidRPr="002E7759" w:rsidRDefault="002E7759" w:rsidP="002E7759">
      <w:pPr>
        <w:spacing w:after="0" w:line="360" w:lineRule="auto"/>
        <w:ind w:firstLine="1418"/>
        <w:jc w:val="both"/>
        <w:rPr>
          <w:rFonts w:ascii="Times New Roman" w:hAnsi="Times New Roman" w:cs="Times New Roman"/>
          <w:sz w:val="20"/>
          <w:szCs w:val="20"/>
        </w:rPr>
      </w:pPr>
      <w:r w:rsidRPr="002E7759">
        <w:rPr>
          <w:rFonts w:ascii="Times New Roman" w:hAnsi="Times New Roman" w:cs="Times New Roman"/>
          <w:sz w:val="20"/>
          <w:szCs w:val="20"/>
        </w:rPr>
        <w:t>IV – Financeiros e contratuais: atrasos na execução física da obra, necessidade de retrabalho por falhas técnicas, medições glosadas por desconformidade, variação de preços de insumos dentro dos limites legais, inadimplemento contratual, pleitos de reequilíbrio econômico-financeiro e impactos decorrentes de paralisações ou baixa produtividade;</w:t>
      </w:r>
    </w:p>
    <w:p w14:paraId="2E03BA11" w14:textId="77777777" w:rsidR="002E7759" w:rsidRPr="002E7759" w:rsidRDefault="002E7759" w:rsidP="002E7759">
      <w:pPr>
        <w:spacing w:after="0" w:line="360" w:lineRule="auto"/>
        <w:ind w:firstLine="1418"/>
        <w:jc w:val="both"/>
        <w:rPr>
          <w:rFonts w:ascii="Times New Roman" w:hAnsi="Times New Roman" w:cs="Times New Roman"/>
          <w:sz w:val="20"/>
          <w:szCs w:val="20"/>
        </w:rPr>
      </w:pPr>
      <w:r w:rsidRPr="002E7759">
        <w:rPr>
          <w:rFonts w:ascii="Times New Roman" w:hAnsi="Times New Roman" w:cs="Times New Roman"/>
          <w:sz w:val="20"/>
          <w:szCs w:val="20"/>
        </w:rPr>
        <w:t>V – Operacionais e logísticos: dificuldades de acesso ao trecho, interferência no tráfego local, necessidade de desvio de fluxo de veículos e pedestres, restrições operacionais em função de condições climáticas, logística de transporte de materiais asfálticos (especialmente quanto à temperatura e tempo de aplicação), armazenamento temporário de insumos e interferências com redes públicas existentes (água, energia, telecomunicações);</w:t>
      </w:r>
    </w:p>
    <w:p w14:paraId="6005E907" w14:textId="77777777" w:rsidR="002E7759" w:rsidRPr="002E7759" w:rsidRDefault="002E7759" w:rsidP="002E7759">
      <w:pPr>
        <w:spacing w:after="0" w:line="360" w:lineRule="auto"/>
        <w:ind w:firstLine="1418"/>
        <w:jc w:val="both"/>
        <w:rPr>
          <w:rFonts w:ascii="Times New Roman" w:hAnsi="Times New Roman" w:cs="Times New Roman"/>
          <w:sz w:val="20"/>
          <w:szCs w:val="20"/>
        </w:rPr>
      </w:pPr>
      <w:r w:rsidRPr="002E7759">
        <w:rPr>
          <w:rFonts w:ascii="Times New Roman" w:hAnsi="Times New Roman" w:cs="Times New Roman"/>
          <w:sz w:val="20"/>
          <w:szCs w:val="20"/>
        </w:rPr>
        <w:t>VI – Institucionais e de interesse público: impactos na mobilidade urbana, eventuais transtornos à população durante a execução da obra, necessidade de gestão de comunicação com a comunidade, riscos de atraso na entrega da infraestrutura e repercussões administrativas decorrentes da não conclusão da obra dentro dos prazos estabelecidos;</w:t>
      </w:r>
    </w:p>
    <w:p w14:paraId="5DC99CFD"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d) Distribuição preliminar de responsabilidades: identificar, de forma clara, quais riscos são atribuídos à contratada — especialmente aqueles relacionados à execução técnica dos serviços, à qualidade dos materiais, ao controle tecnológico, à segurança do trabalho, à logística de execução, ao cumprimento do cronograma e à correta aplicação das técnicas construtivas — e quais são de responsabilidade da Administração, como disponibilização da área, gestão do tráfego, fiscalização contratual, definição de diretrizes institucionais e formalização de atos administrativos necessários ao regular andamento da obra;</w:t>
      </w:r>
    </w:p>
    <w:p w14:paraId="1A9881E2"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e) Priorização e criticidade dos riscos: classificar os riscos conforme seu grau de criticidade (alto, médio ou baixo), considerando especialmente os impactos sobre o cronograma da obra, a qualidade final do pavimento, a segurança dos usuários e a adequada aplicação dos recursos públicos;</w:t>
      </w:r>
    </w:p>
    <w:p w14:paraId="67BB8B1F"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f) Registro histórico e contextual: considerar experiências anteriores do Município em obras de pavimentação e infraestrutura viária, identificando riscos recorrentes, como variações nas condições do subleito, interferências não previstas, necessidade de ajustes em campo, atrasos decorrentes de condições climáticas e desafios logísticos relacionados à aplicação de C.B.U.Q.;</w:t>
      </w:r>
    </w:p>
    <w:p w14:paraId="20D5242B"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g) Identificação de riscos interdependentes: mapear eventos que possam desencadear efeitos em cadeia, como falhas na drenagem que comprometam a durabilidade do pavimento, execução inadequada de base que gere patologias no revestimento asfáltico, ou falhas no controle de temperatura do C.B.U.Q. que impactem diretamente a qualidade final da obra;</w:t>
      </w:r>
    </w:p>
    <w:p w14:paraId="2BD93B6C"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lastRenderedPageBreak/>
        <w:t>h) Transparência e rastreabilidade: assegurar que todos os riscos identificados estejam formalmente registrados de forma clara, objetiva e auditável, facilitando a comunicação entre a Administração, a contratada e os órgãos de controle externo;</w:t>
      </w:r>
    </w:p>
    <w:p w14:paraId="47C961BF" w14:textId="77777777" w:rsidR="002E7759" w:rsidRPr="002E7759" w:rsidRDefault="002E7759" w:rsidP="002E7759">
      <w:pPr>
        <w:spacing w:after="0" w:line="360" w:lineRule="auto"/>
        <w:ind w:firstLine="709"/>
        <w:jc w:val="both"/>
        <w:rPr>
          <w:rFonts w:ascii="Times New Roman" w:hAnsi="Times New Roman" w:cs="Times New Roman"/>
          <w:sz w:val="20"/>
          <w:szCs w:val="20"/>
        </w:rPr>
      </w:pPr>
      <w:r w:rsidRPr="002E7759">
        <w:rPr>
          <w:rFonts w:ascii="Times New Roman" w:hAnsi="Times New Roman" w:cs="Times New Roman"/>
          <w:sz w:val="20"/>
          <w:szCs w:val="20"/>
        </w:rPr>
        <w:t>i) Subsídio à tomada de decisão: fornecer base técnica e documental para decisões relacionadas ao planejamento executivo, à fiscalização, à gestão contratual, à alocação de responsabilidades e à adoção de medidas preventivas ou corretivas, com plena ciência dos eventos que podem afetar a execução da obra de pavimentação asfáltica.</w:t>
      </w:r>
    </w:p>
    <w:p w14:paraId="7529118F" w14:textId="77777777" w:rsidR="002E7759" w:rsidRPr="00A61110" w:rsidRDefault="002E7759" w:rsidP="002E7759">
      <w:pPr>
        <w:spacing w:after="0" w:line="360" w:lineRule="auto"/>
        <w:ind w:firstLine="709"/>
        <w:jc w:val="both"/>
        <w:rPr>
          <w:rFonts w:ascii="Times New Roman" w:hAnsi="Times New Roman" w:cs="Times New Roman"/>
          <w:sz w:val="20"/>
          <w:szCs w:val="20"/>
        </w:rPr>
      </w:pPr>
    </w:p>
    <w:p w14:paraId="4393924F"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1.2. MATRIZ DE RISCOS DETALHADA:</w:t>
      </w:r>
    </w:p>
    <w:p w14:paraId="0F60C82E" w14:textId="77777777" w:rsidR="002E7759"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1.2.1. Riscos Técnicos e Construtivos:</w:t>
      </w:r>
    </w:p>
    <w:tbl>
      <w:tblPr>
        <w:tblStyle w:val="Tabelacomgrade"/>
        <w:tblW w:w="10878" w:type="dxa"/>
        <w:tblInd w:w="-998" w:type="dxa"/>
        <w:tblLook w:val="04A0" w:firstRow="1" w:lastRow="0" w:firstColumn="1" w:lastColumn="0" w:noHBand="0" w:noVBand="1"/>
      </w:tblPr>
      <w:tblGrid>
        <w:gridCol w:w="567"/>
        <w:gridCol w:w="1702"/>
        <w:gridCol w:w="1985"/>
        <w:gridCol w:w="850"/>
        <w:gridCol w:w="992"/>
        <w:gridCol w:w="1418"/>
        <w:gridCol w:w="1701"/>
        <w:gridCol w:w="1663"/>
      </w:tblGrid>
      <w:tr w:rsidR="008534BA" w:rsidRPr="008534BA" w14:paraId="1E3624D3" w14:textId="77777777" w:rsidTr="008534BA">
        <w:tc>
          <w:tcPr>
            <w:tcW w:w="567" w:type="dxa"/>
          </w:tcPr>
          <w:p w14:paraId="461E62C2" w14:textId="5ED40019"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Nº</w:t>
            </w:r>
          </w:p>
        </w:tc>
        <w:tc>
          <w:tcPr>
            <w:tcW w:w="1702" w:type="dxa"/>
          </w:tcPr>
          <w:p w14:paraId="16BF8E69" w14:textId="61606EB4"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Risco</w:t>
            </w:r>
          </w:p>
        </w:tc>
        <w:tc>
          <w:tcPr>
            <w:tcW w:w="1985" w:type="dxa"/>
          </w:tcPr>
          <w:p w14:paraId="4DC71521" w14:textId="1C806EF1"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Descrição</w:t>
            </w:r>
          </w:p>
        </w:tc>
        <w:tc>
          <w:tcPr>
            <w:tcW w:w="850" w:type="dxa"/>
          </w:tcPr>
          <w:p w14:paraId="69827BA9" w14:textId="7F6EC29E"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Prob.</w:t>
            </w:r>
          </w:p>
        </w:tc>
        <w:tc>
          <w:tcPr>
            <w:tcW w:w="992" w:type="dxa"/>
          </w:tcPr>
          <w:p w14:paraId="4DCEF915" w14:textId="77839113"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Impacto</w:t>
            </w:r>
          </w:p>
        </w:tc>
        <w:tc>
          <w:tcPr>
            <w:tcW w:w="1418" w:type="dxa"/>
          </w:tcPr>
          <w:p w14:paraId="183669AE" w14:textId="711AAEDC"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Responsável</w:t>
            </w:r>
          </w:p>
        </w:tc>
        <w:tc>
          <w:tcPr>
            <w:tcW w:w="1701" w:type="dxa"/>
          </w:tcPr>
          <w:p w14:paraId="7A8103E3" w14:textId="2033F0FE"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Medidas de Mitigação</w:t>
            </w:r>
          </w:p>
        </w:tc>
        <w:tc>
          <w:tcPr>
            <w:tcW w:w="1663" w:type="dxa"/>
          </w:tcPr>
          <w:p w14:paraId="427F06D6" w14:textId="384CE9DC" w:rsidR="002E7759" w:rsidRPr="008534BA" w:rsidRDefault="002E7759" w:rsidP="002E7759">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b/>
                <w:bCs/>
                <w:sz w:val="19"/>
                <w:szCs w:val="19"/>
                <w:lang w:eastAsia="pt-BR"/>
              </w:rPr>
              <w:t>Plano de Contingência</w:t>
            </w:r>
          </w:p>
        </w:tc>
      </w:tr>
      <w:tr w:rsidR="008534BA" w:rsidRPr="008534BA" w14:paraId="06AA19BF" w14:textId="77777777" w:rsidTr="00522E8B">
        <w:tc>
          <w:tcPr>
            <w:tcW w:w="567" w:type="dxa"/>
            <w:vAlign w:val="center"/>
          </w:tcPr>
          <w:p w14:paraId="1E2F6767" w14:textId="1AB5CE98"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1</w:t>
            </w:r>
          </w:p>
        </w:tc>
        <w:tc>
          <w:tcPr>
            <w:tcW w:w="1702" w:type="dxa"/>
            <w:vAlign w:val="center"/>
          </w:tcPr>
          <w:p w14:paraId="1B9EAF77" w14:textId="1F350BC0"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Falhas na execução da imprimação e revestimento asfáltico</w:t>
            </w:r>
          </w:p>
        </w:tc>
        <w:tc>
          <w:tcPr>
            <w:tcW w:w="1985" w:type="dxa"/>
            <w:vAlign w:val="center"/>
          </w:tcPr>
          <w:p w14:paraId="31BE21ED" w14:textId="04B52323"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Aplicação inadequada de imprimação ou C.B.U.Q., comprometendo aderência e durabilidade do pavimento</w:t>
            </w:r>
          </w:p>
        </w:tc>
        <w:tc>
          <w:tcPr>
            <w:tcW w:w="850" w:type="dxa"/>
            <w:vAlign w:val="center"/>
          </w:tcPr>
          <w:p w14:paraId="662855B1" w14:textId="23699BED"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Média</w:t>
            </w:r>
          </w:p>
        </w:tc>
        <w:tc>
          <w:tcPr>
            <w:tcW w:w="992" w:type="dxa"/>
            <w:vAlign w:val="center"/>
          </w:tcPr>
          <w:p w14:paraId="346C43EA" w14:textId="0F163C79"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Alto</w:t>
            </w:r>
          </w:p>
        </w:tc>
        <w:tc>
          <w:tcPr>
            <w:tcW w:w="1418" w:type="dxa"/>
            <w:vAlign w:val="center"/>
          </w:tcPr>
          <w:p w14:paraId="38762EF7" w14:textId="10B8651A"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Contratada</w:t>
            </w:r>
          </w:p>
        </w:tc>
        <w:tc>
          <w:tcPr>
            <w:tcW w:w="1701" w:type="dxa"/>
            <w:vAlign w:val="center"/>
          </w:tcPr>
          <w:p w14:paraId="28F49419" w14:textId="05BAED6D"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Controle tecnológico; verificação de temperatura e taxa de aplicação</w:t>
            </w:r>
          </w:p>
        </w:tc>
        <w:tc>
          <w:tcPr>
            <w:tcW w:w="1663" w:type="dxa"/>
            <w:vAlign w:val="center"/>
          </w:tcPr>
          <w:p w14:paraId="49E238CE" w14:textId="18C2F829"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Fresagem e recomposição do trecho</w:t>
            </w:r>
          </w:p>
        </w:tc>
      </w:tr>
      <w:tr w:rsidR="008534BA" w:rsidRPr="008534BA" w14:paraId="1A21D6AD" w14:textId="77777777" w:rsidTr="00522E8B">
        <w:tc>
          <w:tcPr>
            <w:tcW w:w="567" w:type="dxa"/>
            <w:vAlign w:val="center"/>
          </w:tcPr>
          <w:p w14:paraId="46AA5EDF" w14:textId="2B18912E"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2</w:t>
            </w:r>
          </w:p>
        </w:tc>
        <w:tc>
          <w:tcPr>
            <w:tcW w:w="1702" w:type="dxa"/>
            <w:vAlign w:val="center"/>
          </w:tcPr>
          <w:p w14:paraId="11066A7B" w14:textId="05942C06"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Inconformidade na execução da microdrenagem</w:t>
            </w:r>
          </w:p>
        </w:tc>
        <w:tc>
          <w:tcPr>
            <w:tcW w:w="1985" w:type="dxa"/>
            <w:vAlign w:val="center"/>
          </w:tcPr>
          <w:p w14:paraId="3E2F9F84" w14:textId="0BD33466"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Implantação inadequada de dispositivos de drenagem, comprometendo o escoamento pluvial</w:t>
            </w:r>
          </w:p>
        </w:tc>
        <w:tc>
          <w:tcPr>
            <w:tcW w:w="850" w:type="dxa"/>
            <w:vAlign w:val="center"/>
          </w:tcPr>
          <w:p w14:paraId="44075296" w14:textId="1EEE4771"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Baixa</w:t>
            </w:r>
          </w:p>
        </w:tc>
        <w:tc>
          <w:tcPr>
            <w:tcW w:w="992" w:type="dxa"/>
            <w:vAlign w:val="center"/>
          </w:tcPr>
          <w:p w14:paraId="67F810D8" w14:textId="09491082"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Alto</w:t>
            </w:r>
          </w:p>
        </w:tc>
        <w:tc>
          <w:tcPr>
            <w:tcW w:w="1418" w:type="dxa"/>
            <w:vAlign w:val="center"/>
          </w:tcPr>
          <w:p w14:paraId="32AB0BD5" w14:textId="69FC387D"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Contratada</w:t>
            </w:r>
          </w:p>
        </w:tc>
        <w:tc>
          <w:tcPr>
            <w:tcW w:w="1701" w:type="dxa"/>
            <w:vAlign w:val="center"/>
          </w:tcPr>
          <w:p w14:paraId="66F1AA4A" w14:textId="5D605BA4"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Execução conforme projeto; conferência de cotas e declividades</w:t>
            </w:r>
          </w:p>
        </w:tc>
        <w:tc>
          <w:tcPr>
            <w:tcW w:w="1663" w:type="dxa"/>
            <w:vAlign w:val="center"/>
          </w:tcPr>
          <w:p w14:paraId="601ED6C3" w14:textId="5FD399DE"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Readequação do sistema de drenagem</w:t>
            </w:r>
          </w:p>
        </w:tc>
      </w:tr>
      <w:tr w:rsidR="008534BA" w:rsidRPr="008534BA" w14:paraId="77D34709" w14:textId="77777777" w:rsidTr="00522E8B">
        <w:tc>
          <w:tcPr>
            <w:tcW w:w="567" w:type="dxa"/>
            <w:vAlign w:val="center"/>
          </w:tcPr>
          <w:p w14:paraId="1F356A8A" w14:textId="7212F58F"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3</w:t>
            </w:r>
          </w:p>
        </w:tc>
        <w:tc>
          <w:tcPr>
            <w:tcW w:w="1702" w:type="dxa"/>
            <w:vAlign w:val="center"/>
          </w:tcPr>
          <w:p w14:paraId="5F44F2BE" w14:textId="6B9554F8"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Defeitos na compactação de subleito/base</w:t>
            </w:r>
          </w:p>
        </w:tc>
        <w:tc>
          <w:tcPr>
            <w:tcW w:w="1985" w:type="dxa"/>
            <w:vAlign w:val="center"/>
          </w:tcPr>
          <w:p w14:paraId="73214F38" w14:textId="4CEE038A"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Compactação insuficiente gerando recalques e patologias no pavimento</w:t>
            </w:r>
          </w:p>
        </w:tc>
        <w:tc>
          <w:tcPr>
            <w:tcW w:w="850" w:type="dxa"/>
            <w:vAlign w:val="center"/>
          </w:tcPr>
          <w:p w14:paraId="5FE8FC45" w14:textId="4AE0BAE1"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Média</w:t>
            </w:r>
          </w:p>
        </w:tc>
        <w:tc>
          <w:tcPr>
            <w:tcW w:w="992" w:type="dxa"/>
            <w:vAlign w:val="center"/>
          </w:tcPr>
          <w:p w14:paraId="0822D6AF" w14:textId="61967110"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Alto</w:t>
            </w:r>
          </w:p>
        </w:tc>
        <w:tc>
          <w:tcPr>
            <w:tcW w:w="1418" w:type="dxa"/>
            <w:vAlign w:val="center"/>
          </w:tcPr>
          <w:p w14:paraId="3B92B577" w14:textId="32421817"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Contratada</w:t>
            </w:r>
          </w:p>
        </w:tc>
        <w:tc>
          <w:tcPr>
            <w:tcW w:w="1701" w:type="dxa"/>
            <w:vAlign w:val="center"/>
          </w:tcPr>
          <w:p w14:paraId="0648716C" w14:textId="057D1CFC"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Ensaios de compactação; controle de umidade</w:t>
            </w:r>
          </w:p>
        </w:tc>
        <w:tc>
          <w:tcPr>
            <w:tcW w:w="1663" w:type="dxa"/>
            <w:vAlign w:val="center"/>
          </w:tcPr>
          <w:p w14:paraId="2433F1E3" w14:textId="0CA5FB54"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Reexecução das camadas estruturais</w:t>
            </w:r>
          </w:p>
        </w:tc>
      </w:tr>
      <w:tr w:rsidR="008534BA" w:rsidRPr="008534BA" w14:paraId="72926D88" w14:textId="77777777" w:rsidTr="00522E8B">
        <w:tc>
          <w:tcPr>
            <w:tcW w:w="567" w:type="dxa"/>
            <w:vAlign w:val="center"/>
          </w:tcPr>
          <w:p w14:paraId="7F591F99" w14:textId="70836955"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4</w:t>
            </w:r>
          </w:p>
        </w:tc>
        <w:tc>
          <w:tcPr>
            <w:tcW w:w="1702" w:type="dxa"/>
            <w:vAlign w:val="center"/>
          </w:tcPr>
          <w:p w14:paraId="191E3030" w14:textId="76D9C094"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Falha na execução da base e sub-base</w:t>
            </w:r>
          </w:p>
        </w:tc>
        <w:tc>
          <w:tcPr>
            <w:tcW w:w="1985" w:type="dxa"/>
            <w:vAlign w:val="center"/>
          </w:tcPr>
          <w:p w14:paraId="362B61CD" w14:textId="02EC1A05"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Execução fora das especificações técnicas, comprometendo a capacidade estrutural</w:t>
            </w:r>
          </w:p>
        </w:tc>
        <w:tc>
          <w:tcPr>
            <w:tcW w:w="850" w:type="dxa"/>
            <w:vAlign w:val="center"/>
          </w:tcPr>
          <w:p w14:paraId="3953D070" w14:textId="6B8E8339"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Baixa</w:t>
            </w:r>
          </w:p>
        </w:tc>
        <w:tc>
          <w:tcPr>
            <w:tcW w:w="992" w:type="dxa"/>
            <w:vAlign w:val="center"/>
          </w:tcPr>
          <w:p w14:paraId="5F701FCB" w14:textId="0A9C3F16"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Alto</w:t>
            </w:r>
          </w:p>
        </w:tc>
        <w:tc>
          <w:tcPr>
            <w:tcW w:w="1418" w:type="dxa"/>
            <w:vAlign w:val="center"/>
          </w:tcPr>
          <w:p w14:paraId="6B80970B" w14:textId="7F608E1E"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Contratada</w:t>
            </w:r>
          </w:p>
        </w:tc>
        <w:tc>
          <w:tcPr>
            <w:tcW w:w="1701" w:type="dxa"/>
            <w:vAlign w:val="center"/>
          </w:tcPr>
          <w:p w14:paraId="3F2F7B34" w14:textId="4516CD33"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Controle de granulometria e espessura</w:t>
            </w:r>
          </w:p>
        </w:tc>
        <w:tc>
          <w:tcPr>
            <w:tcW w:w="1663" w:type="dxa"/>
            <w:vAlign w:val="center"/>
          </w:tcPr>
          <w:p w14:paraId="1B965D9F" w14:textId="009DE410"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Remoção e recomposição da camada</w:t>
            </w:r>
          </w:p>
        </w:tc>
      </w:tr>
      <w:tr w:rsidR="008534BA" w:rsidRPr="008534BA" w14:paraId="30FF2F85" w14:textId="77777777" w:rsidTr="00522E8B">
        <w:tc>
          <w:tcPr>
            <w:tcW w:w="567" w:type="dxa"/>
            <w:vAlign w:val="center"/>
          </w:tcPr>
          <w:p w14:paraId="7680F343" w14:textId="5442FC53"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5</w:t>
            </w:r>
          </w:p>
        </w:tc>
        <w:tc>
          <w:tcPr>
            <w:tcW w:w="1702" w:type="dxa"/>
            <w:vAlign w:val="center"/>
          </w:tcPr>
          <w:p w14:paraId="4C015118" w14:textId="57DEA049"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Incompatibilidade entre projeto e execução</w:t>
            </w:r>
          </w:p>
        </w:tc>
        <w:tc>
          <w:tcPr>
            <w:tcW w:w="1985" w:type="dxa"/>
            <w:vAlign w:val="center"/>
          </w:tcPr>
          <w:p w14:paraId="6990D404" w14:textId="35CBCFE7"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Divergências entre memorial, projeto e condições reais de campo</w:t>
            </w:r>
          </w:p>
        </w:tc>
        <w:tc>
          <w:tcPr>
            <w:tcW w:w="850" w:type="dxa"/>
            <w:vAlign w:val="center"/>
          </w:tcPr>
          <w:p w14:paraId="74229689" w14:textId="2D18A415"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Média</w:t>
            </w:r>
          </w:p>
        </w:tc>
        <w:tc>
          <w:tcPr>
            <w:tcW w:w="992" w:type="dxa"/>
            <w:vAlign w:val="center"/>
          </w:tcPr>
          <w:p w14:paraId="6DF5F3FD" w14:textId="410224A2"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Médio</w:t>
            </w:r>
          </w:p>
        </w:tc>
        <w:tc>
          <w:tcPr>
            <w:tcW w:w="1418" w:type="dxa"/>
            <w:vAlign w:val="center"/>
          </w:tcPr>
          <w:p w14:paraId="0F9E123F" w14:textId="7697B11B"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Compartilhada</w:t>
            </w:r>
          </w:p>
        </w:tc>
        <w:tc>
          <w:tcPr>
            <w:tcW w:w="1701" w:type="dxa"/>
            <w:vAlign w:val="center"/>
          </w:tcPr>
          <w:p w14:paraId="3E2EAC91" w14:textId="2199DC2B"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Reunião técnica prévia; validação com fiscalização</w:t>
            </w:r>
          </w:p>
        </w:tc>
        <w:tc>
          <w:tcPr>
            <w:tcW w:w="1663" w:type="dxa"/>
            <w:vAlign w:val="center"/>
          </w:tcPr>
          <w:p w14:paraId="1F9EFA90" w14:textId="665516E6" w:rsidR="002E7759" w:rsidRPr="008534BA" w:rsidRDefault="002E7759" w:rsidP="00522E8B">
            <w:pPr>
              <w:spacing w:line="360" w:lineRule="auto"/>
              <w:jc w:val="center"/>
              <w:rPr>
                <w:rFonts w:ascii="Times New Roman" w:hAnsi="Times New Roman" w:cs="Times New Roman"/>
                <w:b/>
                <w:bCs/>
                <w:sz w:val="19"/>
                <w:szCs w:val="19"/>
              </w:rPr>
            </w:pPr>
            <w:r w:rsidRPr="002E7759">
              <w:rPr>
                <w:rFonts w:ascii="Times New Roman" w:eastAsia="Times New Roman" w:hAnsi="Times New Roman" w:cs="Times New Roman"/>
                <w:sz w:val="19"/>
                <w:szCs w:val="19"/>
                <w:lang w:eastAsia="pt-BR"/>
              </w:rPr>
              <w:t>Ordem de ajuste técnico</w:t>
            </w:r>
          </w:p>
        </w:tc>
      </w:tr>
    </w:tbl>
    <w:p w14:paraId="48CEC68D" w14:textId="77777777" w:rsidR="002E7759" w:rsidRPr="00A61110" w:rsidRDefault="002E7759" w:rsidP="002E7759">
      <w:pPr>
        <w:spacing w:after="0" w:line="360" w:lineRule="auto"/>
        <w:ind w:left="-1134" w:right="-568"/>
        <w:jc w:val="both"/>
        <w:rPr>
          <w:rFonts w:ascii="Times New Roman" w:hAnsi="Times New Roman" w:cs="Times New Roman"/>
          <w:sz w:val="20"/>
          <w:szCs w:val="20"/>
        </w:rPr>
      </w:pPr>
      <w:r w:rsidRPr="00A61110">
        <w:rPr>
          <w:rFonts w:ascii="Times New Roman" w:hAnsi="Times New Roman" w:cs="Times New Roman"/>
          <w:sz w:val="20"/>
          <w:szCs w:val="20"/>
        </w:rPr>
        <w:tab/>
      </w:r>
      <w:r w:rsidRPr="00A61110">
        <w:rPr>
          <w:rFonts w:ascii="Times New Roman" w:hAnsi="Times New Roman" w:cs="Times New Roman"/>
          <w:sz w:val="20"/>
          <w:szCs w:val="20"/>
        </w:rPr>
        <w:tab/>
      </w:r>
    </w:p>
    <w:p w14:paraId="3FA3E2C5" w14:textId="77777777" w:rsidR="002E7759" w:rsidRPr="00A61110" w:rsidRDefault="002E7759" w:rsidP="002E7759">
      <w:pPr>
        <w:spacing w:after="0" w:line="360" w:lineRule="auto"/>
        <w:ind w:firstLine="708"/>
        <w:jc w:val="both"/>
        <w:rPr>
          <w:rFonts w:ascii="Times New Roman" w:hAnsi="Times New Roman" w:cs="Times New Roman"/>
          <w:b/>
          <w:bCs/>
          <w:sz w:val="20"/>
          <w:szCs w:val="20"/>
        </w:rPr>
      </w:pPr>
      <w:r w:rsidRPr="00A61110">
        <w:rPr>
          <w:rFonts w:ascii="Times New Roman" w:hAnsi="Times New Roman" w:cs="Times New Roman"/>
          <w:b/>
          <w:bCs/>
          <w:sz w:val="20"/>
          <w:szCs w:val="20"/>
        </w:rPr>
        <w:t>1.2.2. Riscos Ambientais e Sanitários: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534BA" w:rsidRPr="00A61110" w14:paraId="2F19A08F" w14:textId="77777777" w:rsidTr="00522E8B">
        <w:tc>
          <w:tcPr>
            <w:tcW w:w="567" w:type="dxa"/>
            <w:vAlign w:val="center"/>
          </w:tcPr>
          <w:p w14:paraId="0D3F675A" w14:textId="586953D3"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Nº</w:t>
            </w:r>
          </w:p>
        </w:tc>
        <w:tc>
          <w:tcPr>
            <w:tcW w:w="1702" w:type="dxa"/>
            <w:vAlign w:val="center"/>
          </w:tcPr>
          <w:p w14:paraId="546C9B9F" w14:textId="3107544E"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Risco</w:t>
            </w:r>
          </w:p>
        </w:tc>
        <w:tc>
          <w:tcPr>
            <w:tcW w:w="1985" w:type="dxa"/>
            <w:vAlign w:val="center"/>
          </w:tcPr>
          <w:p w14:paraId="659AF7E1" w14:textId="291C7E98"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Descrição</w:t>
            </w:r>
          </w:p>
        </w:tc>
        <w:tc>
          <w:tcPr>
            <w:tcW w:w="850" w:type="dxa"/>
            <w:vAlign w:val="center"/>
          </w:tcPr>
          <w:p w14:paraId="052459C5" w14:textId="0FD62F75"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Prob.</w:t>
            </w:r>
          </w:p>
        </w:tc>
        <w:tc>
          <w:tcPr>
            <w:tcW w:w="992" w:type="dxa"/>
            <w:vAlign w:val="center"/>
          </w:tcPr>
          <w:p w14:paraId="5E9484AD" w14:textId="156B86BA"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Impacto</w:t>
            </w:r>
          </w:p>
        </w:tc>
        <w:tc>
          <w:tcPr>
            <w:tcW w:w="1418" w:type="dxa"/>
            <w:vAlign w:val="center"/>
          </w:tcPr>
          <w:p w14:paraId="02B2BDD6" w14:textId="2BBBDDC0"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Responsável</w:t>
            </w:r>
          </w:p>
        </w:tc>
        <w:tc>
          <w:tcPr>
            <w:tcW w:w="1701" w:type="dxa"/>
            <w:vAlign w:val="center"/>
          </w:tcPr>
          <w:p w14:paraId="1E297E2E" w14:textId="0E2D4C9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Medidas de Mitigação</w:t>
            </w:r>
          </w:p>
        </w:tc>
        <w:tc>
          <w:tcPr>
            <w:tcW w:w="1663" w:type="dxa"/>
            <w:vAlign w:val="center"/>
          </w:tcPr>
          <w:p w14:paraId="38DA7079" w14:textId="6E0D801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Plano de Contingência</w:t>
            </w:r>
          </w:p>
        </w:tc>
      </w:tr>
      <w:tr w:rsidR="008534BA" w:rsidRPr="00A61110" w14:paraId="7DE8F1DC" w14:textId="77777777" w:rsidTr="00522E8B">
        <w:tc>
          <w:tcPr>
            <w:tcW w:w="567" w:type="dxa"/>
            <w:vAlign w:val="center"/>
          </w:tcPr>
          <w:p w14:paraId="0531562F" w14:textId="2B0DE7F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1</w:t>
            </w:r>
          </w:p>
        </w:tc>
        <w:tc>
          <w:tcPr>
            <w:tcW w:w="1702" w:type="dxa"/>
            <w:vAlign w:val="center"/>
          </w:tcPr>
          <w:p w14:paraId="50C40072" w14:textId="38982BA5"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Manejo inadequado de resíduos</w:t>
            </w:r>
          </w:p>
        </w:tc>
        <w:tc>
          <w:tcPr>
            <w:tcW w:w="1985" w:type="dxa"/>
            <w:vAlign w:val="center"/>
          </w:tcPr>
          <w:p w14:paraId="0A51F82C" w14:textId="68858CB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Destinação irregular de resíduos da obra</w:t>
            </w:r>
          </w:p>
        </w:tc>
        <w:tc>
          <w:tcPr>
            <w:tcW w:w="850" w:type="dxa"/>
            <w:vAlign w:val="center"/>
          </w:tcPr>
          <w:p w14:paraId="05AA72E6" w14:textId="7753F57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77069CE5" w14:textId="01FA43C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53BDF7FF" w14:textId="30C79DEE"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39DFE6C0" w14:textId="7DB4577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Segregação e destinação adequada</w:t>
            </w:r>
          </w:p>
        </w:tc>
        <w:tc>
          <w:tcPr>
            <w:tcW w:w="1663" w:type="dxa"/>
            <w:vAlign w:val="center"/>
          </w:tcPr>
          <w:p w14:paraId="5DA429EB" w14:textId="678641B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Regularização imediata</w:t>
            </w:r>
          </w:p>
        </w:tc>
      </w:tr>
      <w:tr w:rsidR="008534BA" w:rsidRPr="00A61110" w14:paraId="56137AC7" w14:textId="77777777" w:rsidTr="00522E8B">
        <w:tc>
          <w:tcPr>
            <w:tcW w:w="567" w:type="dxa"/>
            <w:vAlign w:val="center"/>
          </w:tcPr>
          <w:p w14:paraId="6C938ECA" w14:textId="5D4FFB3D"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2</w:t>
            </w:r>
          </w:p>
        </w:tc>
        <w:tc>
          <w:tcPr>
            <w:tcW w:w="1702" w:type="dxa"/>
            <w:vAlign w:val="center"/>
          </w:tcPr>
          <w:p w14:paraId="73D9BD9C" w14:textId="4B8882C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Geração excessiva de poeira</w:t>
            </w:r>
          </w:p>
        </w:tc>
        <w:tc>
          <w:tcPr>
            <w:tcW w:w="1985" w:type="dxa"/>
            <w:vAlign w:val="center"/>
          </w:tcPr>
          <w:p w14:paraId="034C0EF9" w14:textId="6B8338F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Impacto no entorno e na circulação local</w:t>
            </w:r>
          </w:p>
        </w:tc>
        <w:tc>
          <w:tcPr>
            <w:tcW w:w="850" w:type="dxa"/>
            <w:vAlign w:val="center"/>
          </w:tcPr>
          <w:p w14:paraId="17E71F55" w14:textId="7B5D8F4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18A9AE31" w14:textId="2CF112DE"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408C3BA8" w14:textId="01A6DA7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5ED97C2A" w14:textId="18D3A37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Umidificação do solo</w:t>
            </w:r>
          </w:p>
        </w:tc>
        <w:tc>
          <w:tcPr>
            <w:tcW w:w="1663" w:type="dxa"/>
            <w:vAlign w:val="center"/>
          </w:tcPr>
          <w:p w14:paraId="587D32D2" w14:textId="3DDEC0B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Suspensão temporária da atividade</w:t>
            </w:r>
          </w:p>
        </w:tc>
      </w:tr>
      <w:tr w:rsidR="008534BA" w:rsidRPr="00A61110" w14:paraId="090C284F" w14:textId="77777777" w:rsidTr="00522E8B">
        <w:tc>
          <w:tcPr>
            <w:tcW w:w="567" w:type="dxa"/>
            <w:vAlign w:val="center"/>
          </w:tcPr>
          <w:p w14:paraId="445A11FD" w14:textId="42EFEB50"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3</w:t>
            </w:r>
          </w:p>
        </w:tc>
        <w:tc>
          <w:tcPr>
            <w:tcW w:w="1702" w:type="dxa"/>
            <w:vAlign w:val="center"/>
          </w:tcPr>
          <w:p w14:paraId="4E70EDC0" w14:textId="259B7ED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Ruídos e interferência na vizinhança</w:t>
            </w:r>
          </w:p>
        </w:tc>
        <w:tc>
          <w:tcPr>
            <w:tcW w:w="1985" w:type="dxa"/>
            <w:vAlign w:val="center"/>
          </w:tcPr>
          <w:p w14:paraId="5D5DCC98" w14:textId="5C944ACE"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Incômodo à população local</w:t>
            </w:r>
          </w:p>
        </w:tc>
        <w:tc>
          <w:tcPr>
            <w:tcW w:w="850" w:type="dxa"/>
            <w:vAlign w:val="center"/>
          </w:tcPr>
          <w:p w14:paraId="727EC7FF" w14:textId="5C9BC02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04CB673E" w14:textId="293994D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0A4474B1" w14:textId="510BF22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Compartilhada</w:t>
            </w:r>
          </w:p>
        </w:tc>
        <w:tc>
          <w:tcPr>
            <w:tcW w:w="1701" w:type="dxa"/>
            <w:vAlign w:val="center"/>
          </w:tcPr>
          <w:p w14:paraId="7F3D627E" w14:textId="589CE1D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Controle de horários</w:t>
            </w:r>
          </w:p>
        </w:tc>
        <w:tc>
          <w:tcPr>
            <w:tcW w:w="1663" w:type="dxa"/>
            <w:vAlign w:val="center"/>
          </w:tcPr>
          <w:p w14:paraId="70F884D1" w14:textId="6C7A4CF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Reprogramação das atividades</w:t>
            </w:r>
          </w:p>
        </w:tc>
      </w:tr>
      <w:tr w:rsidR="008534BA" w:rsidRPr="00A61110" w14:paraId="30902B60" w14:textId="77777777" w:rsidTr="00522E8B">
        <w:trPr>
          <w:trHeight w:val="58"/>
        </w:trPr>
        <w:tc>
          <w:tcPr>
            <w:tcW w:w="567" w:type="dxa"/>
            <w:vAlign w:val="center"/>
          </w:tcPr>
          <w:p w14:paraId="32732535" w14:textId="7A3B8216"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4</w:t>
            </w:r>
          </w:p>
        </w:tc>
        <w:tc>
          <w:tcPr>
            <w:tcW w:w="1702" w:type="dxa"/>
            <w:vAlign w:val="center"/>
          </w:tcPr>
          <w:p w14:paraId="0667392D" w14:textId="3E183F3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Erosão ou carreamento de materiais</w:t>
            </w:r>
          </w:p>
        </w:tc>
        <w:tc>
          <w:tcPr>
            <w:tcW w:w="1985" w:type="dxa"/>
            <w:vAlign w:val="center"/>
          </w:tcPr>
          <w:p w14:paraId="41091B6F" w14:textId="470F3A3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Exposição do solo e falhas na drenagem provisória</w:t>
            </w:r>
          </w:p>
        </w:tc>
        <w:tc>
          <w:tcPr>
            <w:tcW w:w="850" w:type="dxa"/>
            <w:vAlign w:val="center"/>
          </w:tcPr>
          <w:p w14:paraId="156E51FC" w14:textId="116B6D1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444BF029" w14:textId="17538495"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304936E7" w14:textId="1FD7108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03CC05E0" w14:textId="75017DE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Proteção superficial e drenagem provisória</w:t>
            </w:r>
          </w:p>
        </w:tc>
        <w:tc>
          <w:tcPr>
            <w:tcW w:w="1663" w:type="dxa"/>
            <w:vAlign w:val="center"/>
          </w:tcPr>
          <w:p w14:paraId="450A2091" w14:textId="5EC9333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Correção e recomposição imediata</w:t>
            </w:r>
          </w:p>
        </w:tc>
      </w:tr>
      <w:tr w:rsidR="008534BA" w:rsidRPr="00A61110" w14:paraId="63E9512B" w14:textId="77777777" w:rsidTr="00522E8B">
        <w:tc>
          <w:tcPr>
            <w:tcW w:w="567" w:type="dxa"/>
            <w:vAlign w:val="center"/>
          </w:tcPr>
          <w:p w14:paraId="25DCCD68" w14:textId="013109B1"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5</w:t>
            </w:r>
          </w:p>
        </w:tc>
        <w:tc>
          <w:tcPr>
            <w:tcW w:w="1702" w:type="dxa"/>
            <w:vAlign w:val="center"/>
          </w:tcPr>
          <w:p w14:paraId="22C0C5DB" w14:textId="276F6E2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Armazenamento inadequado de materiais</w:t>
            </w:r>
          </w:p>
        </w:tc>
        <w:tc>
          <w:tcPr>
            <w:tcW w:w="1985" w:type="dxa"/>
            <w:vAlign w:val="center"/>
          </w:tcPr>
          <w:p w14:paraId="58732971" w14:textId="1090554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Risco de obstrução de vias e acidentes</w:t>
            </w:r>
          </w:p>
        </w:tc>
        <w:tc>
          <w:tcPr>
            <w:tcW w:w="850" w:type="dxa"/>
            <w:vAlign w:val="center"/>
          </w:tcPr>
          <w:p w14:paraId="5509A772" w14:textId="03F4972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6E69A09F" w14:textId="013333E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6543D64A" w14:textId="34FF774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7680CFB0" w14:textId="06B3F73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Organização do canteiro</w:t>
            </w:r>
          </w:p>
        </w:tc>
        <w:tc>
          <w:tcPr>
            <w:tcW w:w="1663" w:type="dxa"/>
            <w:vAlign w:val="center"/>
          </w:tcPr>
          <w:p w14:paraId="46AC87FA" w14:textId="77CBAEC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Reorganização imediata</w:t>
            </w:r>
          </w:p>
        </w:tc>
      </w:tr>
    </w:tbl>
    <w:p w14:paraId="08DBC62D" w14:textId="77777777" w:rsidR="002E7759" w:rsidRPr="00A61110" w:rsidRDefault="002E7759" w:rsidP="002E7759">
      <w:pPr>
        <w:spacing w:after="0" w:line="360" w:lineRule="auto"/>
        <w:jc w:val="both"/>
        <w:rPr>
          <w:rFonts w:ascii="Times New Roman" w:hAnsi="Times New Roman" w:cs="Times New Roman"/>
          <w:b/>
          <w:bCs/>
          <w:sz w:val="20"/>
          <w:szCs w:val="20"/>
        </w:rPr>
      </w:pPr>
    </w:p>
    <w:p w14:paraId="724E60DF"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1.2.3. Riscos legais e regulatórios: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534BA" w:rsidRPr="00A61110" w14:paraId="749E955B" w14:textId="77777777" w:rsidTr="00522E8B">
        <w:tc>
          <w:tcPr>
            <w:tcW w:w="567" w:type="dxa"/>
            <w:vAlign w:val="center"/>
          </w:tcPr>
          <w:p w14:paraId="43E73184" w14:textId="4578FF93"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Nº</w:t>
            </w:r>
          </w:p>
        </w:tc>
        <w:tc>
          <w:tcPr>
            <w:tcW w:w="1702" w:type="dxa"/>
            <w:vAlign w:val="center"/>
          </w:tcPr>
          <w:p w14:paraId="17635B04" w14:textId="42CD4E5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Risco</w:t>
            </w:r>
          </w:p>
        </w:tc>
        <w:tc>
          <w:tcPr>
            <w:tcW w:w="1985" w:type="dxa"/>
            <w:vAlign w:val="center"/>
          </w:tcPr>
          <w:p w14:paraId="59A7558F" w14:textId="71DA4190"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Descrição</w:t>
            </w:r>
          </w:p>
        </w:tc>
        <w:tc>
          <w:tcPr>
            <w:tcW w:w="850" w:type="dxa"/>
            <w:vAlign w:val="center"/>
          </w:tcPr>
          <w:p w14:paraId="038A3621" w14:textId="1E22055B"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Prob.</w:t>
            </w:r>
          </w:p>
        </w:tc>
        <w:tc>
          <w:tcPr>
            <w:tcW w:w="992" w:type="dxa"/>
            <w:vAlign w:val="center"/>
          </w:tcPr>
          <w:p w14:paraId="684B4808" w14:textId="5ED79930"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Impacto</w:t>
            </w:r>
          </w:p>
        </w:tc>
        <w:tc>
          <w:tcPr>
            <w:tcW w:w="1418" w:type="dxa"/>
            <w:vAlign w:val="center"/>
          </w:tcPr>
          <w:p w14:paraId="2B175604" w14:textId="38EF4AEB"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Responsável</w:t>
            </w:r>
          </w:p>
        </w:tc>
        <w:tc>
          <w:tcPr>
            <w:tcW w:w="1701" w:type="dxa"/>
            <w:vAlign w:val="center"/>
          </w:tcPr>
          <w:p w14:paraId="394B9BA3" w14:textId="2F8BE7B3"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Medidas de Mitigação</w:t>
            </w:r>
          </w:p>
        </w:tc>
        <w:tc>
          <w:tcPr>
            <w:tcW w:w="1663" w:type="dxa"/>
            <w:vAlign w:val="center"/>
          </w:tcPr>
          <w:p w14:paraId="249EA14C" w14:textId="503E76F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Plano de Contingência</w:t>
            </w:r>
          </w:p>
        </w:tc>
      </w:tr>
      <w:tr w:rsidR="008534BA" w:rsidRPr="00A61110" w14:paraId="1A3630B4" w14:textId="77777777" w:rsidTr="00522E8B">
        <w:tc>
          <w:tcPr>
            <w:tcW w:w="567" w:type="dxa"/>
            <w:vAlign w:val="center"/>
          </w:tcPr>
          <w:p w14:paraId="02D4BF78" w14:textId="7B6477EE"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1</w:t>
            </w:r>
          </w:p>
        </w:tc>
        <w:tc>
          <w:tcPr>
            <w:tcW w:w="1702" w:type="dxa"/>
            <w:vAlign w:val="center"/>
          </w:tcPr>
          <w:p w14:paraId="36C2185D" w14:textId="080987C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Descumprimento de normas técnicas</w:t>
            </w:r>
          </w:p>
        </w:tc>
        <w:tc>
          <w:tcPr>
            <w:tcW w:w="1985" w:type="dxa"/>
            <w:vAlign w:val="center"/>
          </w:tcPr>
          <w:p w14:paraId="4F2D8359" w14:textId="3D9C93F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Inobservância de DNIT, ABNT e NRs</w:t>
            </w:r>
          </w:p>
        </w:tc>
        <w:tc>
          <w:tcPr>
            <w:tcW w:w="850" w:type="dxa"/>
            <w:vAlign w:val="center"/>
          </w:tcPr>
          <w:p w14:paraId="2014DCD4" w14:textId="32FBBD9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5B686F48" w14:textId="2FF8815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5081F4D2" w14:textId="05F9D81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249A0A10" w14:textId="0A1AE6B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Fiscalização contínua</w:t>
            </w:r>
          </w:p>
        </w:tc>
        <w:tc>
          <w:tcPr>
            <w:tcW w:w="1663" w:type="dxa"/>
            <w:vAlign w:val="center"/>
          </w:tcPr>
          <w:p w14:paraId="4480BF42" w14:textId="4B21742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Correção imediata</w:t>
            </w:r>
          </w:p>
        </w:tc>
      </w:tr>
      <w:tr w:rsidR="008534BA" w:rsidRPr="00A61110" w14:paraId="5EC8C783" w14:textId="77777777" w:rsidTr="00522E8B">
        <w:tc>
          <w:tcPr>
            <w:tcW w:w="567" w:type="dxa"/>
            <w:vAlign w:val="center"/>
          </w:tcPr>
          <w:p w14:paraId="2BF7282F" w14:textId="242C2806"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2</w:t>
            </w:r>
          </w:p>
        </w:tc>
        <w:tc>
          <w:tcPr>
            <w:tcW w:w="1702" w:type="dxa"/>
            <w:vAlign w:val="center"/>
          </w:tcPr>
          <w:p w14:paraId="43CD4ECB" w14:textId="4D252E8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Ausência de documentação técnica</w:t>
            </w:r>
          </w:p>
        </w:tc>
        <w:tc>
          <w:tcPr>
            <w:tcW w:w="1985" w:type="dxa"/>
            <w:vAlign w:val="center"/>
          </w:tcPr>
          <w:p w14:paraId="365492AB" w14:textId="1F81189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Falta de ART/RRT ou registros obrigatórios</w:t>
            </w:r>
          </w:p>
        </w:tc>
        <w:tc>
          <w:tcPr>
            <w:tcW w:w="850" w:type="dxa"/>
            <w:vAlign w:val="center"/>
          </w:tcPr>
          <w:p w14:paraId="658B8A8D" w14:textId="078925F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354F3AA9" w14:textId="523CAE5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3B8A2D67" w14:textId="00DDFC3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3EFC9140" w14:textId="11248EF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Conferência prévia</w:t>
            </w:r>
          </w:p>
        </w:tc>
        <w:tc>
          <w:tcPr>
            <w:tcW w:w="1663" w:type="dxa"/>
            <w:vAlign w:val="center"/>
          </w:tcPr>
          <w:p w14:paraId="7A5D0D01" w14:textId="7331238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Paralisação até regularização</w:t>
            </w:r>
          </w:p>
        </w:tc>
      </w:tr>
      <w:tr w:rsidR="008534BA" w:rsidRPr="00A61110" w14:paraId="060AFD78" w14:textId="77777777" w:rsidTr="00522E8B">
        <w:tc>
          <w:tcPr>
            <w:tcW w:w="567" w:type="dxa"/>
            <w:vAlign w:val="center"/>
          </w:tcPr>
          <w:p w14:paraId="579AD903" w14:textId="451510CB"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3</w:t>
            </w:r>
          </w:p>
        </w:tc>
        <w:tc>
          <w:tcPr>
            <w:tcW w:w="1702" w:type="dxa"/>
            <w:vAlign w:val="center"/>
          </w:tcPr>
          <w:p w14:paraId="6A841B8F" w14:textId="218400E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Irregularidades trabalhistas</w:t>
            </w:r>
          </w:p>
        </w:tc>
        <w:tc>
          <w:tcPr>
            <w:tcW w:w="1985" w:type="dxa"/>
            <w:vAlign w:val="center"/>
          </w:tcPr>
          <w:p w14:paraId="69222420" w14:textId="27F89AC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Descumprimento de normas legais</w:t>
            </w:r>
          </w:p>
        </w:tc>
        <w:tc>
          <w:tcPr>
            <w:tcW w:w="850" w:type="dxa"/>
            <w:vAlign w:val="center"/>
          </w:tcPr>
          <w:p w14:paraId="5DD0BE08" w14:textId="377AECF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2C173404" w14:textId="6286686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113341A4" w14:textId="59E6E715"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7669EF4A" w14:textId="3BEE9D9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Controle documental</w:t>
            </w:r>
          </w:p>
        </w:tc>
        <w:tc>
          <w:tcPr>
            <w:tcW w:w="1663" w:type="dxa"/>
            <w:vAlign w:val="center"/>
          </w:tcPr>
          <w:p w14:paraId="590DEB5C" w14:textId="2BE6DDC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Retenção de pagamentos</w:t>
            </w:r>
          </w:p>
        </w:tc>
      </w:tr>
      <w:tr w:rsidR="008534BA" w:rsidRPr="00A61110" w14:paraId="41A5ACE6" w14:textId="77777777" w:rsidTr="00522E8B">
        <w:tc>
          <w:tcPr>
            <w:tcW w:w="567" w:type="dxa"/>
            <w:vAlign w:val="center"/>
          </w:tcPr>
          <w:p w14:paraId="6EAA9E49" w14:textId="45F8822C"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4</w:t>
            </w:r>
          </w:p>
        </w:tc>
        <w:tc>
          <w:tcPr>
            <w:tcW w:w="1702" w:type="dxa"/>
            <w:vAlign w:val="center"/>
          </w:tcPr>
          <w:p w14:paraId="2287517B" w14:textId="39B8D3B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Execução em desacordo com o contrato</w:t>
            </w:r>
          </w:p>
        </w:tc>
        <w:tc>
          <w:tcPr>
            <w:tcW w:w="1985" w:type="dxa"/>
            <w:vAlign w:val="center"/>
          </w:tcPr>
          <w:p w14:paraId="3C4D9202" w14:textId="2F71C7D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Desvio do objeto contratado</w:t>
            </w:r>
          </w:p>
        </w:tc>
        <w:tc>
          <w:tcPr>
            <w:tcW w:w="850" w:type="dxa"/>
            <w:vAlign w:val="center"/>
          </w:tcPr>
          <w:p w14:paraId="06E724A8" w14:textId="51AD2F8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6C75F0E8" w14:textId="6E7E67C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03A7F71C" w14:textId="258A80C5"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5DBFA657" w14:textId="7953159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Controle técnico permanente</w:t>
            </w:r>
          </w:p>
        </w:tc>
        <w:tc>
          <w:tcPr>
            <w:tcW w:w="1663" w:type="dxa"/>
            <w:vAlign w:val="center"/>
          </w:tcPr>
          <w:p w14:paraId="1C5D4826" w14:textId="6823936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Sanções e reexecução</w:t>
            </w:r>
          </w:p>
        </w:tc>
      </w:tr>
    </w:tbl>
    <w:p w14:paraId="0BE6DE42" w14:textId="77777777" w:rsidR="002E7759" w:rsidRPr="00A61110" w:rsidRDefault="002E7759" w:rsidP="002E7759">
      <w:pPr>
        <w:spacing w:after="0" w:line="360" w:lineRule="auto"/>
        <w:jc w:val="both"/>
        <w:rPr>
          <w:rFonts w:ascii="Times New Roman" w:hAnsi="Times New Roman" w:cs="Times New Roman"/>
          <w:b/>
          <w:bCs/>
          <w:sz w:val="20"/>
          <w:szCs w:val="20"/>
        </w:rPr>
      </w:pPr>
    </w:p>
    <w:p w14:paraId="32E93044"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1.2.4. Riscos financeiros e contratuais: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534BA" w:rsidRPr="00A61110" w14:paraId="6E5DA2A4" w14:textId="77777777" w:rsidTr="00522E8B">
        <w:tc>
          <w:tcPr>
            <w:tcW w:w="567" w:type="dxa"/>
            <w:vAlign w:val="center"/>
          </w:tcPr>
          <w:p w14:paraId="36ED7393" w14:textId="7B9739C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Nº</w:t>
            </w:r>
          </w:p>
        </w:tc>
        <w:tc>
          <w:tcPr>
            <w:tcW w:w="1702" w:type="dxa"/>
            <w:vAlign w:val="center"/>
          </w:tcPr>
          <w:p w14:paraId="4E77A432" w14:textId="7951CCC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Risco</w:t>
            </w:r>
          </w:p>
        </w:tc>
        <w:tc>
          <w:tcPr>
            <w:tcW w:w="1985" w:type="dxa"/>
            <w:vAlign w:val="center"/>
          </w:tcPr>
          <w:p w14:paraId="5EE2EB2D" w14:textId="1887C389"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Descrição</w:t>
            </w:r>
          </w:p>
        </w:tc>
        <w:tc>
          <w:tcPr>
            <w:tcW w:w="850" w:type="dxa"/>
            <w:vAlign w:val="center"/>
          </w:tcPr>
          <w:p w14:paraId="42651575" w14:textId="62A747F5"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Prob.</w:t>
            </w:r>
          </w:p>
        </w:tc>
        <w:tc>
          <w:tcPr>
            <w:tcW w:w="992" w:type="dxa"/>
            <w:vAlign w:val="center"/>
          </w:tcPr>
          <w:p w14:paraId="3AF509DD" w14:textId="48B17837"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Impacto</w:t>
            </w:r>
          </w:p>
        </w:tc>
        <w:tc>
          <w:tcPr>
            <w:tcW w:w="1418" w:type="dxa"/>
            <w:vAlign w:val="center"/>
          </w:tcPr>
          <w:p w14:paraId="65882D63" w14:textId="323213DA"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Responsável</w:t>
            </w:r>
          </w:p>
        </w:tc>
        <w:tc>
          <w:tcPr>
            <w:tcW w:w="1701" w:type="dxa"/>
            <w:vAlign w:val="center"/>
          </w:tcPr>
          <w:p w14:paraId="34422175" w14:textId="4AB046D0"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Medidas de Mitigação</w:t>
            </w:r>
          </w:p>
        </w:tc>
        <w:tc>
          <w:tcPr>
            <w:tcW w:w="1663" w:type="dxa"/>
            <w:vAlign w:val="center"/>
          </w:tcPr>
          <w:p w14:paraId="680A4DF5" w14:textId="043DAFFC"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Plano de Contingência</w:t>
            </w:r>
          </w:p>
        </w:tc>
      </w:tr>
      <w:tr w:rsidR="008534BA" w:rsidRPr="00A61110" w14:paraId="2A2BF16E" w14:textId="77777777" w:rsidTr="00522E8B">
        <w:tc>
          <w:tcPr>
            <w:tcW w:w="567" w:type="dxa"/>
            <w:vAlign w:val="center"/>
          </w:tcPr>
          <w:p w14:paraId="19356A56" w14:textId="670AD83E"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1</w:t>
            </w:r>
          </w:p>
        </w:tc>
        <w:tc>
          <w:tcPr>
            <w:tcW w:w="1702" w:type="dxa"/>
            <w:vAlign w:val="center"/>
          </w:tcPr>
          <w:p w14:paraId="313D295A" w14:textId="4DCF7E1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Atraso na execução</w:t>
            </w:r>
          </w:p>
        </w:tc>
        <w:tc>
          <w:tcPr>
            <w:tcW w:w="1985" w:type="dxa"/>
            <w:vAlign w:val="center"/>
          </w:tcPr>
          <w:p w14:paraId="12683FCF" w14:textId="03E7398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Descumprimento do cronograma</w:t>
            </w:r>
          </w:p>
        </w:tc>
        <w:tc>
          <w:tcPr>
            <w:tcW w:w="850" w:type="dxa"/>
            <w:vAlign w:val="center"/>
          </w:tcPr>
          <w:p w14:paraId="4464A112" w14:textId="46DE1CF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63840435" w14:textId="6BD515E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5AA248D5" w14:textId="11EAF2D0"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1ED0FC95" w14:textId="12C9E455"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Planejamento executivo</w:t>
            </w:r>
          </w:p>
        </w:tc>
        <w:tc>
          <w:tcPr>
            <w:tcW w:w="1663" w:type="dxa"/>
            <w:vAlign w:val="center"/>
          </w:tcPr>
          <w:p w14:paraId="52769481" w14:textId="242664D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Reforço de equipe</w:t>
            </w:r>
          </w:p>
        </w:tc>
      </w:tr>
      <w:tr w:rsidR="008534BA" w:rsidRPr="00A61110" w14:paraId="04D2227D" w14:textId="77777777" w:rsidTr="00522E8B">
        <w:tc>
          <w:tcPr>
            <w:tcW w:w="567" w:type="dxa"/>
            <w:vAlign w:val="center"/>
          </w:tcPr>
          <w:p w14:paraId="72D9D742" w14:textId="10F50F77"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2</w:t>
            </w:r>
          </w:p>
        </w:tc>
        <w:tc>
          <w:tcPr>
            <w:tcW w:w="1702" w:type="dxa"/>
            <w:vAlign w:val="center"/>
          </w:tcPr>
          <w:p w14:paraId="2A23F810" w14:textId="6A3EA82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Necessidade de reexecução</w:t>
            </w:r>
          </w:p>
        </w:tc>
        <w:tc>
          <w:tcPr>
            <w:tcW w:w="1985" w:type="dxa"/>
            <w:vAlign w:val="center"/>
          </w:tcPr>
          <w:p w14:paraId="40F045AB" w14:textId="6CF9C1F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Serviços executados com falhas</w:t>
            </w:r>
          </w:p>
        </w:tc>
        <w:tc>
          <w:tcPr>
            <w:tcW w:w="850" w:type="dxa"/>
            <w:vAlign w:val="center"/>
          </w:tcPr>
          <w:p w14:paraId="5CAD9260" w14:textId="5C3244C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09D5643D" w14:textId="29DD43E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5A733932" w14:textId="57582DB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1166267B" w14:textId="41A49C6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Controle de qualidade</w:t>
            </w:r>
          </w:p>
        </w:tc>
        <w:tc>
          <w:tcPr>
            <w:tcW w:w="1663" w:type="dxa"/>
            <w:vAlign w:val="center"/>
          </w:tcPr>
          <w:p w14:paraId="16DF0511" w14:textId="301BD62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Reexecução sem ônus</w:t>
            </w:r>
          </w:p>
        </w:tc>
      </w:tr>
      <w:tr w:rsidR="008534BA" w:rsidRPr="00A61110" w14:paraId="7C5E772E" w14:textId="77777777" w:rsidTr="00522E8B">
        <w:tc>
          <w:tcPr>
            <w:tcW w:w="567" w:type="dxa"/>
            <w:vAlign w:val="center"/>
          </w:tcPr>
          <w:p w14:paraId="0C81C990" w14:textId="200375E5"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3</w:t>
            </w:r>
          </w:p>
        </w:tc>
        <w:tc>
          <w:tcPr>
            <w:tcW w:w="1702" w:type="dxa"/>
            <w:vAlign w:val="center"/>
          </w:tcPr>
          <w:p w14:paraId="6A1E5CF8" w14:textId="727D30A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Variação de preços de insumos</w:t>
            </w:r>
          </w:p>
        </w:tc>
        <w:tc>
          <w:tcPr>
            <w:tcW w:w="1985" w:type="dxa"/>
            <w:vAlign w:val="center"/>
          </w:tcPr>
          <w:p w14:paraId="29E1971F" w14:textId="6B504C6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Impacto econômico na execução</w:t>
            </w:r>
          </w:p>
        </w:tc>
        <w:tc>
          <w:tcPr>
            <w:tcW w:w="850" w:type="dxa"/>
            <w:vAlign w:val="center"/>
          </w:tcPr>
          <w:p w14:paraId="4E6F51DC" w14:textId="6524491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1FA43758" w14:textId="1CD4690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79EBFD50" w14:textId="5CA5B05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6D61D7CD" w14:textId="0B35CA9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Planejamento de compras</w:t>
            </w:r>
          </w:p>
        </w:tc>
        <w:tc>
          <w:tcPr>
            <w:tcW w:w="1663" w:type="dxa"/>
            <w:vAlign w:val="center"/>
          </w:tcPr>
          <w:p w14:paraId="5DA0C97C" w14:textId="4C68B84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Aplicação das regras legais</w:t>
            </w:r>
          </w:p>
        </w:tc>
      </w:tr>
      <w:tr w:rsidR="008534BA" w:rsidRPr="00A61110" w14:paraId="2CF3315B" w14:textId="77777777" w:rsidTr="00522E8B">
        <w:tc>
          <w:tcPr>
            <w:tcW w:w="567" w:type="dxa"/>
            <w:vAlign w:val="center"/>
          </w:tcPr>
          <w:p w14:paraId="4F0F1772" w14:textId="14D086CC"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4</w:t>
            </w:r>
          </w:p>
        </w:tc>
        <w:tc>
          <w:tcPr>
            <w:tcW w:w="1702" w:type="dxa"/>
            <w:vAlign w:val="center"/>
          </w:tcPr>
          <w:p w14:paraId="11035472" w14:textId="2DCE6FF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Glosas em medições</w:t>
            </w:r>
          </w:p>
        </w:tc>
        <w:tc>
          <w:tcPr>
            <w:tcW w:w="1985" w:type="dxa"/>
            <w:vAlign w:val="center"/>
          </w:tcPr>
          <w:p w14:paraId="47CB5FB2" w14:textId="344164A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Serviços não conformes</w:t>
            </w:r>
          </w:p>
        </w:tc>
        <w:tc>
          <w:tcPr>
            <w:tcW w:w="850" w:type="dxa"/>
            <w:vAlign w:val="center"/>
          </w:tcPr>
          <w:p w14:paraId="6023180A" w14:textId="2D5DB56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3D5E1272" w14:textId="1ED22DC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5CF67EF2" w14:textId="59C4963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7770FA74" w14:textId="311A3EB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Conferência prévia</w:t>
            </w:r>
          </w:p>
        </w:tc>
        <w:tc>
          <w:tcPr>
            <w:tcW w:w="1663" w:type="dxa"/>
            <w:vAlign w:val="center"/>
          </w:tcPr>
          <w:p w14:paraId="44452D99" w14:textId="20A7CCA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Correção técnica</w:t>
            </w:r>
          </w:p>
        </w:tc>
      </w:tr>
      <w:tr w:rsidR="008534BA" w:rsidRPr="00A61110" w14:paraId="65C3CCDA" w14:textId="77777777" w:rsidTr="00522E8B">
        <w:tc>
          <w:tcPr>
            <w:tcW w:w="567" w:type="dxa"/>
            <w:vAlign w:val="center"/>
          </w:tcPr>
          <w:p w14:paraId="08B943AF" w14:textId="6AF7E7F2"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5</w:t>
            </w:r>
          </w:p>
        </w:tc>
        <w:tc>
          <w:tcPr>
            <w:tcW w:w="1702" w:type="dxa"/>
            <w:vAlign w:val="center"/>
          </w:tcPr>
          <w:p w14:paraId="466638F6" w14:textId="2572785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Paralisação por falha técnica</w:t>
            </w:r>
          </w:p>
        </w:tc>
        <w:tc>
          <w:tcPr>
            <w:tcW w:w="1985" w:type="dxa"/>
            <w:vAlign w:val="center"/>
          </w:tcPr>
          <w:p w14:paraId="5AA40B89" w14:textId="38FDE0A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Interrupção da obra</w:t>
            </w:r>
          </w:p>
        </w:tc>
        <w:tc>
          <w:tcPr>
            <w:tcW w:w="850" w:type="dxa"/>
            <w:vAlign w:val="center"/>
          </w:tcPr>
          <w:p w14:paraId="625B5C43" w14:textId="49FEA21E"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65EF59D8" w14:textId="771BD93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2A5695B4" w14:textId="71A49055"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56B9D2E3" w14:textId="6B4246C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Supervisão contínua</w:t>
            </w:r>
          </w:p>
        </w:tc>
        <w:tc>
          <w:tcPr>
            <w:tcW w:w="1663" w:type="dxa"/>
            <w:vAlign w:val="center"/>
          </w:tcPr>
          <w:p w14:paraId="31DC26A8" w14:textId="56462A3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Regularização e retomada</w:t>
            </w:r>
          </w:p>
        </w:tc>
      </w:tr>
    </w:tbl>
    <w:p w14:paraId="2396AE86" w14:textId="77777777" w:rsidR="002E7759" w:rsidRDefault="002E7759" w:rsidP="002E7759">
      <w:pPr>
        <w:spacing w:after="0" w:line="360" w:lineRule="auto"/>
        <w:jc w:val="both"/>
        <w:rPr>
          <w:rFonts w:ascii="Times New Roman" w:hAnsi="Times New Roman" w:cs="Times New Roman"/>
          <w:b/>
          <w:bCs/>
          <w:sz w:val="20"/>
          <w:szCs w:val="20"/>
        </w:rPr>
      </w:pPr>
    </w:p>
    <w:p w14:paraId="66B210A9"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1.2.5. Riscos Operacionais e Logísticos: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534BA" w:rsidRPr="00A61110" w14:paraId="19FE0652" w14:textId="77777777" w:rsidTr="00522E8B">
        <w:tc>
          <w:tcPr>
            <w:tcW w:w="567" w:type="dxa"/>
            <w:vAlign w:val="center"/>
          </w:tcPr>
          <w:p w14:paraId="58361642" w14:textId="69FB4B9C"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Nº</w:t>
            </w:r>
          </w:p>
        </w:tc>
        <w:tc>
          <w:tcPr>
            <w:tcW w:w="1702" w:type="dxa"/>
            <w:vAlign w:val="center"/>
          </w:tcPr>
          <w:p w14:paraId="2E00CD46" w14:textId="0C050C12"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Risco</w:t>
            </w:r>
          </w:p>
        </w:tc>
        <w:tc>
          <w:tcPr>
            <w:tcW w:w="1985" w:type="dxa"/>
            <w:vAlign w:val="center"/>
          </w:tcPr>
          <w:p w14:paraId="6FCFD476" w14:textId="59E33F5C"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Descrição</w:t>
            </w:r>
          </w:p>
        </w:tc>
        <w:tc>
          <w:tcPr>
            <w:tcW w:w="850" w:type="dxa"/>
            <w:vAlign w:val="center"/>
          </w:tcPr>
          <w:p w14:paraId="1316B180" w14:textId="4577A0E3"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Prob.</w:t>
            </w:r>
          </w:p>
        </w:tc>
        <w:tc>
          <w:tcPr>
            <w:tcW w:w="992" w:type="dxa"/>
            <w:vAlign w:val="center"/>
          </w:tcPr>
          <w:p w14:paraId="68A42E13" w14:textId="2B22D36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Impacto</w:t>
            </w:r>
          </w:p>
        </w:tc>
        <w:tc>
          <w:tcPr>
            <w:tcW w:w="1418" w:type="dxa"/>
            <w:vAlign w:val="center"/>
          </w:tcPr>
          <w:p w14:paraId="7D88800A" w14:textId="13DC9148"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Responsável</w:t>
            </w:r>
          </w:p>
        </w:tc>
        <w:tc>
          <w:tcPr>
            <w:tcW w:w="1701" w:type="dxa"/>
            <w:vAlign w:val="center"/>
          </w:tcPr>
          <w:p w14:paraId="78A50A79" w14:textId="118CAB7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Medidas de Mitigação</w:t>
            </w:r>
          </w:p>
        </w:tc>
        <w:tc>
          <w:tcPr>
            <w:tcW w:w="1663" w:type="dxa"/>
            <w:vAlign w:val="center"/>
          </w:tcPr>
          <w:p w14:paraId="6E8FB41F" w14:textId="223AAA93"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Plano de Contingência</w:t>
            </w:r>
          </w:p>
        </w:tc>
      </w:tr>
      <w:tr w:rsidR="008534BA" w:rsidRPr="00A61110" w14:paraId="6B74D57B" w14:textId="77777777" w:rsidTr="00522E8B">
        <w:tc>
          <w:tcPr>
            <w:tcW w:w="567" w:type="dxa"/>
            <w:vAlign w:val="center"/>
          </w:tcPr>
          <w:p w14:paraId="41453169" w14:textId="253B86ED"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1</w:t>
            </w:r>
          </w:p>
        </w:tc>
        <w:tc>
          <w:tcPr>
            <w:tcW w:w="1702" w:type="dxa"/>
            <w:vAlign w:val="center"/>
          </w:tcPr>
          <w:p w14:paraId="168556C6" w14:textId="50FB8AB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Interferência no tráfego local</w:t>
            </w:r>
          </w:p>
        </w:tc>
        <w:tc>
          <w:tcPr>
            <w:tcW w:w="1985" w:type="dxa"/>
            <w:vAlign w:val="center"/>
          </w:tcPr>
          <w:p w14:paraId="145EA44D" w14:textId="244612D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Impacto na circulação de veículos e pedestres</w:t>
            </w:r>
          </w:p>
        </w:tc>
        <w:tc>
          <w:tcPr>
            <w:tcW w:w="850" w:type="dxa"/>
            <w:vAlign w:val="center"/>
          </w:tcPr>
          <w:p w14:paraId="0DD1E48F" w14:textId="3C258240"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4839F979" w14:textId="300B5BC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73246148" w14:textId="5A8B166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Compartilhada</w:t>
            </w:r>
          </w:p>
        </w:tc>
        <w:tc>
          <w:tcPr>
            <w:tcW w:w="1701" w:type="dxa"/>
            <w:vAlign w:val="center"/>
          </w:tcPr>
          <w:p w14:paraId="55B50E8D" w14:textId="5A79E00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Sinalização e planejamento</w:t>
            </w:r>
          </w:p>
        </w:tc>
        <w:tc>
          <w:tcPr>
            <w:tcW w:w="1663" w:type="dxa"/>
            <w:vAlign w:val="center"/>
          </w:tcPr>
          <w:p w14:paraId="1DFC19C1" w14:textId="50E222F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Desvios e controle de tráfego</w:t>
            </w:r>
          </w:p>
        </w:tc>
      </w:tr>
      <w:tr w:rsidR="008534BA" w:rsidRPr="00A61110" w14:paraId="08213C31" w14:textId="77777777" w:rsidTr="00522E8B">
        <w:tc>
          <w:tcPr>
            <w:tcW w:w="567" w:type="dxa"/>
            <w:vAlign w:val="center"/>
          </w:tcPr>
          <w:p w14:paraId="7C2EBDC0" w14:textId="55534187"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2</w:t>
            </w:r>
          </w:p>
        </w:tc>
        <w:tc>
          <w:tcPr>
            <w:tcW w:w="1702" w:type="dxa"/>
            <w:vAlign w:val="center"/>
          </w:tcPr>
          <w:p w14:paraId="28326883" w14:textId="56549C7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Furto ou vandalismo</w:t>
            </w:r>
          </w:p>
        </w:tc>
        <w:tc>
          <w:tcPr>
            <w:tcW w:w="1985" w:type="dxa"/>
            <w:vAlign w:val="center"/>
          </w:tcPr>
          <w:p w14:paraId="30E02383" w14:textId="050E97B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Perda de materiais e equipamentos</w:t>
            </w:r>
          </w:p>
        </w:tc>
        <w:tc>
          <w:tcPr>
            <w:tcW w:w="850" w:type="dxa"/>
            <w:vAlign w:val="center"/>
          </w:tcPr>
          <w:p w14:paraId="21BF1BBA" w14:textId="4CBCF1D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3B977ED2" w14:textId="3A9B61B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3DE9065F" w14:textId="15600EE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2FA63A50" w14:textId="0AE7185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Controle de acesso</w:t>
            </w:r>
          </w:p>
        </w:tc>
        <w:tc>
          <w:tcPr>
            <w:tcW w:w="1663" w:type="dxa"/>
            <w:vAlign w:val="center"/>
          </w:tcPr>
          <w:p w14:paraId="1717D3B3" w14:textId="5396FDE1"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Reposição imediata</w:t>
            </w:r>
          </w:p>
        </w:tc>
      </w:tr>
      <w:tr w:rsidR="008534BA" w:rsidRPr="00A61110" w14:paraId="16FE7200" w14:textId="77777777" w:rsidTr="00522E8B">
        <w:tc>
          <w:tcPr>
            <w:tcW w:w="567" w:type="dxa"/>
            <w:vAlign w:val="center"/>
          </w:tcPr>
          <w:p w14:paraId="7E0EE62F" w14:textId="40A75FEC"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3</w:t>
            </w:r>
          </w:p>
        </w:tc>
        <w:tc>
          <w:tcPr>
            <w:tcW w:w="1702" w:type="dxa"/>
            <w:vAlign w:val="center"/>
          </w:tcPr>
          <w:p w14:paraId="1CA196BB" w14:textId="597A29C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Logística inadequada de materiais</w:t>
            </w:r>
          </w:p>
        </w:tc>
        <w:tc>
          <w:tcPr>
            <w:tcW w:w="1985" w:type="dxa"/>
            <w:vAlign w:val="center"/>
          </w:tcPr>
          <w:p w14:paraId="7E204EEF" w14:textId="5C8ADA7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Problemas no transporte de CBUQ</w:t>
            </w:r>
          </w:p>
        </w:tc>
        <w:tc>
          <w:tcPr>
            <w:tcW w:w="850" w:type="dxa"/>
            <w:vAlign w:val="center"/>
          </w:tcPr>
          <w:p w14:paraId="38812035" w14:textId="0740402A"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4CBD74FC" w14:textId="219299B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1B3DB852" w14:textId="14A2B33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29D4F449" w14:textId="66F630C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Planejamento logístico</w:t>
            </w:r>
          </w:p>
        </w:tc>
        <w:tc>
          <w:tcPr>
            <w:tcW w:w="1663" w:type="dxa"/>
            <w:vAlign w:val="center"/>
          </w:tcPr>
          <w:p w14:paraId="69AC6DD5" w14:textId="2C39DBB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Reprogramação</w:t>
            </w:r>
          </w:p>
        </w:tc>
      </w:tr>
      <w:tr w:rsidR="008534BA" w:rsidRPr="00A61110" w14:paraId="19567388" w14:textId="77777777" w:rsidTr="00522E8B">
        <w:tc>
          <w:tcPr>
            <w:tcW w:w="567" w:type="dxa"/>
            <w:vAlign w:val="center"/>
          </w:tcPr>
          <w:p w14:paraId="3A6839E0" w14:textId="7694669A"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4</w:t>
            </w:r>
          </w:p>
        </w:tc>
        <w:tc>
          <w:tcPr>
            <w:tcW w:w="1702" w:type="dxa"/>
            <w:vAlign w:val="center"/>
          </w:tcPr>
          <w:p w14:paraId="4B8111FA" w14:textId="1362BB4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Falhas de comunicação institucional</w:t>
            </w:r>
          </w:p>
        </w:tc>
        <w:tc>
          <w:tcPr>
            <w:tcW w:w="1985" w:type="dxa"/>
            <w:vAlign w:val="center"/>
          </w:tcPr>
          <w:p w14:paraId="319B883A" w14:textId="2CD8F199"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Problemas na coordenação</w:t>
            </w:r>
          </w:p>
        </w:tc>
        <w:tc>
          <w:tcPr>
            <w:tcW w:w="850" w:type="dxa"/>
            <w:vAlign w:val="center"/>
          </w:tcPr>
          <w:p w14:paraId="36C5DBD5" w14:textId="7481351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5F8F4E26" w14:textId="2981185E"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17B5E47E" w14:textId="3B67C1A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Compartilhada</w:t>
            </w:r>
          </w:p>
        </w:tc>
        <w:tc>
          <w:tcPr>
            <w:tcW w:w="1701" w:type="dxa"/>
            <w:vAlign w:val="center"/>
          </w:tcPr>
          <w:p w14:paraId="380B83B3" w14:textId="0289FEE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Reuniões periódicas</w:t>
            </w:r>
          </w:p>
        </w:tc>
        <w:tc>
          <w:tcPr>
            <w:tcW w:w="1663" w:type="dxa"/>
            <w:vAlign w:val="center"/>
          </w:tcPr>
          <w:p w14:paraId="2CC84045" w14:textId="430DD5F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Reunião extraordinária</w:t>
            </w:r>
          </w:p>
        </w:tc>
      </w:tr>
    </w:tbl>
    <w:p w14:paraId="249AE16E" w14:textId="77777777" w:rsidR="002E7759" w:rsidRPr="00A61110" w:rsidRDefault="002E7759" w:rsidP="002E7759">
      <w:pPr>
        <w:spacing w:after="0" w:line="360" w:lineRule="auto"/>
        <w:jc w:val="both"/>
        <w:rPr>
          <w:rFonts w:ascii="Times New Roman" w:hAnsi="Times New Roman" w:cs="Times New Roman"/>
          <w:b/>
          <w:bCs/>
          <w:sz w:val="20"/>
          <w:szCs w:val="20"/>
        </w:rPr>
      </w:pPr>
    </w:p>
    <w:p w14:paraId="64C6F534"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1.2.6. Riscos Sociais e Institucionais: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534BA" w:rsidRPr="00A61110" w14:paraId="2C766EB7" w14:textId="77777777" w:rsidTr="00522E8B">
        <w:tc>
          <w:tcPr>
            <w:tcW w:w="567" w:type="dxa"/>
            <w:vAlign w:val="center"/>
          </w:tcPr>
          <w:p w14:paraId="3FB9A73B" w14:textId="36FBB7F8"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Nº</w:t>
            </w:r>
          </w:p>
        </w:tc>
        <w:tc>
          <w:tcPr>
            <w:tcW w:w="1702" w:type="dxa"/>
            <w:vAlign w:val="center"/>
          </w:tcPr>
          <w:p w14:paraId="50514605" w14:textId="73AB0712"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Risco</w:t>
            </w:r>
          </w:p>
        </w:tc>
        <w:tc>
          <w:tcPr>
            <w:tcW w:w="1985" w:type="dxa"/>
            <w:vAlign w:val="center"/>
          </w:tcPr>
          <w:p w14:paraId="58F80183" w14:textId="11A2C073"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Descrição</w:t>
            </w:r>
          </w:p>
        </w:tc>
        <w:tc>
          <w:tcPr>
            <w:tcW w:w="850" w:type="dxa"/>
            <w:vAlign w:val="center"/>
          </w:tcPr>
          <w:p w14:paraId="3D5ED44F" w14:textId="253BAD56"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Prob.</w:t>
            </w:r>
          </w:p>
        </w:tc>
        <w:tc>
          <w:tcPr>
            <w:tcW w:w="992" w:type="dxa"/>
            <w:vAlign w:val="center"/>
          </w:tcPr>
          <w:p w14:paraId="7A03ACBE" w14:textId="1F9BDCE0"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Impacto</w:t>
            </w:r>
          </w:p>
        </w:tc>
        <w:tc>
          <w:tcPr>
            <w:tcW w:w="1418" w:type="dxa"/>
            <w:vAlign w:val="center"/>
          </w:tcPr>
          <w:p w14:paraId="7A06F140" w14:textId="64D0B3F6"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Responsável</w:t>
            </w:r>
          </w:p>
        </w:tc>
        <w:tc>
          <w:tcPr>
            <w:tcW w:w="1701" w:type="dxa"/>
            <w:vAlign w:val="center"/>
          </w:tcPr>
          <w:p w14:paraId="77622ABE" w14:textId="2A795914"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Medidas de Mitigação</w:t>
            </w:r>
          </w:p>
        </w:tc>
        <w:tc>
          <w:tcPr>
            <w:tcW w:w="1663" w:type="dxa"/>
            <w:vAlign w:val="center"/>
          </w:tcPr>
          <w:p w14:paraId="0C0EBD07" w14:textId="1CA945A9"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b/>
                <w:bCs/>
                <w:sz w:val="19"/>
                <w:szCs w:val="19"/>
              </w:rPr>
              <w:t>Plano de Contingência</w:t>
            </w:r>
          </w:p>
        </w:tc>
      </w:tr>
      <w:tr w:rsidR="008534BA" w:rsidRPr="00A61110" w14:paraId="42231F9E" w14:textId="77777777" w:rsidTr="00522E8B">
        <w:tc>
          <w:tcPr>
            <w:tcW w:w="567" w:type="dxa"/>
            <w:vAlign w:val="center"/>
          </w:tcPr>
          <w:p w14:paraId="56822CA9" w14:textId="1491AB75"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1</w:t>
            </w:r>
          </w:p>
        </w:tc>
        <w:tc>
          <w:tcPr>
            <w:tcW w:w="1702" w:type="dxa"/>
            <w:vAlign w:val="center"/>
          </w:tcPr>
          <w:p w14:paraId="5AF8227D" w14:textId="39FE104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Reclamações da comunidade</w:t>
            </w:r>
          </w:p>
        </w:tc>
        <w:tc>
          <w:tcPr>
            <w:tcW w:w="1985" w:type="dxa"/>
            <w:vAlign w:val="center"/>
          </w:tcPr>
          <w:p w14:paraId="7C50001B" w14:textId="1D63347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Incômodos durante a obra</w:t>
            </w:r>
          </w:p>
        </w:tc>
        <w:tc>
          <w:tcPr>
            <w:tcW w:w="850" w:type="dxa"/>
            <w:vAlign w:val="center"/>
          </w:tcPr>
          <w:p w14:paraId="2420FED3" w14:textId="134AF76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20DCB79A" w14:textId="6B28A62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4E7C4558" w14:textId="3BEF02AC"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Compartilhada</w:t>
            </w:r>
          </w:p>
        </w:tc>
        <w:tc>
          <w:tcPr>
            <w:tcW w:w="1701" w:type="dxa"/>
            <w:vAlign w:val="center"/>
          </w:tcPr>
          <w:p w14:paraId="107D15DE" w14:textId="32CDAD4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Comunicação e sinalização</w:t>
            </w:r>
          </w:p>
        </w:tc>
        <w:tc>
          <w:tcPr>
            <w:tcW w:w="1663" w:type="dxa"/>
            <w:vAlign w:val="center"/>
          </w:tcPr>
          <w:p w14:paraId="29BC9169" w14:textId="61CD1F4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Ajustes operacionais</w:t>
            </w:r>
          </w:p>
        </w:tc>
      </w:tr>
      <w:tr w:rsidR="008534BA" w:rsidRPr="00A61110" w14:paraId="05AEA955" w14:textId="77777777" w:rsidTr="00522E8B">
        <w:tc>
          <w:tcPr>
            <w:tcW w:w="567" w:type="dxa"/>
            <w:vAlign w:val="center"/>
          </w:tcPr>
          <w:p w14:paraId="5880CC42" w14:textId="488B0B47"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2</w:t>
            </w:r>
          </w:p>
        </w:tc>
        <w:tc>
          <w:tcPr>
            <w:tcW w:w="1702" w:type="dxa"/>
            <w:vAlign w:val="center"/>
          </w:tcPr>
          <w:p w14:paraId="6028F457" w14:textId="3E05215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Impactos na mobilidade local</w:t>
            </w:r>
          </w:p>
        </w:tc>
        <w:tc>
          <w:tcPr>
            <w:tcW w:w="1985" w:type="dxa"/>
            <w:vAlign w:val="center"/>
          </w:tcPr>
          <w:p w14:paraId="1E328AD2" w14:textId="07C65D8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Dificuldades de acesso durante execução</w:t>
            </w:r>
          </w:p>
        </w:tc>
        <w:tc>
          <w:tcPr>
            <w:tcW w:w="850" w:type="dxa"/>
            <w:vAlign w:val="center"/>
          </w:tcPr>
          <w:p w14:paraId="14044C45" w14:textId="6CEA06D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Média</w:t>
            </w:r>
          </w:p>
        </w:tc>
        <w:tc>
          <w:tcPr>
            <w:tcW w:w="992" w:type="dxa"/>
            <w:vAlign w:val="center"/>
          </w:tcPr>
          <w:p w14:paraId="03EEAC77" w14:textId="76B4C2F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765B09F3" w14:textId="713315B0"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Compartilhada</w:t>
            </w:r>
          </w:p>
        </w:tc>
        <w:tc>
          <w:tcPr>
            <w:tcW w:w="1701" w:type="dxa"/>
            <w:vAlign w:val="center"/>
          </w:tcPr>
          <w:p w14:paraId="1D999C60" w14:textId="141FA9B0"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Execução por etapas</w:t>
            </w:r>
          </w:p>
        </w:tc>
        <w:tc>
          <w:tcPr>
            <w:tcW w:w="1663" w:type="dxa"/>
            <w:vAlign w:val="center"/>
          </w:tcPr>
          <w:p w14:paraId="2910D456" w14:textId="07FAF51B"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Rotas alternativas</w:t>
            </w:r>
          </w:p>
        </w:tc>
      </w:tr>
      <w:tr w:rsidR="008534BA" w:rsidRPr="00A61110" w14:paraId="1891E13A" w14:textId="77777777" w:rsidTr="00522E8B">
        <w:tc>
          <w:tcPr>
            <w:tcW w:w="567" w:type="dxa"/>
            <w:vAlign w:val="center"/>
          </w:tcPr>
          <w:p w14:paraId="18A2DD4D" w14:textId="44BFC7AE"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3</w:t>
            </w:r>
          </w:p>
        </w:tc>
        <w:tc>
          <w:tcPr>
            <w:tcW w:w="1702" w:type="dxa"/>
            <w:vAlign w:val="center"/>
          </w:tcPr>
          <w:p w14:paraId="3B108806" w14:textId="48AE3E9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 qualidade final da obra</w:t>
            </w:r>
          </w:p>
        </w:tc>
        <w:tc>
          <w:tcPr>
            <w:tcW w:w="1985" w:type="dxa"/>
            <w:vAlign w:val="center"/>
          </w:tcPr>
          <w:p w14:paraId="043F18BD" w14:textId="366A2868"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Comprometimento da durabilidade</w:t>
            </w:r>
          </w:p>
        </w:tc>
        <w:tc>
          <w:tcPr>
            <w:tcW w:w="850" w:type="dxa"/>
            <w:vAlign w:val="center"/>
          </w:tcPr>
          <w:p w14:paraId="03A4B3E0" w14:textId="1EF0F3A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6095481A" w14:textId="72424DC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Alto</w:t>
            </w:r>
          </w:p>
        </w:tc>
        <w:tc>
          <w:tcPr>
            <w:tcW w:w="1418" w:type="dxa"/>
            <w:vAlign w:val="center"/>
          </w:tcPr>
          <w:p w14:paraId="59FC0255" w14:textId="6E23D717"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Contratada</w:t>
            </w:r>
          </w:p>
        </w:tc>
        <w:tc>
          <w:tcPr>
            <w:tcW w:w="1701" w:type="dxa"/>
            <w:vAlign w:val="center"/>
          </w:tcPr>
          <w:p w14:paraId="33F25E81" w14:textId="365A2190"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Fiscalização rigorosa</w:t>
            </w:r>
          </w:p>
        </w:tc>
        <w:tc>
          <w:tcPr>
            <w:tcW w:w="1663" w:type="dxa"/>
            <w:vAlign w:val="center"/>
          </w:tcPr>
          <w:p w14:paraId="74205CB7" w14:textId="69B60114"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Correção integral</w:t>
            </w:r>
          </w:p>
        </w:tc>
      </w:tr>
      <w:tr w:rsidR="008534BA" w:rsidRPr="00A61110" w14:paraId="6F071864" w14:textId="77777777" w:rsidTr="00522E8B">
        <w:tc>
          <w:tcPr>
            <w:tcW w:w="567" w:type="dxa"/>
            <w:vAlign w:val="center"/>
          </w:tcPr>
          <w:p w14:paraId="2F7A3494" w14:textId="6ACB9787" w:rsidR="008534BA" w:rsidRPr="008534BA" w:rsidRDefault="008534BA" w:rsidP="00522E8B">
            <w:pPr>
              <w:spacing w:line="360" w:lineRule="auto"/>
              <w:jc w:val="center"/>
              <w:rPr>
                <w:rFonts w:ascii="Times New Roman" w:hAnsi="Times New Roman" w:cs="Times New Roman"/>
                <w:b/>
                <w:bCs/>
                <w:sz w:val="19"/>
                <w:szCs w:val="19"/>
              </w:rPr>
            </w:pPr>
            <w:r w:rsidRPr="008534BA">
              <w:rPr>
                <w:rFonts w:ascii="Times New Roman" w:hAnsi="Times New Roman" w:cs="Times New Roman"/>
                <w:sz w:val="19"/>
                <w:szCs w:val="19"/>
              </w:rPr>
              <w:t>4</w:t>
            </w:r>
          </w:p>
        </w:tc>
        <w:tc>
          <w:tcPr>
            <w:tcW w:w="1702" w:type="dxa"/>
            <w:vAlign w:val="center"/>
          </w:tcPr>
          <w:p w14:paraId="7E3FE8AE" w14:textId="31377A93"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Impacto reputacional institucional</w:t>
            </w:r>
          </w:p>
        </w:tc>
        <w:tc>
          <w:tcPr>
            <w:tcW w:w="1985" w:type="dxa"/>
            <w:vAlign w:val="center"/>
          </w:tcPr>
          <w:p w14:paraId="74CE5005" w14:textId="3FBAF1E2"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Repercussão negativa da obra</w:t>
            </w:r>
          </w:p>
        </w:tc>
        <w:tc>
          <w:tcPr>
            <w:tcW w:w="850" w:type="dxa"/>
            <w:vAlign w:val="center"/>
          </w:tcPr>
          <w:p w14:paraId="29E0D6EA" w14:textId="45B1929D"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Baixa</w:t>
            </w:r>
          </w:p>
        </w:tc>
        <w:tc>
          <w:tcPr>
            <w:tcW w:w="992" w:type="dxa"/>
            <w:vAlign w:val="center"/>
          </w:tcPr>
          <w:p w14:paraId="31A195AB" w14:textId="1B8AAB2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Médio</w:t>
            </w:r>
          </w:p>
        </w:tc>
        <w:tc>
          <w:tcPr>
            <w:tcW w:w="1418" w:type="dxa"/>
            <w:vAlign w:val="center"/>
          </w:tcPr>
          <w:p w14:paraId="1EF77F9D" w14:textId="7678A6A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Compartilhada</w:t>
            </w:r>
          </w:p>
        </w:tc>
        <w:tc>
          <w:tcPr>
            <w:tcW w:w="1701" w:type="dxa"/>
            <w:vAlign w:val="center"/>
          </w:tcPr>
          <w:p w14:paraId="17E7703F" w14:textId="388B18AF"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Monitoramento contínuo</w:t>
            </w:r>
          </w:p>
        </w:tc>
        <w:tc>
          <w:tcPr>
            <w:tcW w:w="1663" w:type="dxa"/>
            <w:vAlign w:val="center"/>
          </w:tcPr>
          <w:p w14:paraId="24C9DBEF" w14:textId="41ACE316" w:rsidR="008534BA" w:rsidRPr="008534BA" w:rsidRDefault="008534BA" w:rsidP="00522E8B">
            <w:pPr>
              <w:spacing w:line="360" w:lineRule="auto"/>
              <w:jc w:val="center"/>
              <w:rPr>
                <w:rFonts w:ascii="Times New Roman" w:hAnsi="Times New Roman" w:cs="Times New Roman"/>
                <w:sz w:val="19"/>
                <w:szCs w:val="19"/>
              </w:rPr>
            </w:pPr>
            <w:r w:rsidRPr="008534BA">
              <w:rPr>
                <w:rFonts w:ascii="Times New Roman" w:hAnsi="Times New Roman" w:cs="Times New Roman"/>
                <w:sz w:val="19"/>
                <w:szCs w:val="19"/>
              </w:rPr>
              <w:t>Medidas administrativas</w:t>
            </w:r>
          </w:p>
        </w:tc>
      </w:tr>
    </w:tbl>
    <w:p w14:paraId="7E3FB9D9" w14:textId="77777777" w:rsidR="002E7759" w:rsidRDefault="002E7759" w:rsidP="002E7759">
      <w:pPr>
        <w:spacing w:after="0" w:line="360" w:lineRule="auto"/>
        <w:jc w:val="both"/>
        <w:rPr>
          <w:rFonts w:ascii="Times New Roman" w:hAnsi="Times New Roman" w:cs="Times New Roman"/>
          <w:b/>
          <w:bCs/>
          <w:sz w:val="20"/>
          <w:szCs w:val="20"/>
        </w:rPr>
      </w:pPr>
    </w:p>
    <w:p w14:paraId="6DC9AE0B"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1.3. DISTRIBUIÇÃO DE RESPONSABILIDADES:</w:t>
      </w:r>
    </w:p>
    <w:p w14:paraId="7BD0B6DE" w14:textId="77777777" w:rsidR="008534BA" w:rsidRPr="008534BA" w:rsidRDefault="008534BA" w:rsidP="008534BA">
      <w:pPr>
        <w:spacing w:after="0" w:line="360" w:lineRule="auto"/>
        <w:ind w:firstLine="708"/>
        <w:jc w:val="both"/>
        <w:rPr>
          <w:rFonts w:ascii="Times New Roman" w:hAnsi="Times New Roman" w:cs="Times New Roman"/>
          <w:sz w:val="20"/>
          <w:szCs w:val="20"/>
        </w:rPr>
      </w:pPr>
      <w:r w:rsidRPr="008534BA">
        <w:rPr>
          <w:rFonts w:ascii="Times New Roman" w:hAnsi="Times New Roman" w:cs="Times New Roman"/>
          <w:sz w:val="20"/>
          <w:szCs w:val="20"/>
        </w:rPr>
        <w:t>A distribuição de responsabilidades prevista nesta Matriz de Riscos observa os princípios da eficiência, da razoabilidade, da proporcionalidade, da prevenção e da adequada alocação objetiva de riscos, nos termos da Lei nº 14.133/2021, considerando a natureza específica da contratação, consistente em obra de engenharia para execução de pavimentação asfáltica em trecho da Rua 04 de Julho, com implantação de infraestrutura viária, drenagem pluvial, base, sub-base, revestimento asfáltico e sinalização viária.</w:t>
      </w:r>
    </w:p>
    <w:p w14:paraId="548AF793" w14:textId="77777777" w:rsidR="008534BA" w:rsidRDefault="008534BA" w:rsidP="008534BA">
      <w:pPr>
        <w:spacing w:after="0" w:line="360" w:lineRule="auto"/>
        <w:ind w:firstLine="708"/>
        <w:jc w:val="both"/>
        <w:rPr>
          <w:rFonts w:ascii="Times New Roman" w:hAnsi="Times New Roman" w:cs="Times New Roman"/>
          <w:sz w:val="20"/>
          <w:szCs w:val="20"/>
        </w:rPr>
      </w:pPr>
      <w:r w:rsidRPr="008534BA">
        <w:rPr>
          <w:rFonts w:ascii="Times New Roman" w:hAnsi="Times New Roman" w:cs="Times New Roman"/>
          <w:sz w:val="20"/>
          <w:szCs w:val="20"/>
        </w:rPr>
        <w:t>A alocação adotada tem por finalidade definir, de forma objetiva, transparente e previamente conhecida pelas partes, os riscos atribuídos ao Contratante, à Contratada e aqueles de responsabilidade compartilhada, bem como estabelecer critérios técnicos para análise de seus eventuais reflexos sobre o prazo de execução, o custo da obra e o equilíbrio econômico-financeiro do contrato, prevenindo controvérsias e reduzindo assimetrias informacionais ao longo da execução contratual.</w:t>
      </w:r>
    </w:p>
    <w:p w14:paraId="666DEA64" w14:textId="77777777" w:rsidR="008534BA" w:rsidRDefault="008534BA" w:rsidP="008534BA">
      <w:pPr>
        <w:spacing w:after="0" w:line="360" w:lineRule="auto"/>
        <w:ind w:firstLine="708"/>
        <w:jc w:val="both"/>
        <w:rPr>
          <w:rFonts w:ascii="Times New Roman" w:hAnsi="Times New Roman" w:cs="Times New Roman"/>
          <w:sz w:val="20"/>
          <w:szCs w:val="20"/>
        </w:rPr>
      </w:pPr>
    </w:p>
    <w:p w14:paraId="18D0EBEF" w14:textId="77777777" w:rsidR="008534BA" w:rsidRDefault="008534BA" w:rsidP="008534BA">
      <w:pPr>
        <w:spacing w:after="0" w:line="360" w:lineRule="auto"/>
        <w:ind w:firstLine="708"/>
        <w:jc w:val="both"/>
        <w:rPr>
          <w:rFonts w:ascii="Times New Roman" w:hAnsi="Times New Roman" w:cs="Times New Roman"/>
          <w:sz w:val="20"/>
          <w:szCs w:val="20"/>
        </w:rPr>
      </w:pPr>
      <w:r w:rsidRPr="008534BA">
        <w:rPr>
          <w:rFonts w:ascii="Times New Roman" w:hAnsi="Times New Roman" w:cs="Times New Roman"/>
          <w:b/>
          <w:bCs/>
          <w:sz w:val="20"/>
          <w:szCs w:val="20"/>
        </w:rPr>
        <w:t>a) Contratante – Município de Paverama/RS:</w:t>
      </w:r>
    </w:p>
    <w:p w14:paraId="429F1CDE" w14:textId="77777777" w:rsidR="008534BA" w:rsidRDefault="008534BA" w:rsidP="008534BA">
      <w:pPr>
        <w:spacing w:after="0" w:line="360" w:lineRule="auto"/>
        <w:ind w:firstLine="708"/>
        <w:jc w:val="both"/>
        <w:rPr>
          <w:rFonts w:ascii="Times New Roman" w:hAnsi="Times New Roman" w:cs="Times New Roman"/>
          <w:sz w:val="20"/>
          <w:szCs w:val="20"/>
        </w:rPr>
      </w:pPr>
      <w:r w:rsidRPr="008534BA">
        <w:rPr>
          <w:rFonts w:ascii="Times New Roman" w:hAnsi="Times New Roman" w:cs="Times New Roman"/>
          <w:sz w:val="20"/>
          <w:szCs w:val="20"/>
        </w:rPr>
        <w:t>Compete ao Contratante assumir os riscos decorrentes de atos, fatos ou omissões de natureza administrativa, institucional, normativa ou decisória, bem como aqueles que extrapolem o risco ordinário da atividade empresarial da Contratada e que não possam ser por ela razoavelmente gerenciados, especialmente:</w:t>
      </w:r>
    </w:p>
    <w:p w14:paraId="199279F0"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disponibilização da área de intervenção necessária à execução da obra, garantindo acesso regular, organizado e compatível com o cronograma aprovado; </w:t>
      </w:r>
    </w:p>
    <w:p w14:paraId="159691BF"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adoção de providências institucionais relativas à organização do tráfego local, desvios eventualmente necessários e comunicação com a comunidade, quando extrapolarem a esfera de atuação da Contratada; </w:t>
      </w:r>
    </w:p>
    <w:p w14:paraId="5FA17220"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expedição de ordens formais que impliquem modificação superveniente do objeto, do método executivo ou das condições originalmente pactuadas; </w:t>
      </w:r>
    </w:p>
    <w:p w14:paraId="7F0363A6"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Alterações legislativas, regulamentares ou normativas supervenientes à contratação que impactem diretamente a execução contratual; </w:t>
      </w:r>
    </w:p>
    <w:p w14:paraId="7C3B15EC"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Determinações administrativas que resultem em paralisação ou suspensão da obra por razões institucionais, orçamentárias ou estratégicas; e </w:t>
      </w:r>
    </w:p>
    <w:p w14:paraId="68DC86D1" w14:textId="7F12FC4F" w:rsidR="008534BA" w:rsidRP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ocorrência de eventos extraordinários e imprevisíveis alheios à esfera de atuação da Contratada, desde que comprovado o nexo causal e o impacto efetivo sobre o contrato. </w:t>
      </w:r>
    </w:p>
    <w:p w14:paraId="6F2D00A6" w14:textId="77777777" w:rsidR="008534BA" w:rsidRPr="008534BA" w:rsidRDefault="008534BA" w:rsidP="008534BA">
      <w:pPr>
        <w:spacing w:after="0" w:line="360" w:lineRule="auto"/>
        <w:ind w:firstLine="709"/>
        <w:jc w:val="both"/>
        <w:rPr>
          <w:rFonts w:ascii="Times New Roman" w:hAnsi="Times New Roman" w:cs="Times New Roman"/>
          <w:b/>
          <w:bCs/>
          <w:sz w:val="20"/>
          <w:szCs w:val="20"/>
        </w:rPr>
      </w:pPr>
      <w:r w:rsidRPr="008534BA">
        <w:rPr>
          <w:rFonts w:ascii="Times New Roman" w:hAnsi="Times New Roman" w:cs="Times New Roman"/>
          <w:b/>
          <w:bCs/>
          <w:sz w:val="20"/>
          <w:szCs w:val="20"/>
        </w:rPr>
        <w:t>NOS CASOS EM QUE A MATERIALIZAÇÃO DESSES RISCOS RESULTAR EM IMPACTO RELEVANTE SOBRE O PRAZO DE EXECUÇÃO OU SOBRE OS CUSTOS ORIGINALMENTE PREVISTOS, PODERÁ SER ANALISADA, DE FORMA MOTIVADA E EXCEPCIONAL, A NECESSIDADE DE PRORROGAÇÃO CONTRATUAL E/OU RECOMPOSIÇÃO DO EQUILÍBRIO ECONÔMICO-FINANCEIRO, OBSERVADOS OS LIMITES LEGAIS, ESTA MATRIZ DE RISCOS E AS DISPOSIÇÕES DA LEI Nº 14.133/2021.</w:t>
      </w:r>
    </w:p>
    <w:p w14:paraId="73F86970" w14:textId="77777777" w:rsidR="002E7759" w:rsidRPr="003A0FDA" w:rsidRDefault="002E7759" w:rsidP="002E7759">
      <w:pPr>
        <w:spacing w:after="0" w:line="360" w:lineRule="auto"/>
        <w:jc w:val="both"/>
        <w:rPr>
          <w:rFonts w:ascii="Times New Roman" w:hAnsi="Times New Roman" w:cs="Times New Roman"/>
          <w:sz w:val="20"/>
          <w:szCs w:val="20"/>
        </w:rPr>
      </w:pPr>
    </w:p>
    <w:p w14:paraId="1BF1E952" w14:textId="77777777" w:rsidR="002E7759" w:rsidRPr="003A0FDA" w:rsidRDefault="002E7759" w:rsidP="002E7759">
      <w:pPr>
        <w:spacing w:after="0" w:line="360" w:lineRule="auto"/>
        <w:ind w:firstLine="708"/>
        <w:jc w:val="both"/>
        <w:rPr>
          <w:rFonts w:ascii="Times New Roman" w:hAnsi="Times New Roman" w:cs="Times New Roman"/>
          <w:b/>
          <w:bCs/>
          <w:sz w:val="20"/>
          <w:szCs w:val="20"/>
        </w:rPr>
      </w:pPr>
      <w:r w:rsidRPr="003A0FDA">
        <w:rPr>
          <w:rFonts w:ascii="Times New Roman" w:hAnsi="Times New Roman" w:cs="Times New Roman"/>
          <w:b/>
          <w:bCs/>
          <w:sz w:val="20"/>
          <w:szCs w:val="20"/>
        </w:rPr>
        <w:t>b) Contratada:</w:t>
      </w:r>
    </w:p>
    <w:p w14:paraId="69D4D5B4" w14:textId="77777777" w:rsidR="008534BA" w:rsidRDefault="008534BA" w:rsidP="008534BA">
      <w:pPr>
        <w:spacing w:after="0" w:line="360" w:lineRule="auto"/>
        <w:ind w:firstLine="708"/>
        <w:jc w:val="both"/>
        <w:rPr>
          <w:rFonts w:ascii="Times New Roman" w:hAnsi="Times New Roman" w:cs="Times New Roman"/>
          <w:sz w:val="20"/>
          <w:szCs w:val="20"/>
        </w:rPr>
      </w:pPr>
      <w:r w:rsidRPr="008534BA">
        <w:rPr>
          <w:rFonts w:ascii="Times New Roman" w:hAnsi="Times New Roman" w:cs="Times New Roman"/>
          <w:sz w:val="20"/>
          <w:szCs w:val="20"/>
        </w:rPr>
        <w:t xml:space="preserve">Compete à Contratada assumir integralmente os riscos inerentes à execução do objeto, característicos do risco empresarial ordinário, por se tratarem de eventos previsíveis, mensuráveis e passíveis de gerenciamento técnico, operacional, econômico e logístico, especialmente aqueles relacionados à execução da </w:t>
      </w:r>
      <w:r w:rsidRPr="008534BA">
        <w:rPr>
          <w:rFonts w:ascii="Times New Roman" w:hAnsi="Times New Roman" w:cs="Times New Roman"/>
          <w:b/>
          <w:bCs/>
          <w:sz w:val="20"/>
          <w:szCs w:val="20"/>
        </w:rPr>
        <w:t>obra de infraestrutura viária</w:t>
      </w:r>
      <w:r w:rsidRPr="008534BA">
        <w:rPr>
          <w:rFonts w:ascii="Times New Roman" w:hAnsi="Times New Roman" w:cs="Times New Roman"/>
          <w:sz w:val="20"/>
          <w:szCs w:val="20"/>
        </w:rPr>
        <w:t>, incluindo, mas não se limitando a:</w:t>
      </w:r>
    </w:p>
    <w:p w14:paraId="677A734A" w14:textId="77777777" w:rsidR="008534BA" w:rsidRDefault="008534BA" w:rsidP="008534BA">
      <w:pPr>
        <w:spacing w:after="0"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organização, gestão e supervisão da mão de obra empregada, inclusive quanto ao cumprimento integral das obrigações trabalhistas, previdenciárias, fiscais e de segurança e saúde no trabalho; </w:t>
      </w:r>
    </w:p>
    <w:p w14:paraId="11AB8B21" w14:textId="77777777" w:rsidR="008534BA" w:rsidRDefault="008534BA" w:rsidP="008534BA">
      <w:pPr>
        <w:spacing w:after="0"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execução adequada dos serviços de terraplenagem, regularização e compactação de subleito, implantação da microdrenagem pluvial, execução de base e sub-base, imprimação, pintura de ligação, aplicação do C.B.U.Q. e implantação da sinalização viária, em estrita conformidade com o memorial descritivo, a planilha orçamentária e as normas técnicas aplicáveis; </w:t>
      </w:r>
    </w:p>
    <w:p w14:paraId="1E4E088D"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aquisição, transporte, armazenamento e correta aplicação dos materiais, assegurando qualidade, procedência e compatibilidade com as especificações técnicas; </w:t>
      </w:r>
    </w:p>
    <w:p w14:paraId="0EFC97AB"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compatibilização técnica dos serviços com as condições reais do trecho, mediante verificação prévia e acompanhamento técnico contínuo; </w:t>
      </w:r>
    </w:p>
    <w:p w14:paraId="48200642"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prevenção de falhas executivas que comprometam a durabilidade do pavimento, o funcionamento da drenagem, a estabilidade das camadas estruturais ou a segurança da circulação; </w:t>
      </w:r>
    </w:p>
    <w:p w14:paraId="422BEFCF"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organização do canteiro e da logística de obra em espaço compatível com a dinâmica da via e do entorno, garantindo segurança de trabalhadores, usuários e terceiros; </w:t>
      </w:r>
    </w:p>
    <w:p w14:paraId="3398F1BE" w14:textId="5DEC8068"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A prevenção de acidentes de trabalho e de danos ao patrimônio público ou a terceiros; e </w:t>
      </w:r>
    </w:p>
    <w:p w14:paraId="40A80718" w14:textId="53B01D60" w:rsidR="008534BA" w:rsidRP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A manutenção da regularidade documental, técnica e profissional exigida para a execução da obra.</w:t>
      </w:r>
    </w:p>
    <w:p w14:paraId="11CF16D2" w14:textId="466E6E19" w:rsidR="002E7759" w:rsidRPr="003A0FDA" w:rsidRDefault="002E7759" w:rsidP="002E7759">
      <w:pPr>
        <w:spacing w:after="0" w:line="360" w:lineRule="auto"/>
        <w:ind w:firstLine="708"/>
        <w:jc w:val="both"/>
        <w:rPr>
          <w:rFonts w:ascii="Times New Roman" w:hAnsi="Times New Roman" w:cs="Times New Roman"/>
          <w:sz w:val="20"/>
          <w:szCs w:val="20"/>
        </w:rPr>
      </w:pPr>
      <w:r w:rsidRPr="003A0FDA">
        <w:rPr>
          <w:rFonts w:ascii="Times New Roman" w:hAnsi="Times New Roman" w:cs="Times New Roman"/>
          <w:b/>
          <w:bCs/>
          <w:sz w:val="20"/>
          <w:szCs w:val="20"/>
        </w:rPr>
        <w:t>A OCORRÊNCIA DESSES RISCOS NÃO ENSEJARÁ, COMO REGRA, DIREITO À PRORROGAÇÃO DE PRAZO OU À RECOMPOSIÇÃO DO EQUILÍBRIO ECONÔMICO-FINANCEIRO, POR SE TRATAREM DE RISCOS ORDINÁRIOS, PREVISÍVEIS E DIRETAMENTE VINCULADOS À ATIVIDADE EMPRESARIAL DA CONTRATADA E À ADEQUADA GESTÃO DA EXECUÇÃO CONTRATUAL.</w:t>
      </w:r>
    </w:p>
    <w:p w14:paraId="50AB432A" w14:textId="77777777" w:rsidR="002E7759" w:rsidRPr="003A0FDA" w:rsidRDefault="002E7759" w:rsidP="002E7759">
      <w:pPr>
        <w:spacing w:after="0" w:line="360" w:lineRule="auto"/>
        <w:jc w:val="both"/>
        <w:rPr>
          <w:rFonts w:ascii="Times New Roman" w:hAnsi="Times New Roman" w:cs="Times New Roman"/>
          <w:sz w:val="20"/>
          <w:szCs w:val="20"/>
        </w:rPr>
      </w:pPr>
    </w:p>
    <w:p w14:paraId="553C8A08" w14:textId="77777777" w:rsidR="002E7759" w:rsidRPr="003A0FDA" w:rsidRDefault="002E7759" w:rsidP="002E7759">
      <w:pPr>
        <w:spacing w:after="0" w:line="360" w:lineRule="auto"/>
        <w:ind w:firstLine="708"/>
        <w:jc w:val="both"/>
        <w:rPr>
          <w:rFonts w:ascii="Times New Roman" w:hAnsi="Times New Roman" w:cs="Times New Roman"/>
          <w:b/>
          <w:bCs/>
          <w:sz w:val="20"/>
          <w:szCs w:val="20"/>
        </w:rPr>
      </w:pPr>
      <w:r w:rsidRPr="003A0FDA">
        <w:rPr>
          <w:rFonts w:ascii="Times New Roman" w:hAnsi="Times New Roman" w:cs="Times New Roman"/>
          <w:b/>
          <w:bCs/>
          <w:sz w:val="20"/>
          <w:szCs w:val="20"/>
        </w:rPr>
        <w:t>c) Riscos Compartilhados:</w:t>
      </w:r>
    </w:p>
    <w:p w14:paraId="0E8844B4" w14:textId="77777777" w:rsidR="002E7759" w:rsidRPr="003A0FDA" w:rsidRDefault="002E7759" w:rsidP="002E7759">
      <w:pPr>
        <w:spacing w:after="0" w:line="360" w:lineRule="auto"/>
        <w:ind w:firstLine="708"/>
        <w:jc w:val="both"/>
        <w:rPr>
          <w:rFonts w:ascii="Times New Roman" w:hAnsi="Times New Roman" w:cs="Times New Roman"/>
          <w:sz w:val="20"/>
          <w:szCs w:val="20"/>
        </w:rPr>
      </w:pPr>
      <w:r w:rsidRPr="003A0FDA">
        <w:rPr>
          <w:rFonts w:ascii="Times New Roman" w:hAnsi="Times New Roman" w:cs="Times New Roman"/>
          <w:sz w:val="20"/>
          <w:szCs w:val="20"/>
        </w:rPr>
        <w:t>Serão considerados riscos compartilhados aqueles cuja prevenção, mitigação ou gerenciamento demande atuação coordenada entre Contratante e Contratada, em razão de sua natureza, da necessidade de compatibilização institucional ou da existência de fatores parcialmente controláveis pelas partes, tais como:</w:t>
      </w:r>
    </w:p>
    <w:p w14:paraId="377E2466" w14:textId="73399A72" w:rsidR="008534BA" w:rsidRP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534BA">
        <w:rPr>
          <w:rFonts w:ascii="Times New Roman" w:hAnsi="Times New Roman" w:cs="Times New Roman"/>
          <w:sz w:val="20"/>
          <w:szCs w:val="20"/>
        </w:rPr>
        <w:t xml:space="preserve">Interferências não previamente identificadas em redes públicas, instalações subterrâneas, dispositivos existentes ou demais estruturas no trecho objeto da obra, desde que não detectáveis por vistoria técnica ordinária; </w:t>
      </w:r>
    </w:p>
    <w:p w14:paraId="7D473E62" w14:textId="1257FB2E" w:rsidR="008534BA" w:rsidRP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w:t>
      </w:r>
      <w:r w:rsidRPr="008534BA">
        <w:rPr>
          <w:rFonts w:ascii="Times New Roman" w:hAnsi="Times New Roman" w:cs="Times New Roman"/>
          <w:sz w:val="20"/>
          <w:szCs w:val="20"/>
        </w:rPr>
        <w:t xml:space="preserve"> Necessidade de ajustes operacionais decorrentes da manutenção da circulação local, do acesso a propriedades lindeiras ou da compatibilização com o tráfego durante a execução da obra; </w:t>
      </w:r>
    </w:p>
    <w:p w14:paraId="313133EF" w14:textId="3F712767" w:rsidR="008534BA" w:rsidRP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w:t>
      </w:r>
      <w:r w:rsidRPr="008534BA">
        <w:rPr>
          <w:rFonts w:ascii="Times New Roman" w:hAnsi="Times New Roman" w:cs="Times New Roman"/>
          <w:sz w:val="20"/>
          <w:szCs w:val="20"/>
        </w:rPr>
        <w:t xml:space="preserve"> Eventos climáticos de intensidade excepcional que comprometam a execução de etapas críticas, especialmente terraplenagem, drenagem, imprimação e aplicação do revestimento asfáltico; </w:t>
      </w:r>
    </w:p>
    <w:p w14:paraId="47A214E4" w14:textId="6586832A" w:rsidR="008534BA" w:rsidRP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w:t>
      </w:r>
      <w:r w:rsidRPr="008534BA">
        <w:rPr>
          <w:rFonts w:ascii="Times New Roman" w:hAnsi="Times New Roman" w:cs="Times New Roman"/>
          <w:sz w:val="20"/>
          <w:szCs w:val="20"/>
        </w:rPr>
        <w:t xml:space="preserve"> Situações caracterizadas como caso fortuito ou força maior, devidamente comprovadas; </w:t>
      </w:r>
      <w:r>
        <w:rPr>
          <w:rFonts w:ascii="Times New Roman" w:hAnsi="Times New Roman" w:cs="Times New Roman"/>
          <w:sz w:val="20"/>
          <w:szCs w:val="20"/>
        </w:rPr>
        <w:t>e</w:t>
      </w:r>
    </w:p>
    <w:p w14:paraId="0B5836F0" w14:textId="77777777" w:rsidR="008534BA" w:rsidRDefault="008534BA" w:rsidP="008534B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w:t>
      </w:r>
      <w:r w:rsidRPr="008534BA">
        <w:rPr>
          <w:rFonts w:ascii="Times New Roman" w:hAnsi="Times New Roman" w:cs="Times New Roman"/>
          <w:sz w:val="20"/>
          <w:szCs w:val="20"/>
        </w:rPr>
        <w:t xml:space="preserve"> Impactos operacionais relevantes que exijam reprogramação consensual do cronograma para preservação da segurança viária, da mobilidade local ou da adequada execução técnica dos serviços.</w:t>
      </w:r>
    </w:p>
    <w:p w14:paraId="1915B63B" w14:textId="7462BF77" w:rsidR="002E7759" w:rsidRDefault="002E7759" w:rsidP="008534BA">
      <w:pPr>
        <w:spacing w:after="0" w:line="360" w:lineRule="auto"/>
        <w:ind w:firstLine="709"/>
        <w:jc w:val="both"/>
        <w:rPr>
          <w:rFonts w:ascii="Times New Roman" w:hAnsi="Times New Roman" w:cs="Times New Roman"/>
          <w:b/>
          <w:bCs/>
          <w:sz w:val="20"/>
          <w:szCs w:val="20"/>
        </w:rPr>
      </w:pPr>
      <w:r w:rsidRPr="003A0FDA">
        <w:rPr>
          <w:rFonts w:ascii="Times New Roman" w:hAnsi="Times New Roman" w:cs="Times New Roman"/>
          <w:b/>
          <w:bCs/>
          <w:sz w:val="20"/>
          <w:szCs w:val="20"/>
        </w:rPr>
        <w:t>NESSAS HIPÓTESES, OS EFEITOS CONTRATUAIS SERÃO AVALIADOS À LUZ DESTA MATRIZ DE RISCOS, CONSIDERANDO-SE A CONDUTA DAS PARTES, O GRAU DE DILIGÊNCIA ADOTADO, A POSSIBILIDADE DE MITIGAÇÃO DO EVENTO E O IMPACTO EFETIVO SOBRE O PRAZO, O CUSTO E A QUALIDADE DA OBRA, SEMPRE EM ESTRITA OBSERVÂNCIA À LEGISLAÇÃO VIGENTE E AOS PRINCÍPIOS DA BOA-FÉ OBJETIVA E DA SEGURANÇA JURÍDICA.</w:t>
      </w:r>
    </w:p>
    <w:p w14:paraId="70FCBE7C" w14:textId="77777777" w:rsidR="002E7759" w:rsidRPr="003A0FDA" w:rsidRDefault="002E7759" w:rsidP="002E7759">
      <w:pPr>
        <w:spacing w:after="0" w:line="360" w:lineRule="auto"/>
        <w:ind w:firstLine="708"/>
        <w:jc w:val="both"/>
        <w:rPr>
          <w:rFonts w:ascii="Times New Roman" w:hAnsi="Times New Roman" w:cs="Times New Roman"/>
          <w:b/>
          <w:bCs/>
          <w:sz w:val="20"/>
          <w:szCs w:val="20"/>
        </w:rPr>
      </w:pPr>
    </w:p>
    <w:p w14:paraId="2B249F12"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1.4. ESTRATÉGIAS DE GERENCIAMENTO DE RISCOS:</w:t>
      </w:r>
    </w:p>
    <w:p w14:paraId="36F7517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gestão de riscos será contínua ao longo de toda a execução contratual, devendo observar procedimentos formais que assegurem prevenção, mitigação e resposta adequada aos eventos identificados.</w:t>
      </w:r>
    </w:p>
    <w:p w14:paraId="48FD8A4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 – Monitoramento Contínuo: revisão periódica dos riscos identificados, com avaliação de sua probabilidade e impacto; acompanhamento sistemático pela fiscalização e pelo gestor do contrato; e realização de reuniões técnicas periódicas para alinhamento e atualização do cenário de riscos.</w:t>
      </w:r>
    </w:p>
    <w:p w14:paraId="41AF11F9"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II – Planos de Ação e Mitigação: definição prévia de medidas mitigatórias para riscos classificados como críticos; estabelecimento de responsáveis, prazos e procedimentos para resposta a cada evento; adoção de ações corretivas imediatas quando constatado desvio relevante.</w:t>
      </w:r>
    </w:p>
    <w:p w14:paraId="7451562B"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III – Comunicação Fo</w:t>
      </w:r>
      <w:r>
        <w:rPr>
          <w:rFonts w:ascii="Times New Roman" w:hAnsi="Times New Roman" w:cs="Times New Roman"/>
          <w:sz w:val="20"/>
          <w:szCs w:val="20"/>
        </w:rPr>
        <w:t>re</w:t>
      </w:r>
      <w:r w:rsidRPr="00A61110">
        <w:rPr>
          <w:rFonts w:ascii="Times New Roman" w:hAnsi="Times New Roman" w:cs="Times New Roman"/>
          <w:sz w:val="20"/>
          <w:szCs w:val="20"/>
        </w:rPr>
        <w:t>rmal: comunicação imediata de qualquer ocorrência que possa comprometer prazo, custo, qualidade ou segurança; registro formal das ocorrências, com indicação de causas, impactos e providências adotadas; e encaminhamento tempestivo à fiscalização e ao gestor do contrato.</w:t>
      </w:r>
    </w:p>
    <w:p w14:paraId="6F63B238"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IV – Documentação e Rastreabilidade: registro de todos os eventos, decisões e medidas no processo administrativo; manutenção de relatórios, notificações, medições, pareceres técnicos e evidências; e garantia de transparência e subsídio à tomada de decisões administrativas e de controle.</w:t>
      </w:r>
    </w:p>
    <w:p w14:paraId="5EB8FF42" w14:textId="77777777" w:rsidR="002E7759" w:rsidRPr="00A61110" w:rsidRDefault="002E7759" w:rsidP="002E7759">
      <w:pPr>
        <w:spacing w:after="0" w:line="360" w:lineRule="auto"/>
        <w:jc w:val="both"/>
        <w:rPr>
          <w:rFonts w:ascii="Times New Roman" w:hAnsi="Times New Roman" w:cs="Times New Roman"/>
          <w:sz w:val="20"/>
          <w:szCs w:val="20"/>
        </w:rPr>
      </w:pPr>
    </w:p>
    <w:p w14:paraId="7A257CFC"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1.5. CLÁUSULAS CONTRATUAIS ESPECÍFICAS</w:t>
      </w:r>
    </w:p>
    <w:p w14:paraId="0B38D2F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Matriz de Riscos integra o contrato como cláusula definidora do equilíbrio econômico-financeiro inicial e deverá ser observada obrigatoriamente na análise de qualquer pleito contratual.</w:t>
      </w:r>
    </w:p>
    <w:p w14:paraId="1E026503"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Revisão de Cronograma e Termos Aditivos: A revisão de prazos e a formalização de termos aditivos somente serão admitidas quando a materialização do risco estiver alocada, por esta Matriz, à parte que não deu causa ao evento e desde que devidamente comprovado o impacto na execução.</w:t>
      </w:r>
    </w:p>
    <w:p w14:paraId="5CE9F3A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b) Equilíbrio Econômico-Financeiro: Presume-se mantido o equilíbrio econômico-financeiro em relação aos riscos assumidos por cada parte. Pedidos de recomposição somente serão analisados quando o evento não estiver alocado ao requerente, ressalvadas as hipóteses legais, como alterações unilaterais da Administração ou modificação de tributos diretamente incidentes.</w:t>
      </w:r>
    </w:p>
    <w:p w14:paraId="163596D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c) Seguros Obrigatórios: A Contratada deverá manter seguros compatíveis com os riscos a ela atribuídos, incluindo riscos de execução, acidentes de trabalho e danos a terceiros, considerando tais custos como integrantes do preço ofertado.</w:t>
      </w:r>
    </w:p>
    <w:p w14:paraId="20E8F7B9"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d) Aderência ao Projeto Básico: Por se tratar de obra com solução técnica previamente definida, a execução deverá observar estrita aderência ao Projeto Básico e aos memoriais descritivos, não sendo admitidas inovações metodológicas ou tecnológicas sem autorização expressa e formal da Administração.</w:t>
      </w:r>
    </w:p>
    <w:p w14:paraId="24743579" w14:textId="77777777" w:rsidR="002E7759" w:rsidRPr="00A61110" w:rsidRDefault="002E7759" w:rsidP="002E7759">
      <w:pPr>
        <w:spacing w:after="0" w:line="360" w:lineRule="auto"/>
        <w:jc w:val="both"/>
        <w:rPr>
          <w:rFonts w:ascii="Times New Roman" w:hAnsi="Times New Roman" w:cs="Times New Roman"/>
          <w:b/>
          <w:bCs/>
          <w:sz w:val="20"/>
          <w:szCs w:val="20"/>
        </w:rPr>
      </w:pPr>
    </w:p>
    <w:p w14:paraId="19341E74"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1.6. CONSIDERAÇÕES FINAIS:</w:t>
      </w:r>
    </w:p>
    <w:p w14:paraId="7F810428"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presente Matriz de Alocação de Riscos integra o conjunto de documentos que instruem a fase preparatória da contratação, constituindo cláusula definidora das responsabilidades entre as partes e parâmetro para preservação do equilíbrio econômico-financeiro inicial do contrato, nos termos da Lei nº 14.133/2021.</w:t>
      </w:r>
    </w:p>
    <w:p w14:paraId="13895F55"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Os riscos aqui identificados, classificados e alocados deverão ser obrigatoriamente observados na condução da licitação, na execução contratual e na análise de eventuais pleitos administrativos, especialmente aqueles relacionados à prorrogação de prazos, reequilíbrio econômico-financeiro, revisão contratual ou resolução do contrato.</w:t>
      </w:r>
    </w:p>
    <w:p w14:paraId="5B7B4CCD" w14:textId="4327D515"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Matriz ora aprovada reflete a avaliação técnica e administrativa do objeto, considerando a natureza da obra, o regime de execução, o Projeto Básico aprovado e a capacidade de gerenciamento de riscos por cada parte, devendo ser incorporada ao Edital e ao Contrato Administrativo como anexo integrante e indissociável.</w:t>
      </w:r>
    </w:p>
    <w:p w14:paraId="243E34C2" w14:textId="77777777" w:rsidR="002E7759" w:rsidRPr="00A61110" w:rsidRDefault="002E7759" w:rsidP="002E7759">
      <w:pPr>
        <w:spacing w:after="0" w:line="360" w:lineRule="auto"/>
        <w:ind w:firstLine="708"/>
        <w:jc w:val="both"/>
        <w:rPr>
          <w:rFonts w:ascii="Times New Roman" w:hAnsi="Times New Roman" w:cs="Times New Roman"/>
          <w:sz w:val="20"/>
          <w:szCs w:val="20"/>
        </w:rPr>
      </w:pPr>
      <w:r w:rsidRPr="00A61110">
        <w:rPr>
          <w:rFonts w:ascii="Times New Roman" w:hAnsi="Times New Roman" w:cs="Times New Roman"/>
          <w:sz w:val="20"/>
          <w:szCs w:val="20"/>
        </w:rPr>
        <w:t>Por estar de acordo com seu conteúdo, firma-se a presente Matriz de Riscos para que produza seus jurídicos e administrativos efeitos.</w:t>
      </w:r>
    </w:p>
    <w:p w14:paraId="017AB99E" w14:textId="77777777" w:rsidR="002E7759" w:rsidRPr="00A61110" w:rsidRDefault="002E7759" w:rsidP="002E7759">
      <w:pPr>
        <w:spacing w:after="0" w:line="360" w:lineRule="auto"/>
        <w:jc w:val="both"/>
        <w:rPr>
          <w:rFonts w:ascii="Times New Roman" w:hAnsi="Times New Roman" w:cs="Times New Roman"/>
          <w:sz w:val="20"/>
          <w:szCs w:val="20"/>
        </w:rPr>
      </w:pPr>
    </w:p>
    <w:p w14:paraId="5C2F8C48" w14:textId="36E5979F" w:rsidR="002E7759" w:rsidRPr="00A61110" w:rsidRDefault="002E7759" w:rsidP="002E7759">
      <w:pPr>
        <w:spacing w:after="0" w:line="360" w:lineRule="auto"/>
        <w:jc w:val="center"/>
        <w:rPr>
          <w:rFonts w:ascii="Times New Roman" w:hAnsi="Times New Roman" w:cs="Times New Roman"/>
          <w:b/>
          <w:bCs/>
          <w:sz w:val="20"/>
          <w:szCs w:val="20"/>
        </w:rPr>
      </w:pPr>
      <w:r w:rsidRPr="00A61110">
        <w:rPr>
          <w:rFonts w:ascii="Times New Roman" w:hAnsi="Times New Roman" w:cs="Times New Roman"/>
          <w:b/>
          <w:bCs/>
          <w:sz w:val="20"/>
          <w:szCs w:val="20"/>
        </w:rPr>
        <w:t xml:space="preserve">Paverama/RS, </w:t>
      </w:r>
      <w:r>
        <w:rPr>
          <w:rFonts w:ascii="Times New Roman" w:hAnsi="Times New Roman" w:cs="Times New Roman"/>
          <w:b/>
          <w:bCs/>
          <w:sz w:val="20"/>
          <w:szCs w:val="20"/>
        </w:rPr>
        <w:t>2</w:t>
      </w:r>
      <w:r w:rsidR="008534BA">
        <w:rPr>
          <w:rFonts w:ascii="Times New Roman" w:hAnsi="Times New Roman" w:cs="Times New Roman"/>
          <w:b/>
          <w:bCs/>
          <w:sz w:val="20"/>
          <w:szCs w:val="20"/>
        </w:rPr>
        <w:t>3</w:t>
      </w:r>
      <w:r w:rsidRPr="00A61110">
        <w:rPr>
          <w:rFonts w:ascii="Times New Roman" w:hAnsi="Times New Roman" w:cs="Times New Roman"/>
          <w:b/>
          <w:bCs/>
          <w:sz w:val="20"/>
          <w:szCs w:val="20"/>
        </w:rPr>
        <w:t xml:space="preserve"> de </w:t>
      </w:r>
      <w:r w:rsidR="008534BA">
        <w:rPr>
          <w:rFonts w:ascii="Times New Roman" w:hAnsi="Times New Roman" w:cs="Times New Roman"/>
          <w:b/>
          <w:bCs/>
          <w:sz w:val="20"/>
          <w:szCs w:val="20"/>
        </w:rPr>
        <w:t>abril</w:t>
      </w:r>
      <w:r w:rsidRPr="00A61110">
        <w:rPr>
          <w:rFonts w:ascii="Times New Roman" w:hAnsi="Times New Roman" w:cs="Times New Roman"/>
          <w:b/>
          <w:bCs/>
          <w:sz w:val="20"/>
          <w:szCs w:val="20"/>
        </w:rPr>
        <w:t xml:space="preserve"> de 2026.</w:t>
      </w:r>
    </w:p>
    <w:p w14:paraId="2725949B" w14:textId="77777777" w:rsidR="002E7759" w:rsidRPr="00A61110" w:rsidRDefault="002E7759" w:rsidP="002E7759">
      <w:pPr>
        <w:spacing w:after="0" w:line="360" w:lineRule="auto"/>
        <w:jc w:val="center"/>
        <w:rPr>
          <w:rFonts w:ascii="Times New Roman" w:hAnsi="Times New Roman" w:cs="Times New Roman"/>
          <w:b/>
          <w:bCs/>
          <w:sz w:val="20"/>
          <w:szCs w:val="20"/>
        </w:rPr>
      </w:pPr>
    </w:p>
    <w:p w14:paraId="67C2B335" w14:textId="77777777" w:rsidR="002E7759" w:rsidRPr="00A61110" w:rsidRDefault="002E7759" w:rsidP="002E7759">
      <w:pPr>
        <w:spacing w:after="0" w:line="360" w:lineRule="auto"/>
        <w:jc w:val="center"/>
        <w:rPr>
          <w:rFonts w:ascii="Times New Roman" w:hAnsi="Times New Roman" w:cs="Times New Roman"/>
          <w:b/>
          <w:bCs/>
          <w:sz w:val="20"/>
          <w:szCs w:val="20"/>
        </w:rPr>
      </w:pPr>
    </w:p>
    <w:p w14:paraId="3361DB3C" w14:textId="77777777" w:rsidR="002E7759" w:rsidRPr="00A61110" w:rsidRDefault="002E7759" w:rsidP="002E7759">
      <w:pPr>
        <w:spacing w:after="0" w:line="360" w:lineRule="auto"/>
        <w:jc w:val="center"/>
        <w:rPr>
          <w:rFonts w:ascii="Times New Roman" w:hAnsi="Times New Roman" w:cs="Times New Roman"/>
          <w:b/>
          <w:bCs/>
          <w:sz w:val="20"/>
          <w:szCs w:val="20"/>
        </w:rPr>
      </w:pPr>
      <w:r w:rsidRPr="00A61110">
        <w:rPr>
          <w:rFonts w:ascii="Times New Roman" w:hAnsi="Times New Roman" w:cs="Times New Roman"/>
          <w:b/>
          <w:bCs/>
          <w:sz w:val="20"/>
          <w:szCs w:val="20"/>
        </w:rPr>
        <w:t xml:space="preserve">ALEXANDRE LUÍS KLEBER </w:t>
      </w:r>
    </w:p>
    <w:p w14:paraId="4C24649D" w14:textId="77777777" w:rsidR="002E7759" w:rsidRPr="00A61110" w:rsidRDefault="002E7759" w:rsidP="002E7759">
      <w:pPr>
        <w:spacing w:after="0" w:line="360" w:lineRule="auto"/>
        <w:jc w:val="center"/>
        <w:rPr>
          <w:rFonts w:ascii="Times New Roman" w:hAnsi="Times New Roman" w:cs="Times New Roman"/>
          <w:b/>
          <w:bCs/>
          <w:sz w:val="20"/>
          <w:szCs w:val="20"/>
        </w:rPr>
      </w:pPr>
      <w:r w:rsidRPr="00A61110">
        <w:rPr>
          <w:rFonts w:ascii="Times New Roman" w:hAnsi="Times New Roman" w:cs="Times New Roman"/>
          <w:b/>
          <w:bCs/>
          <w:sz w:val="20"/>
          <w:szCs w:val="20"/>
        </w:rPr>
        <w:t>Secretário Municipal de Administração, Fazenda e Planejamento</w:t>
      </w:r>
    </w:p>
    <w:p w14:paraId="70904001" w14:textId="77777777" w:rsidR="002E7759" w:rsidRPr="002E7759" w:rsidRDefault="002E7759" w:rsidP="002E7759">
      <w:pPr>
        <w:spacing w:after="0" w:line="360" w:lineRule="auto"/>
        <w:jc w:val="both"/>
        <w:rPr>
          <w:rFonts w:ascii="Times New Roman" w:hAnsi="Times New Roman" w:cs="Times New Roman"/>
          <w:sz w:val="20"/>
          <w:szCs w:val="20"/>
        </w:rPr>
      </w:pPr>
    </w:p>
    <w:sectPr w:rsidR="002E7759" w:rsidRPr="002E7759" w:rsidSect="008534BA">
      <w:headerReference w:type="default" r:id="rId7"/>
      <w:footerReference w:type="default" r:id="rId8"/>
      <w:pgSz w:w="11906" w:h="16838"/>
      <w:pgMar w:top="2127" w:right="1134"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1B53" w14:textId="77777777" w:rsidR="00690A60" w:rsidRDefault="00690A60" w:rsidP="00064AF4">
      <w:pPr>
        <w:spacing w:after="0" w:line="240" w:lineRule="auto"/>
      </w:pPr>
      <w:r>
        <w:separator/>
      </w:r>
    </w:p>
  </w:endnote>
  <w:endnote w:type="continuationSeparator" w:id="0">
    <w:p w14:paraId="773AFE78" w14:textId="77777777" w:rsidR="00690A60" w:rsidRDefault="00690A60" w:rsidP="00064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4E36" w14:textId="77777777" w:rsidR="00064AF4" w:rsidRDefault="00E46F24">
    <w:pPr>
      <w:pStyle w:val="Rodap"/>
    </w:pPr>
    <w:r>
      <w:rPr>
        <w:noProof/>
      </w:rPr>
      <w:drawing>
        <wp:anchor distT="0" distB="0" distL="114300" distR="114300" simplePos="0" relativeHeight="251661312" behindDoc="1" locked="0" layoutInCell="1" allowOverlap="1" wp14:anchorId="56D4D3A5" wp14:editId="32CE7EE1">
          <wp:simplePos x="0" y="0"/>
          <wp:positionH relativeFrom="margin">
            <wp:posOffset>320040</wp:posOffset>
          </wp:positionH>
          <wp:positionV relativeFrom="paragraph">
            <wp:posOffset>-127635</wp:posOffset>
          </wp:positionV>
          <wp:extent cx="5114290" cy="628650"/>
          <wp:effectExtent l="0" t="0" r="0" b="0"/>
          <wp:wrapNone/>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4538"/>
                  <a:stretch/>
                </pic:blipFill>
                <pic:spPr bwMode="auto">
                  <a:xfrm>
                    <a:off x="0" y="0"/>
                    <a:ext cx="511429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AF4">
      <w:rPr>
        <w:noProof/>
        <w:lang w:eastAsia="pt-BR"/>
      </w:rPr>
      <w:drawing>
        <wp:anchor distT="0" distB="0" distL="114300" distR="114300" simplePos="0" relativeHeight="251660288" behindDoc="1" locked="0" layoutInCell="1" allowOverlap="1" wp14:anchorId="49D3AAAB" wp14:editId="584731EB">
          <wp:simplePos x="0" y="0"/>
          <wp:positionH relativeFrom="column">
            <wp:posOffset>797560</wp:posOffset>
          </wp:positionH>
          <wp:positionV relativeFrom="paragraph">
            <wp:posOffset>9504680</wp:posOffset>
          </wp:positionV>
          <wp:extent cx="6323965" cy="1123950"/>
          <wp:effectExtent l="0" t="0" r="63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r w:rsidR="00064AF4">
      <w:rPr>
        <w:noProof/>
        <w:lang w:eastAsia="pt-BR"/>
      </w:rPr>
      <w:drawing>
        <wp:anchor distT="0" distB="0" distL="114300" distR="114300" simplePos="0" relativeHeight="251659264" behindDoc="1" locked="0" layoutInCell="1" allowOverlap="1" wp14:anchorId="3E52EF5E" wp14:editId="0EB5D1AD">
          <wp:simplePos x="0" y="0"/>
          <wp:positionH relativeFrom="column">
            <wp:posOffset>797560</wp:posOffset>
          </wp:positionH>
          <wp:positionV relativeFrom="paragraph">
            <wp:posOffset>9504680</wp:posOffset>
          </wp:positionV>
          <wp:extent cx="6323965" cy="1123950"/>
          <wp:effectExtent l="0" t="0" r="635"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D27A" w14:textId="77777777" w:rsidR="00690A60" w:rsidRDefault="00690A60" w:rsidP="00064AF4">
      <w:pPr>
        <w:spacing w:after="0" w:line="240" w:lineRule="auto"/>
      </w:pPr>
      <w:r>
        <w:separator/>
      </w:r>
    </w:p>
  </w:footnote>
  <w:footnote w:type="continuationSeparator" w:id="0">
    <w:p w14:paraId="3133A7C7" w14:textId="77777777" w:rsidR="00690A60" w:rsidRDefault="00690A60" w:rsidP="00064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19D" w14:textId="77777777" w:rsidR="00064AF4" w:rsidRDefault="00064AF4">
    <w:pPr>
      <w:pStyle w:val="Cabealho"/>
    </w:pPr>
    <w:r>
      <w:rPr>
        <w:noProof/>
        <w:lang w:eastAsia="pt-BR"/>
      </w:rPr>
      <w:drawing>
        <wp:anchor distT="0" distB="0" distL="114300" distR="114300" simplePos="0" relativeHeight="251658240" behindDoc="1" locked="0" layoutInCell="1" allowOverlap="1" wp14:anchorId="66FBE70E" wp14:editId="1AE35C5E">
          <wp:simplePos x="0" y="0"/>
          <wp:positionH relativeFrom="margin">
            <wp:align>center</wp:align>
          </wp:positionH>
          <wp:positionV relativeFrom="paragraph">
            <wp:posOffset>-228698</wp:posOffset>
          </wp:positionV>
          <wp:extent cx="4381500" cy="98171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0CA"/>
    <w:multiLevelType w:val="hybridMultilevel"/>
    <w:tmpl w:val="A67ED068"/>
    <w:lvl w:ilvl="0" w:tplc="86D6624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08C3437"/>
    <w:multiLevelType w:val="hybridMultilevel"/>
    <w:tmpl w:val="82CEB426"/>
    <w:lvl w:ilvl="0" w:tplc="6A3614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E084BFD"/>
    <w:multiLevelType w:val="multilevel"/>
    <w:tmpl w:val="BB98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F0062"/>
    <w:multiLevelType w:val="multilevel"/>
    <w:tmpl w:val="DE5E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565009"/>
    <w:multiLevelType w:val="multilevel"/>
    <w:tmpl w:val="84C4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630805">
    <w:abstractNumId w:val="4"/>
  </w:num>
  <w:num w:numId="2" w16cid:durableId="55933706">
    <w:abstractNumId w:val="1"/>
  </w:num>
  <w:num w:numId="3" w16cid:durableId="1719822535">
    <w:abstractNumId w:val="0"/>
  </w:num>
  <w:num w:numId="4" w16cid:durableId="937523605">
    <w:abstractNumId w:val="2"/>
  </w:num>
  <w:num w:numId="5" w16cid:durableId="202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D21"/>
    <w:rsid w:val="00064AF4"/>
    <w:rsid w:val="000A66CA"/>
    <w:rsid w:val="000D5701"/>
    <w:rsid w:val="001610A3"/>
    <w:rsid w:val="001E2010"/>
    <w:rsid w:val="0021029C"/>
    <w:rsid w:val="0027386C"/>
    <w:rsid w:val="002E7759"/>
    <w:rsid w:val="002F7169"/>
    <w:rsid w:val="00392911"/>
    <w:rsid w:val="003D53D8"/>
    <w:rsid w:val="003E1542"/>
    <w:rsid w:val="00423985"/>
    <w:rsid w:val="0043013A"/>
    <w:rsid w:val="0043675F"/>
    <w:rsid w:val="00444002"/>
    <w:rsid w:val="004549EA"/>
    <w:rsid w:val="00522E8B"/>
    <w:rsid w:val="0063537F"/>
    <w:rsid w:val="00690A60"/>
    <w:rsid w:val="007158C0"/>
    <w:rsid w:val="007255B1"/>
    <w:rsid w:val="007C78F4"/>
    <w:rsid w:val="007D52B1"/>
    <w:rsid w:val="007F5CCB"/>
    <w:rsid w:val="008534BA"/>
    <w:rsid w:val="00875B71"/>
    <w:rsid w:val="008C0C84"/>
    <w:rsid w:val="008F4DBB"/>
    <w:rsid w:val="00907577"/>
    <w:rsid w:val="0094415A"/>
    <w:rsid w:val="009736F2"/>
    <w:rsid w:val="009A54B1"/>
    <w:rsid w:val="009A5F0C"/>
    <w:rsid w:val="009A6845"/>
    <w:rsid w:val="00A22475"/>
    <w:rsid w:val="00AC1D3C"/>
    <w:rsid w:val="00AC440D"/>
    <w:rsid w:val="00B747C9"/>
    <w:rsid w:val="00BD1D21"/>
    <w:rsid w:val="00C60C5E"/>
    <w:rsid w:val="00D40D0B"/>
    <w:rsid w:val="00D468C3"/>
    <w:rsid w:val="00D557E4"/>
    <w:rsid w:val="00D92BA2"/>
    <w:rsid w:val="00DF55BE"/>
    <w:rsid w:val="00E46F24"/>
    <w:rsid w:val="00E924BF"/>
    <w:rsid w:val="00EF4F4C"/>
    <w:rsid w:val="00F0430E"/>
    <w:rsid w:val="00F3113B"/>
    <w:rsid w:val="00FE17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B8116"/>
  <w15:chartTrackingRefBased/>
  <w15:docId w15:val="{82C832D5-B97F-43A3-ACA0-97D14BCD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4AF4"/>
    <w:pPr>
      <w:autoSpaceDE w:val="0"/>
      <w:autoSpaceDN w:val="0"/>
      <w:adjustRightInd w:val="0"/>
      <w:spacing w:after="0" w:line="240" w:lineRule="auto"/>
    </w:pPr>
    <w:rPr>
      <w:rFonts w:ascii="Bookman Old Style" w:hAnsi="Bookman Old Style" w:cs="Bookman Old Style"/>
      <w:color w:val="000000"/>
      <w:sz w:val="24"/>
      <w:szCs w:val="24"/>
    </w:rPr>
  </w:style>
  <w:style w:type="paragraph" w:styleId="Cabealho">
    <w:name w:val="header"/>
    <w:basedOn w:val="Normal"/>
    <w:link w:val="CabealhoChar"/>
    <w:uiPriority w:val="99"/>
    <w:unhideWhenUsed/>
    <w:rsid w:val="00064A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4AF4"/>
  </w:style>
  <w:style w:type="paragraph" w:styleId="Rodap">
    <w:name w:val="footer"/>
    <w:basedOn w:val="Normal"/>
    <w:link w:val="RodapChar"/>
    <w:unhideWhenUsed/>
    <w:rsid w:val="00064AF4"/>
    <w:pPr>
      <w:tabs>
        <w:tab w:val="center" w:pos="4252"/>
        <w:tab w:val="right" w:pos="8504"/>
      </w:tabs>
      <w:spacing w:after="0" w:line="240" w:lineRule="auto"/>
    </w:pPr>
  </w:style>
  <w:style w:type="character" w:customStyle="1" w:styleId="RodapChar">
    <w:name w:val="Rodapé Char"/>
    <w:basedOn w:val="Fontepargpadro"/>
    <w:link w:val="Rodap"/>
    <w:rsid w:val="00064AF4"/>
  </w:style>
  <w:style w:type="table" w:styleId="Tabelacomgrade">
    <w:name w:val="Table Grid"/>
    <w:basedOn w:val="Tabelanormal"/>
    <w:uiPriority w:val="39"/>
    <w:rsid w:val="00064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46F24"/>
    <w:pPr>
      <w:ind w:left="720"/>
      <w:contextualSpacing/>
    </w:pPr>
  </w:style>
  <w:style w:type="table" w:styleId="TabeladeGradeClara">
    <w:name w:val="Grid Table Light"/>
    <w:basedOn w:val="Tabelanormal"/>
    <w:uiPriority w:val="40"/>
    <w:rsid w:val="009A5F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2E77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14663">
      <w:bodyDiv w:val="1"/>
      <w:marLeft w:val="0"/>
      <w:marRight w:val="0"/>
      <w:marTop w:val="0"/>
      <w:marBottom w:val="0"/>
      <w:divBdr>
        <w:top w:val="none" w:sz="0" w:space="0" w:color="auto"/>
        <w:left w:val="none" w:sz="0" w:space="0" w:color="auto"/>
        <w:bottom w:val="none" w:sz="0" w:space="0" w:color="auto"/>
        <w:right w:val="none" w:sz="0" w:space="0" w:color="auto"/>
      </w:divBdr>
    </w:div>
    <w:div w:id="165021457">
      <w:bodyDiv w:val="1"/>
      <w:marLeft w:val="0"/>
      <w:marRight w:val="0"/>
      <w:marTop w:val="0"/>
      <w:marBottom w:val="0"/>
      <w:divBdr>
        <w:top w:val="none" w:sz="0" w:space="0" w:color="auto"/>
        <w:left w:val="none" w:sz="0" w:space="0" w:color="auto"/>
        <w:bottom w:val="none" w:sz="0" w:space="0" w:color="auto"/>
        <w:right w:val="none" w:sz="0" w:space="0" w:color="auto"/>
      </w:divBdr>
    </w:div>
    <w:div w:id="201787701">
      <w:bodyDiv w:val="1"/>
      <w:marLeft w:val="0"/>
      <w:marRight w:val="0"/>
      <w:marTop w:val="0"/>
      <w:marBottom w:val="0"/>
      <w:divBdr>
        <w:top w:val="none" w:sz="0" w:space="0" w:color="auto"/>
        <w:left w:val="none" w:sz="0" w:space="0" w:color="auto"/>
        <w:bottom w:val="none" w:sz="0" w:space="0" w:color="auto"/>
        <w:right w:val="none" w:sz="0" w:space="0" w:color="auto"/>
      </w:divBdr>
    </w:div>
    <w:div w:id="236208988">
      <w:bodyDiv w:val="1"/>
      <w:marLeft w:val="0"/>
      <w:marRight w:val="0"/>
      <w:marTop w:val="0"/>
      <w:marBottom w:val="0"/>
      <w:divBdr>
        <w:top w:val="none" w:sz="0" w:space="0" w:color="auto"/>
        <w:left w:val="none" w:sz="0" w:space="0" w:color="auto"/>
        <w:bottom w:val="none" w:sz="0" w:space="0" w:color="auto"/>
        <w:right w:val="none" w:sz="0" w:space="0" w:color="auto"/>
      </w:divBdr>
    </w:div>
    <w:div w:id="310057747">
      <w:bodyDiv w:val="1"/>
      <w:marLeft w:val="0"/>
      <w:marRight w:val="0"/>
      <w:marTop w:val="0"/>
      <w:marBottom w:val="0"/>
      <w:divBdr>
        <w:top w:val="none" w:sz="0" w:space="0" w:color="auto"/>
        <w:left w:val="none" w:sz="0" w:space="0" w:color="auto"/>
        <w:bottom w:val="none" w:sz="0" w:space="0" w:color="auto"/>
        <w:right w:val="none" w:sz="0" w:space="0" w:color="auto"/>
      </w:divBdr>
    </w:div>
    <w:div w:id="333454160">
      <w:bodyDiv w:val="1"/>
      <w:marLeft w:val="0"/>
      <w:marRight w:val="0"/>
      <w:marTop w:val="0"/>
      <w:marBottom w:val="0"/>
      <w:divBdr>
        <w:top w:val="none" w:sz="0" w:space="0" w:color="auto"/>
        <w:left w:val="none" w:sz="0" w:space="0" w:color="auto"/>
        <w:bottom w:val="none" w:sz="0" w:space="0" w:color="auto"/>
        <w:right w:val="none" w:sz="0" w:space="0" w:color="auto"/>
      </w:divBdr>
    </w:div>
    <w:div w:id="372535683">
      <w:bodyDiv w:val="1"/>
      <w:marLeft w:val="0"/>
      <w:marRight w:val="0"/>
      <w:marTop w:val="0"/>
      <w:marBottom w:val="0"/>
      <w:divBdr>
        <w:top w:val="none" w:sz="0" w:space="0" w:color="auto"/>
        <w:left w:val="none" w:sz="0" w:space="0" w:color="auto"/>
        <w:bottom w:val="none" w:sz="0" w:space="0" w:color="auto"/>
        <w:right w:val="none" w:sz="0" w:space="0" w:color="auto"/>
      </w:divBdr>
    </w:div>
    <w:div w:id="455369739">
      <w:bodyDiv w:val="1"/>
      <w:marLeft w:val="0"/>
      <w:marRight w:val="0"/>
      <w:marTop w:val="0"/>
      <w:marBottom w:val="0"/>
      <w:divBdr>
        <w:top w:val="none" w:sz="0" w:space="0" w:color="auto"/>
        <w:left w:val="none" w:sz="0" w:space="0" w:color="auto"/>
        <w:bottom w:val="none" w:sz="0" w:space="0" w:color="auto"/>
        <w:right w:val="none" w:sz="0" w:space="0" w:color="auto"/>
      </w:divBdr>
    </w:div>
    <w:div w:id="464858792">
      <w:bodyDiv w:val="1"/>
      <w:marLeft w:val="0"/>
      <w:marRight w:val="0"/>
      <w:marTop w:val="0"/>
      <w:marBottom w:val="0"/>
      <w:divBdr>
        <w:top w:val="none" w:sz="0" w:space="0" w:color="auto"/>
        <w:left w:val="none" w:sz="0" w:space="0" w:color="auto"/>
        <w:bottom w:val="none" w:sz="0" w:space="0" w:color="auto"/>
        <w:right w:val="none" w:sz="0" w:space="0" w:color="auto"/>
      </w:divBdr>
    </w:div>
    <w:div w:id="897016244">
      <w:bodyDiv w:val="1"/>
      <w:marLeft w:val="0"/>
      <w:marRight w:val="0"/>
      <w:marTop w:val="0"/>
      <w:marBottom w:val="0"/>
      <w:divBdr>
        <w:top w:val="none" w:sz="0" w:space="0" w:color="auto"/>
        <w:left w:val="none" w:sz="0" w:space="0" w:color="auto"/>
        <w:bottom w:val="none" w:sz="0" w:space="0" w:color="auto"/>
        <w:right w:val="none" w:sz="0" w:space="0" w:color="auto"/>
      </w:divBdr>
    </w:div>
    <w:div w:id="950629618">
      <w:bodyDiv w:val="1"/>
      <w:marLeft w:val="0"/>
      <w:marRight w:val="0"/>
      <w:marTop w:val="0"/>
      <w:marBottom w:val="0"/>
      <w:divBdr>
        <w:top w:val="none" w:sz="0" w:space="0" w:color="auto"/>
        <w:left w:val="none" w:sz="0" w:space="0" w:color="auto"/>
        <w:bottom w:val="none" w:sz="0" w:space="0" w:color="auto"/>
        <w:right w:val="none" w:sz="0" w:space="0" w:color="auto"/>
      </w:divBdr>
    </w:div>
    <w:div w:id="1004671225">
      <w:bodyDiv w:val="1"/>
      <w:marLeft w:val="0"/>
      <w:marRight w:val="0"/>
      <w:marTop w:val="0"/>
      <w:marBottom w:val="0"/>
      <w:divBdr>
        <w:top w:val="none" w:sz="0" w:space="0" w:color="auto"/>
        <w:left w:val="none" w:sz="0" w:space="0" w:color="auto"/>
        <w:bottom w:val="none" w:sz="0" w:space="0" w:color="auto"/>
        <w:right w:val="none" w:sz="0" w:space="0" w:color="auto"/>
      </w:divBdr>
    </w:div>
    <w:div w:id="1022783989">
      <w:bodyDiv w:val="1"/>
      <w:marLeft w:val="0"/>
      <w:marRight w:val="0"/>
      <w:marTop w:val="0"/>
      <w:marBottom w:val="0"/>
      <w:divBdr>
        <w:top w:val="none" w:sz="0" w:space="0" w:color="auto"/>
        <w:left w:val="none" w:sz="0" w:space="0" w:color="auto"/>
        <w:bottom w:val="none" w:sz="0" w:space="0" w:color="auto"/>
        <w:right w:val="none" w:sz="0" w:space="0" w:color="auto"/>
      </w:divBdr>
    </w:div>
    <w:div w:id="1025902998">
      <w:bodyDiv w:val="1"/>
      <w:marLeft w:val="0"/>
      <w:marRight w:val="0"/>
      <w:marTop w:val="0"/>
      <w:marBottom w:val="0"/>
      <w:divBdr>
        <w:top w:val="none" w:sz="0" w:space="0" w:color="auto"/>
        <w:left w:val="none" w:sz="0" w:space="0" w:color="auto"/>
        <w:bottom w:val="none" w:sz="0" w:space="0" w:color="auto"/>
        <w:right w:val="none" w:sz="0" w:space="0" w:color="auto"/>
      </w:divBdr>
    </w:div>
    <w:div w:id="1035616716">
      <w:bodyDiv w:val="1"/>
      <w:marLeft w:val="0"/>
      <w:marRight w:val="0"/>
      <w:marTop w:val="0"/>
      <w:marBottom w:val="0"/>
      <w:divBdr>
        <w:top w:val="none" w:sz="0" w:space="0" w:color="auto"/>
        <w:left w:val="none" w:sz="0" w:space="0" w:color="auto"/>
        <w:bottom w:val="none" w:sz="0" w:space="0" w:color="auto"/>
        <w:right w:val="none" w:sz="0" w:space="0" w:color="auto"/>
      </w:divBdr>
    </w:div>
    <w:div w:id="1341620196">
      <w:bodyDiv w:val="1"/>
      <w:marLeft w:val="0"/>
      <w:marRight w:val="0"/>
      <w:marTop w:val="0"/>
      <w:marBottom w:val="0"/>
      <w:divBdr>
        <w:top w:val="none" w:sz="0" w:space="0" w:color="auto"/>
        <w:left w:val="none" w:sz="0" w:space="0" w:color="auto"/>
        <w:bottom w:val="none" w:sz="0" w:space="0" w:color="auto"/>
        <w:right w:val="none" w:sz="0" w:space="0" w:color="auto"/>
      </w:divBdr>
    </w:div>
    <w:div w:id="1353071542">
      <w:bodyDiv w:val="1"/>
      <w:marLeft w:val="0"/>
      <w:marRight w:val="0"/>
      <w:marTop w:val="0"/>
      <w:marBottom w:val="0"/>
      <w:divBdr>
        <w:top w:val="none" w:sz="0" w:space="0" w:color="auto"/>
        <w:left w:val="none" w:sz="0" w:space="0" w:color="auto"/>
        <w:bottom w:val="none" w:sz="0" w:space="0" w:color="auto"/>
        <w:right w:val="none" w:sz="0" w:space="0" w:color="auto"/>
      </w:divBdr>
    </w:div>
    <w:div w:id="1368068819">
      <w:bodyDiv w:val="1"/>
      <w:marLeft w:val="0"/>
      <w:marRight w:val="0"/>
      <w:marTop w:val="0"/>
      <w:marBottom w:val="0"/>
      <w:divBdr>
        <w:top w:val="none" w:sz="0" w:space="0" w:color="auto"/>
        <w:left w:val="none" w:sz="0" w:space="0" w:color="auto"/>
        <w:bottom w:val="none" w:sz="0" w:space="0" w:color="auto"/>
        <w:right w:val="none" w:sz="0" w:space="0" w:color="auto"/>
      </w:divBdr>
    </w:div>
    <w:div w:id="1444424208">
      <w:bodyDiv w:val="1"/>
      <w:marLeft w:val="0"/>
      <w:marRight w:val="0"/>
      <w:marTop w:val="0"/>
      <w:marBottom w:val="0"/>
      <w:divBdr>
        <w:top w:val="none" w:sz="0" w:space="0" w:color="auto"/>
        <w:left w:val="none" w:sz="0" w:space="0" w:color="auto"/>
        <w:bottom w:val="none" w:sz="0" w:space="0" w:color="auto"/>
        <w:right w:val="none" w:sz="0" w:space="0" w:color="auto"/>
      </w:divBdr>
    </w:div>
    <w:div w:id="1572471758">
      <w:bodyDiv w:val="1"/>
      <w:marLeft w:val="0"/>
      <w:marRight w:val="0"/>
      <w:marTop w:val="0"/>
      <w:marBottom w:val="0"/>
      <w:divBdr>
        <w:top w:val="none" w:sz="0" w:space="0" w:color="auto"/>
        <w:left w:val="none" w:sz="0" w:space="0" w:color="auto"/>
        <w:bottom w:val="none" w:sz="0" w:space="0" w:color="auto"/>
        <w:right w:val="none" w:sz="0" w:space="0" w:color="auto"/>
      </w:divBdr>
    </w:div>
    <w:div w:id="1789080569">
      <w:bodyDiv w:val="1"/>
      <w:marLeft w:val="0"/>
      <w:marRight w:val="0"/>
      <w:marTop w:val="0"/>
      <w:marBottom w:val="0"/>
      <w:divBdr>
        <w:top w:val="none" w:sz="0" w:space="0" w:color="auto"/>
        <w:left w:val="none" w:sz="0" w:space="0" w:color="auto"/>
        <w:bottom w:val="none" w:sz="0" w:space="0" w:color="auto"/>
        <w:right w:val="none" w:sz="0" w:space="0" w:color="auto"/>
      </w:divBdr>
    </w:div>
    <w:div w:id="1902596603">
      <w:bodyDiv w:val="1"/>
      <w:marLeft w:val="0"/>
      <w:marRight w:val="0"/>
      <w:marTop w:val="0"/>
      <w:marBottom w:val="0"/>
      <w:divBdr>
        <w:top w:val="none" w:sz="0" w:space="0" w:color="auto"/>
        <w:left w:val="none" w:sz="0" w:space="0" w:color="auto"/>
        <w:bottom w:val="none" w:sz="0" w:space="0" w:color="auto"/>
        <w:right w:val="none" w:sz="0" w:space="0" w:color="auto"/>
      </w:divBdr>
    </w:div>
    <w:div w:id="1919051517">
      <w:bodyDiv w:val="1"/>
      <w:marLeft w:val="0"/>
      <w:marRight w:val="0"/>
      <w:marTop w:val="0"/>
      <w:marBottom w:val="0"/>
      <w:divBdr>
        <w:top w:val="none" w:sz="0" w:space="0" w:color="auto"/>
        <w:left w:val="none" w:sz="0" w:space="0" w:color="auto"/>
        <w:bottom w:val="none" w:sz="0" w:space="0" w:color="auto"/>
        <w:right w:val="none" w:sz="0" w:space="0" w:color="auto"/>
      </w:divBdr>
    </w:div>
    <w:div w:id="1951351409">
      <w:bodyDiv w:val="1"/>
      <w:marLeft w:val="0"/>
      <w:marRight w:val="0"/>
      <w:marTop w:val="0"/>
      <w:marBottom w:val="0"/>
      <w:divBdr>
        <w:top w:val="none" w:sz="0" w:space="0" w:color="auto"/>
        <w:left w:val="none" w:sz="0" w:space="0" w:color="auto"/>
        <w:bottom w:val="none" w:sz="0" w:space="0" w:color="auto"/>
        <w:right w:val="none" w:sz="0" w:space="0" w:color="auto"/>
      </w:divBdr>
    </w:div>
    <w:div w:id="1978299005">
      <w:bodyDiv w:val="1"/>
      <w:marLeft w:val="0"/>
      <w:marRight w:val="0"/>
      <w:marTop w:val="0"/>
      <w:marBottom w:val="0"/>
      <w:divBdr>
        <w:top w:val="none" w:sz="0" w:space="0" w:color="auto"/>
        <w:left w:val="none" w:sz="0" w:space="0" w:color="auto"/>
        <w:bottom w:val="none" w:sz="0" w:space="0" w:color="auto"/>
        <w:right w:val="none" w:sz="0" w:space="0" w:color="auto"/>
      </w:divBdr>
    </w:div>
    <w:div w:id="205462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9</Pages>
  <Words>3528</Words>
  <Characters>19057</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dcterms:created xsi:type="dcterms:W3CDTF">2024-06-12T15:31:00Z</dcterms:created>
  <dcterms:modified xsi:type="dcterms:W3CDTF">2026-04-23T13:45:00Z</dcterms:modified>
</cp:coreProperties>
</file>