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3874" w14:textId="77777777" w:rsidR="002E7759" w:rsidRPr="002E7759" w:rsidRDefault="002E7759" w:rsidP="002E7759">
      <w:pPr>
        <w:pStyle w:val="Default"/>
        <w:spacing w:line="360" w:lineRule="auto"/>
        <w:jc w:val="center"/>
        <w:rPr>
          <w:rFonts w:ascii="Times New Roman" w:hAnsi="Times New Roman" w:cs="Times New Roman"/>
          <w:b/>
          <w:bCs/>
          <w:sz w:val="32"/>
          <w:szCs w:val="32"/>
        </w:rPr>
      </w:pPr>
    </w:p>
    <w:p w14:paraId="31DE88BE" w14:textId="77777777" w:rsidR="002E7759" w:rsidRPr="002E7759" w:rsidRDefault="002E7759" w:rsidP="002E7759">
      <w:pPr>
        <w:pStyle w:val="Default"/>
        <w:spacing w:line="360" w:lineRule="auto"/>
        <w:jc w:val="center"/>
        <w:rPr>
          <w:rFonts w:ascii="Times New Roman" w:hAnsi="Times New Roman" w:cs="Times New Roman"/>
          <w:b/>
          <w:bCs/>
          <w:sz w:val="32"/>
          <w:szCs w:val="32"/>
        </w:rPr>
      </w:pPr>
      <w:r w:rsidRPr="002E7759">
        <w:rPr>
          <w:rFonts w:ascii="Times New Roman" w:hAnsi="Times New Roman" w:cs="Times New Roman"/>
          <w:b/>
          <w:bCs/>
          <w:sz w:val="32"/>
          <w:szCs w:val="32"/>
        </w:rPr>
        <w:t>MATRIZ DE RISCO</w:t>
      </w:r>
    </w:p>
    <w:p w14:paraId="4130A941" w14:textId="77777777" w:rsidR="002E7759" w:rsidRPr="00A8481A" w:rsidRDefault="002E7759" w:rsidP="002E7759">
      <w:pPr>
        <w:pStyle w:val="Default"/>
        <w:spacing w:line="360" w:lineRule="auto"/>
        <w:jc w:val="both"/>
        <w:rPr>
          <w:rFonts w:ascii="Times New Roman" w:hAnsi="Times New Roman" w:cs="Times New Roman"/>
          <w:b/>
          <w:bCs/>
          <w:sz w:val="20"/>
          <w:szCs w:val="20"/>
        </w:rPr>
      </w:pPr>
    </w:p>
    <w:p w14:paraId="329E56A8" w14:textId="156F10A9" w:rsidR="002E7759" w:rsidRPr="007C5BF6" w:rsidRDefault="002E7759" w:rsidP="002E7759">
      <w:pPr>
        <w:spacing w:line="360" w:lineRule="auto"/>
        <w:jc w:val="both"/>
        <w:rPr>
          <w:rFonts w:ascii="Times New Roman" w:hAnsi="Times New Roman" w:cs="Times New Roman"/>
          <w:b/>
          <w:bCs/>
          <w:sz w:val="20"/>
          <w:szCs w:val="20"/>
        </w:rPr>
      </w:pPr>
      <w:r w:rsidRPr="002E7759">
        <w:rPr>
          <w:rFonts w:ascii="Times New Roman" w:hAnsi="Times New Roman" w:cs="Times New Roman"/>
          <w:sz w:val="20"/>
          <w:szCs w:val="20"/>
        </w:rPr>
        <w:tab/>
      </w:r>
      <w:r w:rsidRPr="002E7759">
        <w:rPr>
          <w:rFonts w:ascii="Times New Roman" w:hAnsi="Times New Roman" w:cs="Times New Roman"/>
          <w:sz w:val="20"/>
          <w:szCs w:val="20"/>
        </w:rPr>
        <w:tab/>
      </w:r>
      <w:r w:rsidR="007C5BF6" w:rsidRPr="007C5BF6">
        <w:rPr>
          <w:rFonts w:ascii="Times New Roman" w:hAnsi="Times New Roman" w:cs="Times New Roman"/>
          <w:b/>
          <w:bCs/>
          <w:sz w:val="20"/>
          <w:szCs w:val="20"/>
        </w:rPr>
        <w:t xml:space="preserve">Execução de obra de engenharia, consistente na implantação de infraestrutura viária urbana em trechos das Ruas </w:t>
      </w:r>
      <w:proofErr w:type="spellStart"/>
      <w:r w:rsidR="007C5BF6" w:rsidRPr="007C5BF6">
        <w:rPr>
          <w:rFonts w:ascii="Times New Roman" w:hAnsi="Times New Roman" w:cs="Times New Roman"/>
          <w:b/>
          <w:bCs/>
          <w:sz w:val="20"/>
          <w:szCs w:val="20"/>
        </w:rPr>
        <w:t>Marcírio</w:t>
      </w:r>
      <w:proofErr w:type="spellEnd"/>
      <w:r w:rsidR="007C5BF6" w:rsidRPr="007C5BF6">
        <w:rPr>
          <w:rFonts w:ascii="Times New Roman" w:hAnsi="Times New Roman" w:cs="Times New Roman"/>
          <w:b/>
          <w:bCs/>
          <w:sz w:val="20"/>
          <w:szCs w:val="20"/>
        </w:rPr>
        <w:t xml:space="preserve"> David de Azevedo, João Pereira de Aguiar e Aldo Bilhar de Azevedo, situadas no Bairro Morro Bonito, Município de Paverama, compreendendo, de forma integrada, os serviços de terraplenagem, limpeza mecanizada, escavações, movimentação de solo, regularização e compactação do subleito, execução de </w:t>
      </w:r>
      <w:proofErr w:type="spellStart"/>
      <w:r w:rsidR="007C5BF6" w:rsidRPr="007C5BF6">
        <w:rPr>
          <w:rFonts w:ascii="Times New Roman" w:hAnsi="Times New Roman" w:cs="Times New Roman"/>
          <w:b/>
          <w:bCs/>
          <w:sz w:val="20"/>
          <w:szCs w:val="20"/>
        </w:rPr>
        <w:t>microdrenagem</w:t>
      </w:r>
      <w:proofErr w:type="spellEnd"/>
      <w:r w:rsidR="007C5BF6" w:rsidRPr="007C5BF6">
        <w:rPr>
          <w:rFonts w:ascii="Times New Roman" w:hAnsi="Times New Roman" w:cs="Times New Roman"/>
          <w:b/>
          <w:bCs/>
          <w:sz w:val="20"/>
          <w:szCs w:val="20"/>
        </w:rPr>
        <w:t xml:space="preserve"> pluvial, assentamento de meios-fios, execução de passeios, pavimentação com blocos intertravados de concreto, sinalização viária horizontal e vertical, além dos demais serviços complementares necessário</w:t>
      </w:r>
      <w:r w:rsidR="00A8481A">
        <w:rPr>
          <w:rFonts w:ascii="Times New Roman" w:hAnsi="Times New Roman" w:cs="Times New Roman"/>
          <w:b/>
          <w:bCs/>
          <w:sz w:val="20"/>
          <w:szCs w:val="20"/>
        </w:rPr>
        <w:t>s</w:t>
      </w:r>
      <w:r w:rsidRPr="007C5BF6">
        <w:rPr>
          <w:rFonts w:ascii="Times New Roman" w:hAnsi="Times New Roman" w:cs="Times New Roman"/>
          <w:b/>
          <w:bCs/>
          <w:sz w:val="20"/>
          <w:szCs w:val="20"/>
        </w:rPr>
        <w:t xml:space="preserve">, com valor estimado de </w:t>
      </w:r>
      <w:r w:rsidR="007C5BF6" w:rsidRPr="007C5BF6">
        <w:rPr>
          <w:rFonts w:ascii="Times New Roman" w:hAnsi="Times New Roman" w:cs="Times New Roman"/>
          <w:b/>
          <w:bCs/>
          <w:sz w:val="20"/>
          <w:szCs w:val="20"/>
        </w:rPr>
        <w:t>R$ 984.772,53 (NOVECENTOS E OITENTA E QUATRO MIL, SETECENTOS E SETENTA E DOIS REAIS E CINQUENTA E TRÊS CENTAVOS)</w:t>
      </w:r>
      <w:r w:rsidRPr="007C5BF6">
        <w:rPr>
          <w:rFonts w:ascii="Times New Roman" w:hAnsi="Times New Roman" w:cs="Times New Roman"/>
          <w:b/>
          <w:bCs/>
          <w:sz w:val="20"/>
          <w:szCs w:val="20"/>
        </w:rPr>
        <w:t>, conforme Planilha Orçamentária Oficial integrante do processo administrativo.</w:t>
      </w:r>
    </w:p>
    <w:p w14:paraId="482F1B3B"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1.1. OBJETIVOS DA MATRIZ DE RISCOS:</w:t>
      </w:r>
    </w:p>
    <w:p w14:paraId="1892AB42" w14:textId="513EF8B2"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sz w:val="20"/>
          <w:szCs w:val="20"/>
        </w:rPr>
        <w:t xml:space="preserve">A Matriz de Riscos tem como finalidade principal identificar, analisar, classificar e alocar os riscos que possam impactar a execução do contrato de obra de engenharia para implantação de infraestrutura viária urbana em trechos das Ruas </w:t>
      </w:r>
      <w:proofErr w:type="spellStart"/>
      <w:r w:rsidRPr="007C5BF6">
        <w:rPr>
          <w:rFonts w:ascii="Times New Roman" w:hAnsi="Times New Roman" w:cs="Times New Roman"/>
          <w:sz w:val="20"/>
          <w:szCs w:val="20"/>
        </w:rPr>
        <w:t>Marcírio</w:t>
      </w:r>
      <w:proofErr w:type="spellEnd"/>
      <w:r w:rsidRPr="007C5BF6">
        <w:rPr>
          <w:rFonts w:ascii="Times New Roman" w:hAnsi="Times New Roman" w:cs="Times New Roman"/>
          <w:sz w:val="20"/>
          <w:szCs w:val="20"/>
        </w:rPr>
        <w:t xml:space="preserve"> David de Azevedo, João Pereira de Aguiar e Aldo Bilhar de Azevedo, no Bairro Morro Bonito, no Município de Paverama, permitindo ao Município e à empresa contratada o conhecimento prévio dos fatores críticos da intervenção e subsidiando decisões técnicas, administrativas, financeiras e operacionais ao longo de toda a execução contratual, especialmente considerando tratar-se de obra de infraestrutura viária com interferência direta na mobilidade, na drenagem pluvial, na acessibilidade e na circulação de veículos e pedestres.</w:t>
      </w:r>
    </w:p>
    <w:p w14:paraId="4DC0C4FD"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sz w:val="20"/>
          <w:szCs w:val="20"/>
        </w:rPr>
        <w:t>Constituem objetivos específicos da Matriz de Riscos:</w:t>
      </w:r>
    </w:p>
    <w:p w14:paraId="7751F8B8" w14:textId="77D7A971"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a) Identificação de riscos potenciais:</w:t>
      </w:r>
      <w:r w:rsidRPr="007C5BF6">
        <w:rPr>
          <w:rFonts w:ascii="Times New Roman" w:hAnsi="Times New Roman" w:cs="Times New Roman"/>
          <w:sz w:val="20"/>
          <w:szCs w:val="20"/>
        </w:rPr>
        <w:t xml:space="preserve"> mapear eventos que possam afetar a execução da obra de infraestrutura viária, abrangendo aspectos técnicos, construtivos, geotécnicos, operacionais, ambientais, legais, administrativos e financeiros, especialmente aqueles relacionados à execução de serviços de terraplenagem, limpeza mecanizada, escavações, movimentação de solo, regularização e compactação do subleito, implantação de </w:t>
      </w:r>
      <w:proofErr w:type="spellStart"/>
      <w:r w:rsidRPr="007C5BF6">
        <w:rPr>
          <w:rFonts w:ascii="Times New Roman" w:hAnsi="Times New Roman" w:cs="Times New Roman"/>
          <w:sz w:val="20"/>
          <w:szCs w:val="20"/>
        </w:rPr>
        <w:t>microdrenagem</w:t>
      </w:r>
      <w:proofErr w:type="spellEnd"/>
      <w:r w:rsidRPr="007C5BF6">
        <w:rPr>
          <w:rFonts w:ascii="Times New Roman" w:hAnsi="Times New Roman" w:cs="Times New Roman"/>
          <w:sz w:val="20"/>
          <w:szCs w:val="20"/>
        </w:rPr>
        <w:t xml:space="preserve"> pluvial, assentamento de meios-fios, execução de passeios, rampas e dispositivos de acessibilidade, pavimentação com blocos intertravados de concreto, rejuntamentos, arremates e sinalização viária horizontal e vertical, bem como às interferências com redes existentes, condições climáticas e características do solo;</w:t>
      </w:r>
    </w:p>
    <w:p w14:paraId="1EBFB0BE"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b) Classificação dos riscos:</w:t>
      </w:r>
      <w:r w:rsidRPr="007C5BF6">
        <w:rPr>
          <w:rFonts w:ascii="Times New Roman" w:hAnsi="Times New Roman" w:cs="Times New Roman"/>
          <w:sz w:val="20"/>
          <w:szCs w:val="20"/>
        </w:rPr>
        <w:t xml:space="preserve"> avaliar cada risco identificado quanto à sua probabilidade de ocorrência (alta, média ou baixa) e ao seu potencial impacto sobre o prazo, o custo, a qualidade técnica dos serviços, a segurança dos trabalhadores, dos usuários da via e de terceiros, bem como sobre a funcionalidade da infraestrutura implantada e a durabilidade do pavimento intertravado;</w:t>
      </w:r>
    </w:p>
    <w:p w14:paraId="3AEC3347"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c) Registro dos riscos por categoria, organizando-os, entre outros, nos seguintes grupos:</w:t>
      </w:r>
    </w:p>
    <w:p w14:paraId="127804DC"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I – Técnicos e construtivos:</w:t>
      </w:r>
      <w:r w:rsidRPr="007C5BF6">
        <w:rPr>
          <w:rFonts w:ascii="Times New Roman" w:hAnsi="Times New Roman" w:cs="Times New Roman"/>
          <w:sz w:val="20"/>
          <w:szCs w:val="20"/>
        </w:rPr>
        <w:t xml:space="preserve"> falhas na execução de terraplenagem, compactação insuficiente do subleito, inconsistências no nivelamento e nas declividades, deficiência no assentamento dos blocos intertravados de concreto, falhas no rejuntamento, travamento ou arremates do pavimento, deficiência no controle tecnológico, </w:t>
      </w:r>
      <w:r w:rsidRPr="007C5BF6">
        <w:rPr>
          <w:rFonts w:ascii="Times New Roman" w:hAnsi="Times New Roman" w:cs="Times New Roman"/>
          <w:sz w:val="20"/>
          <w:szCs w:val="20"/>
        </w:rPr>
        <w:lastRenderedPageBreak/>
        <w:t xml:space="preserve">utilização de materiais fora das especificações, falhas na execução da </w:t>
      </w:r>
      <w:proofErr w:type="spellStart"/>
      <w:r w:rsidRPr="007C5BF6">
        <w:rPr>
          <w:rFonts w:ascii="Times New Roman" w:hAnsi="Times New Roman" w:cs="Times New Roman"/>
          <w:sz w:val="20"/>
          <w:szCs w:val="20"/>
        </w:rPr>
        <w:t>microdrenagem</w:t>
      </w:r>
      <w:proofErr w:type="spellEnd"/>
      <w:r w:rsidRPr="007C5BF6">
        <w:rPr>
          <w:rFonts w:ascii="Times New Roman" w:hAnsi="Times New Roman" w:cs="Times New Roman"/>
          <w:sz w:val="20"/>
          <w:szCs w:val="20"/>
        </w:rPr>
        <w:t>, incompatibilidades entre projeto, memorial descritivo e condições reais de campo, bem como não atendimento às normas técnicas da ABNT, DNIT, DAER, CONTRAN e demais referenciais aplicáveis;</w:t>
      </w:r>
    </w:p>
    <w:p w14:paraId="215F2C23"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II – Ambientais:</w:t>
      </w:r>
      <w:r w:rsidRPr="007C5BF6">
        <w:rPr>
          <w:rFonts w:ascii="Times New Roman" w:hAnsi="Times New Roman" w:cs="Times New Roman"/>
          <w:sz w:val="20"/>
          <w:szCs w:val="20"/>
        </w:rPr>
        <w:t xml:space="preserve"> geração de poeira e material particulado, manejo inadequado de resíduos da construção civil, riscos de assoreamento ou obstrução de dispositivos de drenagem, impactos decorrentes de movimentação de solo, escavações, transporte e reaproveitamento de materiais, necessidade de controle de erosão, bem como descumprimento de condicionantes ambientais eventualmente estabelecidas;</w:t>
      </w:r>
    </w:p>
    <w:p w14:paraId="5B2D07BD"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III – Legais e regulatórios:</w:t>
      </w:r>
      <w:r w:rsidRPr="007C5BF6">
        <w:rPr>
          <w:rFonts w:ascii="Times New Roman" w:hAnsi="Times New Roman" w:cs="Times New Roman"/>
          <w:sz w:val="20"/>
          <w:szCs w:val="20"/>
        </w:rPr>
        <w:t xml:space="preserve"> descumprimento de normas técnicas, ambientais, urbanísticas, de acessibilidade e de segurança do trabalho; inobservância das disposições da Lei nº 14.133/2021; ausência ou irregularidade de ART/RRT; execução em desacordo com os documentos técnicos; e descumprimento de determinações da fiscalização ou dos órgãos de controle;</w:t>
      </w:r>
    </w:p>
    <w:p w14:paraId="698ED35F"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IV – Financeiros e contratuais:</w:t>
      </w:r>
      <w:r w:rsidRPr="007C5BF6">
        <w:rPr>
          <w:rFonts w:ascii="Times New Roman" w:hAnsi="Times New Roman" w:cs="Times New Roman"/>
          <w:sz w:val="20"/>
          <w:szCs w:val="20"/>
        </w:rPr>
        <w:t xml:space="preserve"> atrasos na execução física da obra, necessidade de retrabalho por falhas técnicas, medições glosadas por desconformidade, variação de preços de insumos dentro dos limites legais, inadimplemento contratual, pleitos de reequilíbrio econômico-financeiro e impactos decorrentes de paralisações ou baixa produtividade;</w:t>
      </w:r>
    </w:p>
    <w:p w14:paraId="274FCB10"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V – Operacionais e logísticos:</w:t>
      </w:r>
      <w:r w:rsidRPr="007C5BF6">
        <w:rPr>
          <w:rFonts w:ascii="Times New Roman" w:hAnsi="Times New Roman" w:cs="Times New Roman"/>
          <w:sz w:val="20"/>
          <w:szCs w:val="20"/>
        </w:rPr>
        <w:t xml:space="preserve"> dificuldades de acesso aos trechos, interferência no tráfego local, necessidade de desvio de fluxo de veículos e pedestres, restrições operacionais em função de condições climáticas, logística de transporte, descarga e armazenamento temporário de blocos intertravados, meios-fios, tubos, agregados, materiais de assentamento e demais insumos, bem como interferências com redes públicas existentes, tais como água, energia e telecomunicações;</w:t>
      </w:r>
    </w:p>
    <w:p w14:paraId="3B2DFFB3"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VI – Institucionais e de interesse público:</w:t>
      </w:r>
      <w:r w:rsidRPr="007C5BF6">
        <w:rPr>
          <w:rFonts w:ascii="Times New Roman" w:hAnsi="Times New Roman" w:cs="Times New Roman"/>
          <w:sz w:val="20"/>
          <w:szCs w:val="20"/>
        </w:rPr>
        <w:t xml:space="preserve"> impactos na mobilidade urbana e comunitária, eventuais transtornos à população durante a execução da obra, necessidade de gestão de comunicação com a comunidade, riscos de atraso na entrega da infraestrutura e repercussões administrativas decorrentes da não conclusão da obra dentro dos prazos estabelecidos;</w:t>
      </w:r>
    </w:p>
    <w:p w14:paraId="6EB75C87"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d) Distribuição preliminar de responsabilidades:</w:t>
      </w:r>
      <w:r w:rsidRPr="007C5BF6">
        <w:rPr>
          <w:rFonts w:ascii="Times New Roman" w:hAnsi="Times New Roman" w:cs="Times New Roman"/>
          <w:sz w:val="20"/>
          <w:szCs w:val="20"/>
        </w:rPr>
        <w:t xml:space="preserve"> identificar, de forma clara, quais riscos são atribuídos à contratada — especialmente aqueles relacionados à execução técnica dos serviços, à qualidade dos materiais, ao controle tecnológico, à segurança do trabalho, à logística de execução, ao cumprimento do cronograma, à correta aplicação das técnicas construtivas e à conservação das frentes de trabalho — e quais são de responsabilidade da Administração, como disponibilização das áreas, gestão institucional do tráfego, fiscalização contratual, definição de diretrizes administrativas e formalização de atos necessários ao regular andamento da obra;</w:t>
      </w:r>
    </w:p>
    <w:p w14:paraId="0B659378"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e) Priorização e criticidade dos riscos:</w:t>
      </w:r>
      <w:r w:rsidRPr="007C5BF6">
        <w:rPr>
          <w:rFonts w:ascii="Times New Roman" w:hAnsi="Times New Roman" w:cs="Times New Roman"/>
          <w:sz w:val="20"/>
          <w:szCs w:val="20"/>
        </w:rPr>
        <w:t xml:space="preserve"> classificar os riscos conforme seu grau de criticidade (alto, médio ou baixo), considerando especialmente os impactos sobre o cronograma da obra, a qualidade final do pavimento intertravado, a funcionalidade da </w:t>
      </w:r>
      <w:proofErr w:type="spellStart"/>
      <w:r w:rsidRPr="007C5BF6">
        <w:rPr>
          <w:rFonts w:ascii="Times New Roman" w:hAnsi="Times New Roman" w:cs="Times New Roman"/>
          <w:sz w:val="20"/>
          <w:szCs w:val="20"/>
        </w:rPr>
        <w:t>microdrenagem</w:t>
      </w:r>
      <w:proofErr w:type="spellEnd"/>
      <w:r w:rsidRPr="007C5BF6">
        <w:rPr>
          <w:rFonts w:ascii="Times New Roman" w:hAnsi="Times New Roman" w:cs="Times New Roman"/>
          <w:sz w:val="20"/>
          <w:szCs w:val="20"/>
        </w:rPr>
        <w:t>, a segurança dos usuários e a adequada aplicação dos recursos públicos;</w:t>
      </w:r>
    </w:p>
    <w:p w14:paraId="52D70FC6"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f) Registro histórico e contextual:</w:t>
      </w:r>
      <w:r w:rsidRPr="007C5BF6">
        <w:rPr>
          <w:rFonts w:ascii="Times New Roman" w:hAnsi="Times New Roman" w:cs="Times New Roman"/>
          <w:sz w:val="20"/>
          <w:szCs w:val="20"/>
        </w:rPr>
        <w:t xml:space="preserve"> considerar experiências anteriores do Município em obras de pavimentação e infraestrutura viária, identificando riscos recorrentes, como variações nas condições do subleito, interferências não previstas, necessidade de ajustes em campo, atrasos decorrentes de condições climáticas e desafios logísticos relacionados à execução de pavimentação com blocos intertravados de concreto — PVS, drenagem, passeios e acessibilidade;</w:t>
      </w:r>
    </w:p>
    <w:p w14:paraId="1F850D14"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lastRenderedPageBreak/>
        <w:t>g) Identificação de riscos interdependentes:</w:t>
      </w:r>
      <w:r w:rsidRPr="007C5BF6">
        <w:rPr>
          <w:rFonts w:ascii="Times New Roman" w:hAnsi="Times New Roman" w:cs="Times New Roman"/>
          <w:sz w:val="20"/>
          <w:szCs w:val="20"/>
        </w:rPr>
        <w:t xml:space="preserve"> mapear eventos que possam desencadear efeitos em cadeia, como falhas na drenagem que comprometam a durabilidade do pavimento, compactação inadequada do subleito que gere recalques e deslocamento dos blocos, falhas no confinamento lateral por meios-fios que afetem o travamento do pavimento, ou deficiências nos arremates e na acessibilidade que impactem diretamente a qualidade final da obra;</w:t>
      </w:r>
    </w:p>
    <w:p w14:paraId="4E536C31"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h) Transparência e rastreabilidade:</w:t>
      </w:r>
      <w:r w:rsidRPr="007C5BF6">
        <w:rPr>
          <w:rFonts w:ascii="Times New Roman" w:hAnsi="Times New Roman" w:cs="Times New Roman"/>
          <w:sz w:val="20"/>
          <w:szCs w:val="20"/>
        </w:rPr>
        <w:t xml:space="preserve"> assegurar que todos os riscos identificados estejam formalmente registrados de forma clara, objetiva e auditável, facilitando a comunicação entre a Administração, a contratada e os órgãos de controle externo;</w:t>
      </w:r>
    </w:p>
    <w:p w14:paraId="716A68EB" w14:textId="77777777" w:rsidR="007C5BF6" w:rsidRPr="007C5BF6" w:rsidRDefault="007C5BF6" w:rsidP="007C5BF6">
      <w:pPr>
        <w:spacing w:after="0" w:line="360" w:lineRule="auto"/>
        <w:ind w:firstLine="709"/>
        <w:jc w:val="both"/>
        <w:rPr>
          <w:rFonts w:ascii="Times New Roman" w:hAnsi="Times New Roman" w:cs="Times New Roman"/>
          <w:sz w:val="20"/>
          <w:szCs w:val="20"/>
        </w:rPr>
      </w:pPr>
      <w:r w:rsidRPr="007C5BF6">
        <w:rPr>
          <w:rFonts w:ascii="Times New Roman" w:hAnsi="Times New Roman" w:cs="Times New Roman"/>
          <w:b/>
          <w:bCs/>
          <w:sz w:val="20"/>
          <w:szCs w:val="20"/>
        </w:rPr>
        <w:t>i) Subsídio à tomada de decisão:</w:t>
      </w:r>
      <w:r w:rsidRPr="007C5BF6">
        <w:rPr>
          <w:rFonts w:ascii="Times New Roman" w:hAnsi="Times New Roman" w:cs="Times New Roman"/>
          <w:sz w:val="20"/>
          <w:szCs w:val="20"/>
        </w:rPr>
        <w:t xml:space="preserve"> fornecer base técnica e documental para decisões relacionadas ao planejamento executivo, à fiscalização, à gestão contratual, à alocação de responsabilidades e à adoção de medidas preventivas ou corretivas, com plena ciência dos eventos que podem afetar a execução da obra de infraestrutura viária com pavimentação em blocos intertravados de concreto — PVS, </w:t>
      </w:r>
      <w:proofErr w:type="spellStart"/>
      <w:r w:rsidRPr="007C5BF6">
        <w:rPr>
          <w:rFonts w:ascii="Times New Roman" w:hAnsi="Times New Roman" w:cs="Times New Roman"/>
          <w:sz w:val="20"/>
          <w:szCs w:val="20"/>
        </w:rPr>
        <w:t>microdrenagem</w:t>
      </w:r>
      <w:proofErr w:type="spellEnd"/>
      <w:r w:rsidRPr="007C5BF6">
        <w:rPr>
          <w:rFonts w:ascii="Times New Roman" w:hAnsi="Times New Roman" w:cs="Times New Roman"/>
          <w:sz w:val="20"/>
          <w:szCs w:val="20"/>
        </w:rPr>
        <w:t>, acessibilidade e sinalização viária.</w:t>
      </w:r>
    </w:p>
    <w:p w14:paraId="7529118F" w14:textId="77777777" w:rsidR="002E7759" w:rsidRPr="00A61110" w:rsidRDefault="002E7759" w:rsidP="002E7759">
      <w:pPr>
        <w:spacing w:after="0" w:line="360" w:lineRule="auto"/>
        <w:ind w:firstLine="709"/>
        <w:jc w:val="both"/>
        <w:rPr>
          <w:rFonts w:ascii="Times New Roman" w:hAnsi="Times New Roman" w:cs="Times New Roman"/>
          <w:sz w:val="20"/>
          <w:szCs w:val="20"/>
        </w:rPr>
      </w:pPr>
    </w:p>
    <w:p w14:paraId="4393924F"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1.2. MATRIZ DE RISCOS DETALHADA:</w:t>
      </w:r>
    </w:p>
    <w:p w14:paraId="0F60C82E" w14:textId="77777777" w:rsidR="002E7759"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1.2.1. Riscos Técnicos e Construtivos:</w:t>
      </w:r>
    </w:p>
    <w:tbl>
      <w:tblPr>
        <w:tblStyle w:val="Tabelacomgrade"/>
        <w:tblW w:w="10878" w:type="dxa"/>
        <w:tblInd w:w="-998" w:type="dxa"/>
        <w:tblLook w:val="04A0" w:firstRow="1" w:lastRow="0" w:firstColumn="1" w:lastColumn="0" w:noHBand="0" w:noVBand="1"/>
      </w:tblPr>
      <w:tblGrid>
        <w:gridCol w:w="407"/>
        <w:gridCol w:w="1526"/>
        <w:gridCol w:w="2476"/>
        <w:gridCol w:w="685"/>
        <w:gridCol w:w="856"/>
        <w:gridCol w:w="1286"/>
        <w:gridCol w:w="2045"/>
        <w:gridCol w:w="1597"/>
      </w:tblGrid>
      <w:tr w:rsidR="007C5BF6" w:rsidRPr="008534BA" w14:paraId="1E3624D3" w14:textId="77777777" w:rsidTr="007C5BF6">
        <w:tc>
          <w:tcPr>
            <w:tcW w:w="407" w:type="dxa"/>
            <w:vAlign w:val="center"/>
          </w:tcPr>
          <w:p w14:paraId="461E62C2" w14:textId="378EE777"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b/>
                <w:bCs/>
                <w:sz w:val="18"/>
                <w:szCs w:val="18"/>
              </w:rPr>
              <w:t>Nº</w:t>
            </w:r>
          </w:p>
        </w:tc>
        <w:tc>
          <w:tcPr>
            <w:tcW w:w="1526" w:type="dxa"/>
            <w:vAlign w:val="center"/>
          </w:tcPr>
          <w:p w14:paraId="16BF8E69" w14:textId="7B357E7C"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b/>
                <w:bCs/>
                <w:sz w:val="18"/>
                <w:szCs w:val="18"/>
              </w:rPr>
              <w:t>Risco</w:t>
            </w:r>
          </w:p>
        </w:tc>
        <w:tc>
          <w:tcPr>
            <w:tcW w:w="2483" w:type="dxa"/>
            <w:vAlign w:val="center"/>
          </w:tcPr>
          <w:p w14:paraId="4DC71521" w14:textId="61EA4F6F"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b/>
                <w:bCs/>
                <w:sz w:val="18"/>
                <w:szCs w:val="18"/>
              </w:rPr>
              <w:t>Descrição</w:t>
            </w:r>
          </w:p>
        </w:tc>
        <w:tc>
          <w:tcPr>
            <w:tcW w:w="685" w:type="dxa"/>
            <w:vAlign w:val="center"/>
          </w:tcPr>
          <w:p w14:paraId="69827BA9" w14:textId="26BAEA8E" w:rsidR="007C5BF6" w:rsidRPr="007C5BF6" w:rsidRDefault="007C5BF6" w:rsidP="007C5BF6">
            <w:pPr>
              <w:spacing w:line="360" w:lineRule="auto"/>
              <w:jc w:val="center"/>
              <w:rPr>
                <w:rFonts w:ascii="Times New Roman" w:hAnsi="Times New Roman" w:cs="Times New Roman"/>
                <w:b/>
                <w:bCs/>
                <w:sz w:val="18"/>
                <w:szCs w:val="18"/>
              </w:rPr>
            </w:pPr>
            <w:proofErr w:type="spellStart"/>
            <w:r w:rsidRPr="007C5BF6">
              <w:rPr>
                <w:rFonts w:ascii="Times New Roman" w:hAnsi="Times New Roman" w:cs="Times New Roman"/>
                <w:b/>
                <w:bCs/>
                <w:sz w:val="18"/>
                <w:szCs w:val="18"/>
              </w:rPr>
              <w:t>Prob</w:t>
            </w:r>
            <w:proofErr w:type="spellEnd"/>
            <w:r w:rsidRPr="007C5BF6">
              <w:rPr>
                <w:rFonts w:ascii="Times New Roman" w:hAnsi="Times New Roman" w:cs="Times New Roman"/>
                <w:b/>
                <w:bCs/>
                <w:sz w:val="18"/>
                <w:szCs w:val="18"/>
              </w:rPr>
              <w:t>.</w:t>
            </w:r>
          </w:p>
        </w:tc>
        <w:tc>
          <w:tcPr>
            <w:tcW w:w="856" w:type="dxa"/>
            <w:vAlign w:val="center"/>
          </w:tcPr>
          <w:p w14:paraId="4DCEF915" w14:textId="049C61E5" w:rsidR="007C5BF6" w:rsidRPr="007C5BF6" w:rsidRDefault="007C5BF6" w:rsidP="00832B3C">
            <w:pPr>
              <w:spacing w:line="360" w:lineRule="auto"/>
              <w:rPr>
                <w:rFonts w:ascii="Times New Roman" w:hAnsi="Times New Roman" w:cs="Times New Roman"/>
                <w:b/>
                <w:bCs/>
                <w:sz w:val="18"/>
                <w:szCs w:val="18"/>
              </w:rPr>
            </w:pPr>
            <w:r w:rsidRPr="007C5BF6">
              <w:rPr>
                <w:rFonts w:ascii="Times New Roman" w:hAnsi="Times New Roman" w:cs="Times New Roman"/>
                <w:b/>
                <w:bCs/>
                <w:sz w:val="18"/>
                <w:szCs w:val="18"/>
              </w:rPr>
              <w:t>Impacto</w:t>
            </w:r>
          </w:p>
        </w:tc>
        <w:tc>
          <w:tcPr>
            <w:tcW w:w="1273" w:type="dxa"/>
            <w:vAlign w:val="center"/>
          </w:tcPr>
          <w:p w14:paraId="183669AE" w14:textId="67380ECA"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b/>
                <w:bCs/>
                <w:sz w:val="18"/>
                <w:szCs w:val="18"/>
              </w:rPr>
              <w:t>Responsável</w:t>
            </w:r>
          </w:p>
        </w:tc>
        <w:tc>
          <w:tcPr>
            <w:tcW w:w="2049" w:type="dxa"/>
            <w:vAlign w:val="center"/>
          </w:tcPr>
          <w:p w14:paraId="7A8103E3" w14:textId="4566DBAE"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b/>
                <w:bCs/>
                <w:sz w:val="18"/>
                <w:szCs w:val="18"/>
              </w:rPr>
              <w:t>Medidas de Mitigação</w:t>
            </w:r>
          </w:p>
        </w:tc>
        <w:tc>
          <w:tcPr>
            <w:tcW w:w="1599" w:type="dxa"/>
            <w:vAlign w:val="center"/>
          </w:tcPr>
          <w:p w14:paraId="427F06D6" w14:textId="143EB477"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b/>
                <w:bCs/>
                <w:sz w:val="18"/>
                <w:szCs w:val="18"/>
              </w:rPr>
              <w:t>Plano de Contingência</w:t>
            </w:r>
          </w:p>
        </w:tc>
      </w:tr>
      <w:tr w:rsidR="007C5BF6" w:rsidRPr="008534BA" w14:paraId="06AA19BF" w14:textId="77777777" w:rsidTr="007C5BF6">
        <w:tc>
          <w:tcPr>
            <w:tcW w:w="407" w:type="dxa"/>
            <w:vAlign w:val="center"/>
          </w:tcPr>
          <w:p w14:paraId="1E2F6767" w14:textId="78527BA6"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1</w:t>
            </w:r>
          </w:p>
        </w:tc>
        <w:tc>
          <w:tcPr>
            <w:tcW w:w="1526" w:type="dxa"/>
            <w:vAlign w:val="center"/>
          </w:tcPr>
          <w:p w14:paraId="1B9EAF77" w14:textId="3894CCE8"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Falhas no assentamento dos blocos intertravados</w:t>
            </w:r>
          </w:p>
        </w:tc>
        <w:tc>
          <w:tcPr>
            <w:tcW w:w="2483" w:type="dxa"/>
            <w:vAlign w:val="center"/>
          </w:tcPr>
          <w:p w14:paraId="31BE21ED" w14:textId="07C0AEC2"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Assentamento inadequado dos blocos de concreto, comprometendo alinhamento, travamento, estabilidade e durabilidade do pavimento</w:t>
            </w:r>
          </w:p>
        </w:tc>
        <w:tc>
          <w:tcPr>
            <w:tcW w:w="685" w:type="dxa"/>
            <w:vAlign w:val="center"/>
          </w:tcPr>
          <w:p w14:paraId="662855B1" w14:textId="5454FD15"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Média</w:t>
            </w:r>
          </w:p>
        </w:tc>
        <w:tc>
          <w:tcPr>
            <w:tcW w:w="856" w:type="dxa"/>
            <w:vAlign w:val="center"/>
          </w:tcPr>
          <w:p w14:paraId="346C43EA" w14:textId="06F044EB"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Alto</w:t>
            </w:r>
          </w:p>
        </w:tc>
        <w:tc>
          <w:tcPr>
            <w:tcW w:w="1273" w:type="dxa"/>
            <w:vAlign w:val="center"/>
          </w:tcPr>
          <w:p w14:paraId="38762EF7" w14:textId="29169D69"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Contratada</w:t>
            </w:r>
          </w:p>
        </w:tc>
        <w:tc>
          <w:tcPr>
            <w:tcW w:w="2049" w:type="dxa"/>
            <w:vAlign w:val="center"/>
          </w:tcPr>
          <w:p w14:paraId="28F49419" w14:textId="48DEAC6B"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Execução conforme projeto; controle de alinhamento, juntas, travamento e compactação</w:t>
            </w:r>
          </w:p>
        </w:tc>
        <w:tc>
          <w:tcPr>
            <w:tcW w:w="1599" w:type="dxa"/>
            <w:vAlign w:val="center"/>
          </w:tcPr>
          <w:p w14:paraId="49E238CE" w14:textId="2F988B8E"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Remoção e recomposição do trecho afetado</w:t>
            </w:r>
          </w:p>
        </w:tc>
      </w:tr>
      <w:tr w:rsidR="007C5BF6" w:rsidRPr="008534BA" w14:paraId="1A21D6AD" w14:textId="77777777" w:rsidTr="007C5BF6">
        <w:tc>
          <w:tcPr>
            <w:tcW w:w="407" w:type="dxa"/>
            <w:vAlign w:val="center"/>
          </w:tcPr>
          <w:p w14:paraId="46AA5EDF" w14:textId="38E471BF"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2</w:t>
            </w:r>
          </w:p>
        </w:tc>
        <w:tc>
          <w:tcPr>
            <w:tcW w:w="1526" w:type="dxa"/>
            <w:vAlign w:val="center"/>
          </w:tcPr>
          <w:p w14:paraId="11066A7B" w14:textId="411D254E"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 xml:space="preserve">Inconformidade na execução da </w:t>
            </w:r>
            <w:proofErr w:type="spellStart"/>
            <w:r w:rsidRPr="007C5BF6">
              <w:rPr>
                <w:rFonts w:ascii="Times New Roman" w:hAnsi="Times New Roman" w:cs="Times New Roman"/>
                <w:sz w:val="18"/>
                <w:szCs w:val="18"/>
              </w:rPr>
              <w:t>microdrenagem</w:t>
            </w:r>
            <w:proofErr w:type="spellEnd"/>
          </w:p>
        </w:tc>
        <w:tc>
          <w:tcPr>
            <w:tcW w:w="2483" w:type="dxa"/>
            <w:vAlign w:val="center"/>
          </w:tcPr>
          <w:p w14:paraId="3E2F9F84" w14:textId="57115A7E"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Implantação inadequada de dispositivos de drenagem, comprometendo o escoamento pluvial</w:t>
            </w:r>
          </w:p>
        </w:tc>
        <w:tc>
          <w:tcPr>
            <w:tcW w:w="685" w:type="dxa"/>
            <w:vAlign w:val="center"/>
          </w:tcPr>
          <w:p w14:paraId="44075296" w14:textId="7ECF4293"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Baixa</w:t>
            </w:r>
          </w:p>
        </w:tc>
        <w:tc>
          <w:tcPr>
            <w:tcW w:w="856" w:type="dxa"/>
            <w:vAlign w:val="center"/>
          </w:tcPr>
          <w:p w14:paraId="67F810D8" w14:textId="7906AF89"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Alto</w:t>
            </w:r>
          </w:p>
        </w:tc>
        <w:tc>
          <w:tcPr>
            <w:tcW w:w="1273" w:type="dxa"/>
            <w:vAlign w:val="center"/>
          </w:tcPr>
          <w:p w14:paraId="32AB0BD5" w14:textId="78580321"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Contratada</w:t>
            </w:r>
          </w:p>
        </w:tc>
        <w:tc>
          <w:tcPr>
            <w:tcW w:w="2049" w:type="dxa"/>
            <w:vAlign w:val="center"/>
          </w:tcPr>
          <w:p w14:paraId="66F1AA4A" w14:textId="4EC80F45"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Execução conforme projeto; conferência de cotas, declividades e conexões</w:t>
            </w:r>
          </w:p>
        </w:tc>
        <w:tc>
          <w:tcPr>
            <w:tcW w:w="1599" w:type="dxa"/>
            <w:vAlign w:val="center"/>
          </w:tcPr>
          <w:p w14:paraId="601ED6C3" w14:textId="223EF454"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Readequação do sistema de drenagem</w:t>
            </w:r>
          </w:p>
        </w:tc>
      </w:tr>
      <w:tr w:rsidR="007C5BF6" w:rsidRPr="008534BA" w14:paraId="77D34709" w14:textId="77777777" w:rsidTr="007C5BF6">
        <w:tc>
          <w:tcPr>
            <w:tcW w:w="407" w:type="dxa"/>
            <w:vAlign w:val="center"/>
          </w:tcPr>
          <w:p w14:paraId="1F356A8A" w14:textId="1E70B372"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3</w:t>
            </w:r>
          </w:p>
        </w:tc>
        <w:tc>
          <w:tcPr>
            <w:tcW w:w="1526" w:type="dxa"/>
            <w:vAlign w:val="center"/>
          </w:tcPr>
          <w:p w14:paraId="5F44F2BE" w14:textId="0CAF7D53"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Defeitos na compactação do subleito</w:t>
            </w:r>
          </w:p>
        </w:tc>
        <w:tc>
          <w:tcPr>
            <w:tcW w:w="2483" w:type="dxa"/>
            <w:vAlign w:val="center"/>
          </w:tcPr>
          <w:p w14:paraId="73214F38" w14:textId="7850F9B9"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Compactação insuficiente gerando recalques, afundamentos e deslocamento dos blocos</w:t>
            </w:r>
          </w:p>
        </w:tc>
        <w:tc>
          <w:tcPr>
            <w:tcW w:w="685" w:type="dxa"/>
            <w:vAlign w:val="center"/>
          </w:tcPr>
          <w:p w14:paraId="5FE8FC45" w14:textId="0ADD42DC"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Média</w:t>
            </w:r>
          </w:p>
        </w:tc>
        <w:tc>
          <w:tcPr>
            <w:tcW w:w="856" w:type="dxa"/>
            <w:vAlign w:val="center"/>
          </w:tcPr>
          <w:p w14:paraId="0822D6AF" w14:textId="63511729"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Alto</w:t>
            </w:r>
          </w:p>
        </w:tc>
        <w:tc>
          <w:tcPr>
            <w:tcW w:w="1273" w:type="dxa"/>
            <w:vAlign w:val="center"/>
          </w:tcPr>
          <w:p w14:paraId="3B92B577" w14:textId="49A1F6D5"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Contratada</w:t>
            </w:r>
          </w:p>
        </w:tc>
        <w:tc>
          <w:tcPr>
            <w:tcW w:w="2049" w:type="dxa"/>
            <w:vAlign w:val="center"/>
          </w:tcPr>
          <w:p w14:paraId="0648716C" w14:textId="0C958A90"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Ensaios de compactação; controle de umidade e acompanhamento da fiscalização</w:t>
            </w:r>
          </w:p>
        </w:tc>
        <w:tc>
          <w:tcPr>
            <w:tcW w:w="1599" w:type="dxa"/>
            <w:vAlign w:val="center"/>
          </w:tcPr>
          <w:p w14:paraId="2433F1E3" w14:textId="4B269F8C"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Reexecução da camada comprometida</w:t>
            </w:r>
          </w:p>
        </w:tc>
      </w:tr>
      <w:tr w:rsidR="007C5BF6" w:rsidRPr="008534BA" w14:paraId="72926D88" w14:textId="77777777" w:rsidTr="007C5BF6">
        <w:tc>
          <w:tcPr>
            <w:tcW w:w="407" w:type="dxa"/>
            <w:vAlign w:val="center"/>
          </w:tcPr>
          <w:p w14:paraId="7F591F99" w14:textId="20FBA713"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4</w:t>
            </w:r>
          </w:p>
        </w:tc>
        <w:tc>
          <w:tcPr>
            <w:tcW w:w="1526" w:type="dxa"/>
            <w:vAlign w:val="center"/>
          </w:tcPr>
          <w:p w14:paraId="191E3030" w14:textId="080E2E8B"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Falha no confinamento lateral do pavimento</w:t>
            </w:r>
          </w:p>
        </w:tc>
        <w:tc>
          <w:tcPr>
            <w:tcW w:w="2483" w:type="dxa"/>
            <w:vAlign w:val="center"/>
          </w:tcPr>
          <w:p w14:paraId="362B61CD" w14:textId="0CBED3ED"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Execução inadequada dos meios-fios, comprometendo o travamento e a contenção lateral dos blocos</w:t>
            </w:r>
          </w:p>
        </w:tc>
        <w:tc>
          <w:tcPr>
            <w:tcW w:w="685" w:type="dxa"/>
            <w:vAlign w:val="center"/>
          </w:tcPr>
          <w:p w14:paraId="3953D070" w14:textId="761AABAC"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Baixa</w:t>
            </w:r>
          </w:p>
        </w:tc>
        <w:tc>
          <w:tcPr>
            <w:tcW w:w="856" w:type="dxa"/>
            <w:vAlign w:val="center"/>
          </w:tcPr>
          <w:p w14:paraId="5F701FCB" w14:textId="39186AF6"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Alto</w:t>
            </w:r>
          </w:p>
        </w:tc>
        <w:tc>
          <w:tcPr>
            <w:tcW w:w="1273" w:type="dxa"/>
            <w:vAlign w:val="center"/>
          </w:tcPr>
          <w:p w14:paraId="6B80970B" w14:textId="4E0074D2"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Contratada</w:t>
            </w:r>
          </w:p>
        </w:tc>
        <w:tc>
          <w:tcPr>
            <w:tcW w:w="2049" w:type="dxa"/>
            <w:vAlign w:val="center"/>
          </w:tcPr>
          <w:p w14:paraId="3F2F7B34" w14:textId="30B8063F"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Conferência de alinhamento, cotas, rejuntamento, escoramento e rebaixamentos</w:t>
            </w:r>
          </w:p>
        </w:tc>
        <w:tc>
          <w:tcPr>
            <w:tcW w:w="1599" w:type="dxa"/>
            <w:vAlign w:val="center"/>
          </w:tcPr>
          <w:p w14:paraId="1B965D9F" w14:textId="53A4D43C"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Remoção e recomposição dos meios-fios e bordos</w:t>
            </w:r>
          </w:p>
        </w:tc>
      </w:tr>
      <w:tr w:rsidR="007C5BF6" w:rsidRPr="008534BA" w14:paraId="30FF2F85" w14:textId="77777777" w:rsidTr="007C5BF6">
        <w:tc>
          <w:tcPr>
            <w:tcW w:w="407" w:type="dxa"/>
            <w:vAlign w:val="center"/>
          </w:tcPr>
          <w:p w14:paraId="7680F343" w14:textId="388DF228"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5</w:t>
            </w:r>
          </w:p>
        </w:tc>
        <w:tc>
          <w:tcPr>
            <w:tcW w:w="1526" w:type="dxa"/>
            <w:vAlign w:val="center"/>
          </w:tcPr>
          <w:p w14:paraId="4C015118" w14:textId="7B7466F6"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Incompatibilidade entre projeto e execução</w:t>
            </w:r>
          </w:p>
        </w:tc>
        <w:tc>
          <w:tcPr>
            <w:tcW w:w="2483" w:type="dxa"/>
            <w:vAlign w:val="center"/>
          </w:tcPr>
          <w:p w14:paraId="6990D404" w14:textId="5830AF45"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Divergências entre memorial, projeto, planilha e condições reais de campo</w:t>
            </w:r>
          </w:p>
        </w:tc>
        <w:tc>
          <w:tcPr>
            <w:tcW w:w="685" w:type="dxa"/>
            <w:vAlign w:val="center"/>
          </w:tcPr>
          <w:p w14:paraId="74229689" w14:textId="27F6E11D"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Média</w:t>
            </w:r>
          </w:p>
        </w:tc>
        <w:tc>
          <w:tcPr>
            <w:tcW w:w="856" w:type="dxa"/>
            <w:vAlign w:val="center"/>
          </w:tcPr>
          <w:p w14:paraId="6DF5F3FD" w14:textId="7F4483DE"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Médio</w:t>
            </w:r>
          </w:p>
        </w:tc>
        <w:tc>
          <w:tcPr>
            <w:tcW w:w="1273" w:type="dxa"/>
            <w:vAlign w:val="center"/>
          </w:tcPr>
          <w:p w14:paraId="0F9E123F" w14:textId="14CA4C39"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Compartilhada</w:t>
            </w:r>
          </w:p>
        </w:tc>
        <w:tc>
          <w:tcPr>
            <w:tcW w:w="2049" w:type="dxa"/>
            <w:vAlign w:val="center"/>
          </w:tcPr>
          <w:p w14:paraId="3E2EAC91" w14:textId="7A83BF26"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Reunião técnica prévia; validação com projetista e fiscalização</w:t>
            </w:r>
          </w:p>
        </w:tc>
        <w:tc>
          <w:tcPr>
            <w:tcW w:w="1599" w:type="dxa"/>
            <w:vAlign w:val="center"/>
          </w:tcPr>
          <w:p w14:paraId="1F9EFA90" w14:textId="2F4A2D5E" w:rsidR="007C5BF6" w:rsidRPr="007C5BF6" w:rsidRDefault="007C5BF6" w:rsidP="007C5BF6">
            <w:pPr>
              <w:spacing w:line="360" w:lineRule="auto"/>
              <w:jc w:val="center"/>
              <w:rPr>
                <w:rFonts w:ascii="Times New Roman" w:hAnsi="Times New Roman" w:cs="Times New Roman"/>
                <w:b/>
                <w:bCs/>
                <w:sz w:val="18"/>
                <w:szCs w:val="18"/>
              </w:rPr>
            </w:pPr>
            <w:r w:rsidRPr="007C5BF6">
              <w:rPr>
                <w:rFonts w:ascii="Times New Roman" w:hAnsi="Times New Roman" w:cs="Times New Roman"/>
                <w:sz w:val="18"/>
                <w:szCs w:val="18"/>
              </w:rPr>
              <w:t>Ordem de ajuste técnico</w:t>
            </w:r>
          </w:p>
        </w:tc>
      </w:tr>
    </w:tbl>
    <w:p w14:paraId="48CEC68D" w14:textId="77777777" w:rsidR="002E7759" w:rsidRPr="00A61110" w:rsidRDefault="002E7759" w:rsidP="002E7759">
      <w:pPr>
        <w:spacing w:after="0" w:line="360" w:lineRule="auto"/>
        <w:ind w:left="-1134" w:right="-568"/>
        <w:jc w:val="both"/>
        <w:rPr>
          <w:rFonts w:ascii="Times New Roman" w:hAnsi="Times New Roman" w:cs="Times New Roman"/>
          <w:sz w:val="20"/>
          <w:szCs w:val="20"/>
        </w:rPr>
      </w:pPr>
      <w:r w:rsidRPr="00A61110">
        <w:rPr>
          <w:rFonts w:ascii="Times New Roman" w:hAnsi="Times New Roman" w:cs="Times New Roman"/>
          <w:sz w:val="20"/>
          <w:szCs w:val="20"/>
        </w:rPr>
        <w:tab/>
      </w:r>
      <w:r w:rsidRPr="00A61110">
        <w:rPr>
          <w:rFonts w:ascii="Times New Roman" w:hAnsi="Times New Roman" w:cs="Times New Roman"/>
          <w:sz w:val="20"/>
          <w:szCs w:val="20"/>
        </w:rPr>
        <w:tab/>
      </w:r>
    </w:p>
    <w:p w14:paraId="3FA3E2C5" w14:textId="77777777" w:rsidR="002E7759" w:rsidRPr="00A61110" w:rsidRDefault="002E7759" w:rsidP="002E7759">
      <w:pPr>
        <w:spacing w:after="0" w:line="360" w:lineRule="auto"/>
        <w:ind w:firstLine="708"/>
        <w:jc w:val="both"/>
        <w:rPr>
          <w:rFonts w:ascii="Times New Roman" w:hAnsi="Times New Roman" w:cs="Times New Roman"/>
          <w:b/>
          <w:bCs/>
          <w:sz w:val="20"/>
          <w:szCs w:val="20"/>
        </w:rPr>
      </w:pPr>
      <w:r w:rsidRPr="00A61110">
        <w:rPr>
          <w:rFonts w:ascii="Times New Roman" w:hAnsi="Times New Roman" w:cs="Times New Roman"/>
          <w:b/>
          <w:bCs/>
          <w:sz w:val="20"/>
          <w:szCs w:val="20"/>
        </w:rPr>
        <w:t>1.2.2. Riscos Ambientais e Sanitários:</w:t>
      </w:r>
    </w:p>
    <w:tbl>
      <w:tblPr>
        <w:tblStyle w:val="Tabelacomgrade"/>
        <w:tblW w:w="10878" w:type="dxa"/>
        <w:tblInd w:w="-998" w:type="dxa"/>
        <w:tblLayout w:type="fixed"/>
        <w:tblLook w:val="04A0" w:firstRow="1" w:lastRow="0" w:firstColumn="1" w:lastColumn="0" w:noHBand="0" w:noVBand="1"/>
      </w:tblPr>
      <w:tblGrid>
        <w:gridCol w:w="426"/>
        <w:gridCol w:w="1560"/>
        <w:gridCol w:w="2409"/>
        <w:gridCol w:w="709"/>
        <w:gridCol w:w="851"/>
        <w:gridCol w:w="1275"/>
        <w:gridCol w:w="2127"/>
        <w:gridCol w:w="1521"/>
      </w:tblGrid>
      <w:tr w:rsidR="00832B3C" w:rsidRPr="00A61110" w14:paraId="2F19A08F" w14:textId="77777777" w:rsidTr="00832B3C">
        <w:tc>
          <w:tcPr>
            <w:tcW w:w="426" w:type="dxa"/>
            <w:vAlign w:val="center"/>
          </w:tcPr>
          <w:p w14:paraId="0D3F675A" w14:textId="3F45E080"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Nº</w:t>
            </w:r>
          </w:p>
        </w:tc>
        <w:tc>
          <w:tcPr>
            <w:tcW w:w="1560" w:type="dxa"/>
            <w:vAlign w:val="center"/>
          </w:tcPr>
          <w:p w14:paraId="546C9B9F" w14:textId="1818E696"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Risco</w:t>
            </w:r>
          </w:p>
        </w:tc>
        <w:tc>
          <w:tcPr>
            <w:tcW w:w="2409" w:type="dxa"/>
            <w:vAlign w:val="center"/>
          </w:tcPr>
          <w:p w14:paraId="659AF7E1" w14:textId="18D395D1"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Descrição</w:t>
            </w:r>
          </w:p>
        </w:tc>
        <w:tc>
          <w:tcPr>
            <w:tcW w:w="709" w:type="dxa"/>
            <w:vAlign w:val="center"/>
          </w:tcPr>
          <w:p w14:paraId="052459C5" w14:textId="6457684A" w:rsidR="00832B3C" w:rsidRPr="00832B3C" w:rsidRDefault="00832B3C" w:rsidP="00832B3C">
            <w:pPr>
              <w:spacing w:line="360" w:lineRule="auto"/>
              <w:jc w:val="center"/>
              <w:rPr>
                <w:rFonts w:ascii="Times New Roman" w:hAnsi="Times New Roman" w:cs="Times New Roman"/>
                <w:b/>
                <w:bCs/>
                <w:sz w:val="18"/>
                <w:szCs w:val="18"/>
              </w:rPr>
            </w:pPr>
            <w:proofErr w:type="spellStart"/>
            <w:r w:rsidRPr="00832B3C">
              <w:rPr>
                <w:rFonts w:ascii="Times New Roman" w:hAnsi="Times New Roman" w:cs="Times New Roman"/>
                <w:b/>
                <w:bCs/>
                <w:sz w:val="18"/>
                <w:szCs w:val="18"/>
              </w:rPr>
              <w:t>Prob</w:t>
            </w:r>
            <w:proofErr w:type="spellEnd"/>
            <w:r w:rsidRPr="00832B3C">
              <w:rPr>
                <w:rFonts w:ascii="Times New Roman" w:hAnsi="Times New Roman" w:cs="Times New Roman"/>
                <w:b/>
                <w:bCs/>
                <w:sz w:val="18"/>
                <w:szCs w:val="18"/>
              </w:rPr>
              <w:t>.</w:t>
            </w:r>
          </w:p>
        </w:tc>
        <w:tc>
          <w:tcPr>
            <w:tcW w:w="851" w:type="dxa"/>
            <w:vAlign w:val="center"/>
          </w:tcPr>
          <w:p w14:paraId="5E9484AD" w14:textId="6D447070" w:rsidR="00832B3C" w:rsidRPr="00832B3C" w:rsidRDefault="00832B3C" w:rsidP="00832B3C">
            <w:pPr>
              <w:spacing w:line="360" w:lineRule="auto"/>
              <w:ind w:left="-109" w:right="-108"/>
              <w:jc w:val="center"/>
              <w:rPr>
                <w:rFonts w:ascii="Times New Roman" w:hAnsi="Times New Roman" w:cs="Times New Roman"/>
                <w:b/>
                <w:bCs/>
                <w:sz w:val="18"/>
                <w:szCs w:val="18"/>
              </w:rPr>
            </w:pPr>
            <w:r w:rsidRPr="00832B3C">
              <w:rPr>
                <w:rFonts w:ascii="Times New Roman" w:hAnsi="Times New Roman" w:cs="Times New Roman"/>
                <w:b/>
                <w:bCs/>
                <w:sz w:val="18"/>
                <w:szCs w:val="18"/>
              </w:rPr>
              <w:t>Impacto</w:t>
            </w:r>
          </w:p>
        </w:tc>
        <w:tc>
          <w:tcPr>
            <w:tcW w:w="1275" w:type="dxa"/>
            <w:vAlign w:val="center"/>
          </w:tcPr>
          <w:p w14:paraId="02B2BDD6" w14:textId="42A68E5E"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Responsável</w:t>
            </w:r>
          </w:p>
        </w:tc>
        <w:tc>
          <w:tcPr>
            <w:tcW w:w="2127" w:type="dxa"/>
            <w:vAlign w:val="center"/>
          </w:tcPr>
          <w:p w14:paraId="1E297E2E" w14:textId="31280B8C"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Medidas de Mitigação</w:t>
            </w:r>
          </w:p>
        </w:tc>
        <w:tc>
          <w:tcPr>
            <w:tcW w:w="1521" w:type="dxa"/>
            <w:vAlign w:val="center"/>
          </w:tcPr>
          <w:p w14:paraId="38DA7079" w14:textId="5A37032A"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Plano de Contingência</w:t>
            </w:r>
          </w:p>
        </w:tc>
      </w:tr>
      <w:tr w:rsidR="00832B3C" w:rsidRPr="00A61110" w14:paraId="7DE8F1DC" w14:textId="77777777" w:rsidTr="00832B3C">
        <w:tc>
          <w:tcPr>
            <w:tcW w:w="426" w:type="dxa"/>
            <w:vAlign w:val="center"/>
          </w:tcPr>
          <w:p w14:paraId="0531562F" w14:textId="7755E37A"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1</w:t>
            </w:r>
          </w:p>
        </w:tc>
        <w:tc>
          <w:tcPr>
            <w:tcW w:w="1560" w:type="dxa"/>
            <w:vAlign w:val="center"/>
          </w:tcPr>
          <w:p w14:paraId="50C40072" w14:textId="0FC1A59F"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Manejo inadequado de resíduos</w:t>
            </w:r>
          </w:p>
        </w:tc>
        <w:tc>
          <w:tcPr>
            <w:tcW w:w="2409" w:type="dxa"/>
            <w:vAlign w:val="center"/>
          </w:tcPr>
          <w:p w14:paraId="0A51F82C" w14:textId="57A1C6E7"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Destinação irregular de resíduos da obra, sobras de materiais e entulhos</w:t>
            </w:r>
          </w:p>
        </w:tc>
        <w:tc>
          <w:tcPr>
            <w:tcW w:w="709" w:type="dxa"/>
            <w:vAlign w:val="center"/>
          </w:tcPr>
          <w:p w14:paraId="05AA72E6" w14:textId="020789D4"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Média</w:t>
            </w:r>
          </w:p>
        </w:tc>
        <w:tc>
          <w:tcPr>
            <w:tcW w:w="851" w:type="dxa"/>
            <w:vAlign w:val="center"/>
          </w:tcPr>
          <w:p w14:paraId="77069CE5" w14:textId="732C9C30"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Médio</w:t>
            </w:r>
          </w:p>
        </w:tc>
        <w:tc>
          <w:tcPr>
            <w:tcW w:w="1275" w:type="dxa"/>
            <w:vAlign w:val="center"/>
          </w:tcPr>
          <w:p w14:paraId="53BDF7FF" w14:textId="2E5BD7B6"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39DFE6C0" w14:textId="0797D8D0"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Segregação, acondicionamento e destinação adequada</w:t>
            </w:r>
          </w:p>
        </w:tc>
        <w:tc>
          <w:tcPr>
            <w:tcW w:w="1521" w:type="dxa"/>
            <w:vAlign w:val="center"/>
          </w:tcPr>
          <w:p w14:paraId="5DA429EB" w14:textId="35E2CB24"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Regularização imediata</w:t>
            </w:r>
          </w:p>
        </w:tc>
      </w:tr>
      <w:tr w:rsidR="00832B3C" w:rsidRPr="00A61110" w14:paraId="56137AC7" w14:textId="77777777" w:rsidTr="00832B3C">
        <w:tc>
          <w:tcPr>
            <w:tcW w:w="426" w:type="dxa"/>
            <w:vAlign w:val="center"/>
          </w:tcPr>
          <w:p w14:paraId="6C938ECA" w14:textId="5A14909E"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2</w:t>
            </w:r>
          </w:p>
        </w:tc>
        <w:tc>
          <w:tcPr>
            <w:tcW w:w="1560" w:type="dxa"/>
            <w:vAlign w:val="center"/>
          </w:tcPr>
          <w:p w14:paraId="73D9BD9C" w14:textId="407D3B6C"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Geração excessiva de poeira</w:t>
            </w:r>
          </w:p>
        </w:tc>
        <w:tc>
          <w:tcPr>
            <w:tcW w:w="2409" w:type="dxa"/>
            <w:vAlign w:val="center"/>
          </w:tcPr>
          <w:p w14:paraId="034C0EF9" w14:textId="5DA97B88"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Impacto no entorno, nos moradores e na circulação local durante escavações e movimentação de solo</w:t>
            </w:r>
          </w:p>
        </w:tc>
        <w:tc>
          <w:tcPr>
            <w:tcW w:w="709" w:type="dxa"/>
            <w:vAlign w:val="center"/>
          </w:tcPr>
          <w:p w14:paraId="17E71F55" w14:textId="57EFF4D6"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Média</w:t>
            </w:r>
          </w:p>
        </w:tc>
        <w:tc>
          <w:tcPr>
            <w:tcW w:w="851" w:type="dxa"/>
            <w:vAlign w:val="center"/>
          </w:tcPr>
          <w:p w14:paraId="18A9AE31" w14:textId="65E3A1A6"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Médio</w:t>
            </w:r>
          </w:p>
        </w:tc>
        <w:tc>
          <w:tcPr>
            <w:tcW w:w="1275" w:type="dxa"/>
            <w:vAlign w:val="center"/>
          </w:tcPr>
          <w:p w14:paraId="408C3BA8" w14:textId="425785CE"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5ED97C2A" w14:textId="67691632"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Umidificação do solo e controle das frentes de trabalho</w:t>
            </w:r>
          </w:p>
        </w:tc>
        <w:tc>
          <w:tcPr>
            <w:tcW w:w="1521" w:type="dxa"/>
            <w:vAlign w:val="center"/>
          </w:tcPr>
          <w:p w14:paraId="587D32D2" w14:textId="2C90D8DE"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Suspensão temporária ou reprogramação da atividade</w:t>
            </w:r>
          </w:p>
        </w:tc>
      </w:tr>
      <w:tr w:rsidR="00832B3C" w:rsidRPr="00A61110" w14:paraId="090C284F" w14:textId="77777777" w:rsidTr="00832B3C">
        <w:tc>
          <w:tcPr>
            <w:tcW w:w="426" w:type="dxa"/>
            <w:vAlign w:val="center"/>
          </w:tcPr>
          <w:p w14:paraId="445A11FD" w14:textId="63CBE187"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3</w:t>
            </w:r>
          </w:p>
        </w:tc>
        <w:tc>
          <w:tcPr>
            <w:tcW w:w="1560" w:type="dxa"/>
            <w:vAlign w:val="center"/>
          </w:tcPr>
          <w:p w14:paraId="4E70EDC0" w14:textId="1F94EEAE"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Ruídos e interferência na vizinhança</w:t>
            </w:r>
          </w:p>
        </w:tc>
        <w:tc>
          <w:tcPr>
            <w:tcW w:w="2409" w:type="dxa"/>
            <w:vAlign w:val="center"/>
          </w:tcPr>
          <w:p w14:paraId="5D5DCC98" w14:textId="0CE10B1F"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Incômodo à população local durante uso de máquinas, compactadores e equipamentos</w:t>
            </w:r>
          </w:p>
        </w:tc>
        <w:tc>
          <w:tcPr>
            <w:tcW w:w="709" w:type="dxa"/>
            <w:vAlign w:val="center"/>
          </w:tcPr>
          <w:p w14:paraId="727EC7FF" w14:textId="7831B808"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Média</w:t>
            </w:r>
          </w:p>
        </w:tc>
        <w:tc>
          <w:tcPr>
            <w:tcW w:w="851" w:type="dxa"/>
            <w:vAlign w:val="center"/>
          </w:tcPr>
          <w:p w14:paraId="04CB673E" w14:textId="63D5C3B6"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Médio</w:t>
            </w:r>
          </w:p>
        </w:tc>
        <w:tc>
          <w:tcPr>
            <w:tcW w:w="1275" w:type="dxa"/>
            <w:vAlign w:val="center"/>
          </w:tcPr>
          <w:p w14:paraId="0A4474B1" w14:textId="2136E3A1"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Compartilhada</w:t>
            </w:r>
          </w:p>
        </w:tc>
        <w:tc>
          <w:tcPr>
            <w:tcW w:w="2127" w:type="dxa"/>
            <w:vAlign w:val="center"/>
          </w:tcPr>
          <w:p w14:paraId="7F3D627E" w14:textId="6A9E5D55"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Controle de horários e comunicação prévia</w:t>
            </w:r>
          </w:p>
        </w:tc>
        <w:tc>
          <w:tcPr>
            <w:tcW w:w="1521" w:type="dxa"/>
            <w:vAlign w:val="center"/>
          </w:tcPr>
          <w:p w14:paraId="70F884D1" w14:textId="48105577"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Reprogramação das atividades</w:t>
            </w:r>
          </w:p>
        </w:tc>
      </w:tr>
      <w:tr w:rsidR="00832B3C" w:rsidRPr="00A61110" w14:paraId="30902B60" w14:textId="77777777" w:rsidTr="00832B3C">
        <w:trPr>
          <w:trHeight w:val="58"/>
        </w:trPr>
        <w:tc>
          <w:tcPr>
            <w:tcW w:w="426" w:type="dxa"/>
            <w:vAlign w:val="center"/>
          </w:tcPr>
          <w:p w14:paraId="32732535" w14:textId="142718AB"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4</w:t>
            </w:r>
          </w:p>
        </w:tc>
        <w:tc>
          <w:tcPr>
            <w:tcW w:w="1560" w:type="dxa"/>
            <w:vAlign w:val="center"/>
          </w:tcPr>
          <w:p w14:paraId="0667392D" w14:textId="4069D724"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Erosão ou carreamento de materiais</w:t>
            </w:r>
          </w:p>
        </w:tc>
        <w:tc>
          <w:tcPr>
            <w:tcW w:w="2409" w:type="dxa"/>
            <w:vAlign w:val="center"/>
          </w:tcPr>
          <w:p w14:paraId="41091B6F" w14:textId="464F38BE"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Exposição do solo, falhas provisórias de drenagem e transporte de sedimentos</w:t>
            </w:r>
          </w:p>
        </w:tc>
        <w:tc>
          <w:tcPr>
            <w:tcW w:w="709" w:type="dxa"/>
            <w:vAlign w:val="center"/>
          </w:tcPr>
          <w:p w14:paraId="156E51FC" w14:textId="11836D82"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Média</w:t>
            </w:r>
          </w:p>
        </w:tc>
        <w:tc>
          <w:tcPr>
            <w:tcW w:w="851" w:type="dxa"/>
            <w:vAlign w:val="center"/>
          </w:tcPr>
          <w:p w14:paraId="444BF029" w14:textId="56957EBA"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Alto</w:t>
            </w:r>
          </w:p>
        </w:tc>
        <w:tc>
          <w:tcPr>
            <w:tcW w:w="1275" w:type="dxa"/>
            <w:vAlign w:val="center"/>
          </w:tcPr>
          <w:p w14:paraId="304936E7" w14:textId="60D7A466"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03CC05E0" w14:textId="3EB9D41E"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Proteção superficial, drenagem provisória e reaproveitamento adequado de materiais</w:t>
            </w:r>
          </w:p>
        </w:tc>
        <w:tc>
          <w:tcPr>
            <w:tcW w:w="1521" w:type="dxa"/>
            <w:vAlign w:val="center"/>
          </w:tcPr>
          <w:p w14:paraId="450A2091" w14:textId="1FE91C3B"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Correção e recomposição imediata</w:t>
            </w:r>
          </w:p>
        </w:tc>
      </w:tr>
      <w:tr w:rsidR="00832B3C" w:rsidRPr="00A61110" w14:paraId="63E9512B" w14:textId="77777777" w:rsidTr="00832B3C">
        <w:tc>
          <w:tcPr>
            <w:tcW w:w="426" w:type="dxa"/>
            <w:vAlign w:val="center"/>
          </w:tcPr>
          <w:p w14:paraId="25DCCD68" w14:textId="3539A061"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5</w:t>
            </w:r>
          </w:p>
        </w:tc>
        <w:tc>
          <w:tcPr>
            <w:tcW w:w="1560" w:type="dxa"/>
            <w:vAlign w:val="center"/>
          </w:tcPr>
          <w:p w14:paraId="22C0C5DB" w14:textId="394A30FE"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Armazenamento inadequado de materiais</w:t>
            </w:r>
          </w:p>
        </w:tc>
        <w:tc>
          <w:tcPr>
            <w:tcW w:w="2409" w:type="dxa"/>
            <w:vAlign w:val="center"/>
          </w:tcPr>
          <w:p w14:paraId="58732971" w14:textId="19277CCD"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Risco de obstrução de vias, danos a materiais e acidentes envolvendo blocos, meios-fios, tubos e agregados</w:t>
            </w:r>
          </w:p>
        </w:tc>
        <w:tc>
          <w:tcPr>
            <w:tcW w:w="709" w:type="dxa"/>
            <w:vAlign w:val="center"/>
          </w:tcPr>
          <w:p w14:paraId="5509A772" w14:textId="56C172CF"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Média</w:t>
            </w:r>
          </w:p>
        </w:tc>
        <w:tc>
          <w:tcPr>
            <w:tcW w:w="851" w:type="dxa"/>
            <w:vAlign w:val="center"/>
          </w:tcPr>
          <w:p w14:paraId="6E69A09F" w14:textId="7D4F71D5"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Médio</w:t>
            </w:r>
          </w:p>
        </w:tc>
        <w:tc>
          <w:tcPr>
            <w:tcW w:w="1275" w:type="dxa"/>
            <w:vAlign w:val="center"/>
          </w:tcPr>
          <w:p w14:paraId="6543D64A" w14:textId="7C62D20C"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7680CFB0" w14:textId="6E03E8B6"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Organização do canteiro e armazenamento em local adequado</w:t>
            </w:r>
          </w:p>
        </w:tc>
        <w:tc>
          <w:tcPr>
            <w:tcW w:w="1521" w:type="dxa"/>
            <w:vAlign w:val="center"/>
          </w:tcPr>
          <w:p w14:paraId="46AC87FA" w14:textId="4EB12EF3"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Reorganização imediata</w:t>
            </w:r>
          </w:p>
        </w:tc>
      </w:tr>
    </w:tbl>
    <w:p w14:paraId="08DBC62D" w14:textId="77777777" w:rsidR="002E7759" w:rsidRPr="00A61110" w:rsidRDefault="002E7759" w:rsidP="002E7759">
      <w:pPr>
        <w:spacing w:after="0" w:line="360" w:lineRule="auto"/>
        <w:jc w:val="both"/>
        <w:rPr>
          <w:rFonts w:ascii="Times New Roman" w:hAnsi="Times New Roman" w:cs="Times New Roman"/>
          <w:b/>
          <w:bCs/>
          <w:sz w:val="20"/>
          <w:szCs w:val="20"/>
        </w:rPr>
      </w:pPr>
    </w:p>
    <w:p w14:paraId="724E60DF"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1.2.3. Riscos legais e regulatórios:</w:t>
      </w:r>
    </w:p>
    <w:tbl>
      <w:tblPr>
        <w:tblStyle w:val="Tabelacomgrade"/>
        <w:tblW w:w="10878" w:type="dxa"/>
        <w:tblInd w:w="-998" w:type="dxa"/>
        <w:tblLayout w:type="fixed"/>
        <w:tblLook w:val="04A0" w:firstRow="1" w:lastRow="0" w:firstColumn="1" w:lastColumn="0" w:noHBand="0" w:noVBand="1"/>
      </w:tblPr>
      <w:tblGrid>
        <w:gridCol w:w="426"/>
        <w:gridCol w:w="1560"/>
        <w:gridCol w:w="2409"/>
        <w:gridCol w:w="709"/>
        <w:gridCol w:w="851"/>
        <w:gridCol w:w="1275"/>
        <w:gridCol w:w="2127"/>
        <w:gridCol w:w="1521"/>
      </w:tblGrid>
      <w:tr w:rsidR="00832B3C" w:rsidRPr="00A61110" w14:paraId="749E955B" w14:textId="77777777" w:rsidTr="00832B3C">
        <w:tc>
          <w:tcPr>
            <w:tcW w:w="426" w:type="dxa"/>
            <w:vAlign w:val="center"/>
          </w:tcPr>
          <w:p w14:paraId="43E73184" w14:textId="19987208"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Nº</w:t>
            </w:r>
          </w:p>
        </w:tc>
        <w:tc>
          <w:tcPr>
            <w:tcW w:w="1560" w:type="dxa"/>
            <w:vAlign w:val="center"/>
          </w:tcPr>
          <w:p w14:paraId="17635B04" w14:textId="348615FD"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Risco</w:t>
            </w:r>
          </w:p>
        </w:tc>
        <w:tc>
          <w:tcPr>
            <w:tcW w:w="2409" w:type="dxa"/>
            <w:vAlign w:val="center"/>
          </w:tcPr>
          <w:p w14:paraId="59A7558F" w14:textId="676E784C"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Descrição</w:t>
            </w:r>
          </w:p>
        </w:tc>
        <w:tc>
          <w:tcPr>
            <w:tcW w:w="709" w:type="dxa"/>
            <w:vAlign w:val="center"/>
          </w:tcPr>
          <w:p w14:paraId="038A3621" w14:textId="59D27CFD" w:rsidR="00832B3C" w:rsidRPr="00832B3C" w:rsidRDefault="00832B3C" w:rsidP="00832B3C">
            <w:pPr>
              <w:spacing w:line="360" w:lineRule="auto"/>
              <w:ind w:left="-107" w:right="-108"/>
              <w:jc w:val="center"/>
              <w:rPr>
                <w:rFonts w:ascii="Times New Roman" w:hAnsi="Times New Roman" w:cs="Times New Roman"/>
                <w:b/>
                <w:bCs/>
                <w:sz w:val="18"/>
                <w:szCs w:val="18"/>
              </w:rPr>
            </w:pPr>
            <w:proofErr w:type="spellStart"/>
            <w:r w:rsidRPr="00832B3C">
              <w:rPr>
                <w:rFonts w:ascii="Times New Roman" w:hAnsi="Times New Roman" w:cs="Times New Roman"/>
                <w:b/>
                <w:bCs/>
                <w:sz w:val="18"/>
                <w:szCs w:val="18"/>
              </w:rPr>
              <w:t>Prob</w:t>
            </w:r>
            <w:proofErr w:type="spellEnd"/>
            <w:r w:rsidRPr="00832B3C">
              <w:rPr>
                <w:rFonts w:ascii="Times New Roman" w:hAnsi="Times New Roman" w:cs="Times New Roman"/>
                <w:b/>
                <w:bCs/>
                <w:sz w:val="18"/>
                <w:szCs w:val="18"/>
              </w:rPr>
              <w:t>.</w:t>
            </w:r>
          </w:p>
        </w:tc>
        <w:tc>
          <w:tcPr>
            <w:tcW w:w="851" w:type="dxa"/>
            <w:vAlign w:val="center"/>
          </w:tcPr>
          <w:p w14:paraId="684B4808" w14:textId="78278A37" w:rsidR="00832B3C" w:rsidRPr="00832B3C" w:rsidRDefault="00832B3C" w:rsidP="00832B3C">
            <w:pPr>
              <w:spacing w:line="360" w:lineRule="auto"/>
              <w:ind w:left="-107" w:right="-108"/>
              <w:jc w:val="center"/>
              <w:rPr>
                <w:rFonts w:ascii="Times New Roman" w:hAnsi="Times New Roman" w:cs="Times New Roman"/>
                <w:b/>
                <w:bCs/>
                <w:sz w:val="18"/>
                <w:szCs w:val="18"/>
              </w:rPr>
            </w:pPr>
            <w:r w:rsidRPr="00832B3C">
              <w:rPr>
                <w:rFonts w:ascii="Times New Roman" w:hAnsi="Times New Roman" w:cs="Times New Roman"/>
                <w:b/>
                <w:bCs/>
                <w:sz w:val="18"/>
                <w:szCs w:val="18"/>
              </w:rPr>
              <w:t>Impacto</w:t>
            </w:r>
          </w:p>
        </w:tc>
        <w:tc>
          <w:tcPr>
            <w:tcW w:w="1275" w:type="dxa"/>
            <w:vAlign w:val="center"/>
          </w:tcPr>
          <w:p w14:paraId="2B175604" w14:textId="18512CCA"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Responsável</w:t>
            </w:r>
          </w:p>
        </w:tc>
        <w:tc>
          <w:tcPr>
            <w:tcW w:w="2127" w:type="dxa"/>
            <w:vAlign w:val="center"/>
          </w:tcPr>
          <w:p w14:paraId="394B9BA3" w14:textId="32F4178E"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Medidas de Mitigação</w:t>
            </w:r>
          </w:p>
        </w:tc>
        <w:tc>
          <w:tcPr>
            <w:tcW w:w="1521" w:type="dxa"/>
            <w:vAlign w:val="center"/>
          </w:tcPr>
          <w:p w14:paraId="249EA14C" w14:textId="62CBA427"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Plano de Contingência</w:t>
            </w:r>
          </w:p>
        </w:tc>
      </w:tr>
      <w:tr w:rsidR="00832B3C" w:rsidRPr="00A61110" w14:paraId="1A3630B4" w14:textId="77777777" w:rsidTr="00832B3C">
        <w:tc>
          <w:tcPr>
            <w:tcW w:w="426" w:type="dxa"/>
            <w:vAlign w:val="center"/>
          </w:tcPr>
          <w:p w14:paraId="02D4BF78" w14:textId="00A56516"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1</w:t>
            </w:r>
          </w:p>
        </w:tc>
        <w:tc>
          <w:tcPr>
            <w:tcW w:w="1560" w:type="dxa"/>
            <w:vAlign w:val="center"/>
          </w:tcPr>
          <w:p w14:paraId="36C2185D" w14:textId="4A1E6748"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Descumprimento de normas técnicas</w:t>
            </w:r>
          </w:p>
        </w:tc>
        <w:tc>
          <w:tcPr>
            <w:tcW w:w="2409" w:type="dxa"/>
            <w:vAlign w:val="center"/>
          </w:tcPr>
          <w:p w14:paraId="4F2D8359" w14:textId="720A7CA0"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 xml:space="preserve">Inobservância de normas da ABNT, DNIT, DAER, CONTRAN, acessibilidade e </w:t>
            </w:r>
            <w:proofErr w:type="spellStart"/>
            <w:r w:rsidRPr="00832B3C">
              <w:rPr>
                <w:rFonts w:ascii="Times New Roman" w:hAnsi="Times New Roman" w:cs="Times New Roman"/>
                <w:sz w:val="18"/>
                <w:szCs w:val="18"/>
              </w:rPr>
              <w:t>NRs</w:t>
            </w:r>
            <w:proofErr w:type="spellEnd"/>
          </w:p>
        </w:tc>
        <w:tc>
          <w:tcPr>
            <w:tcW w:w="709" w:type="dxa"/>
            <w:vAlign w:val="center"/>
          </w:tcPr>
          <w:p w14:paraId="2014DCD4" w14:textId="3E12D15E"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Baixa</w:t>
            </w:r>
          </w:p>
        </w:tc>
        <w:tc>
          <w:tcPr>
            <w:tcW w:w="851" w:type="dxa"/>
            <w:vAlign w:val="center"/>
          </w:tcPr>
          <w:p w14:paraId="5B686F48" w14:textId="026654A6"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Alto</w:t>
            </w:r>
          </w:p>
        </w:tc>
        <w:tc>
          <w:tcPr>
            <w:tcW w:w="1275" w:type="dxa"/>
            <w:vAlign w:val="center"/>
          </w:tcPr>
          <w:p w14:paraId="5081F4D2" w14:textId="25136FF0"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249A0A10" w14:textId="7D8CBA2C"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Fiscalização contínua e conferência técnica</w:t>
            </w:r>
          </w:p>
        </w:tc>
        <w:tc>
          <w:tcPr>
            <w:tcW w:w="1521" w:type="dxa"/>
            <w:vAlign w:val="center"/>
          </w:tcPr>
          <w:p w14:paraId="4480BF42" w14:textId="19A07908"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Correção imediata</w:t>
            </w:r>
          </w:p>
        </w:tc>
      </w:tr>
      <w:tr w:rsidR="00832B3C" w:rsidRPr="00A61110" w14:paraId="5EC8C783" w14:textId="77777777" w:rsidTr="00832B3C">
        <w:tc>
          <w:tcPr>
            <w:tcW w:w="426" w:type="dxa"/>
            <w:vAlign w:val="center"/>
          </w:tcPr>
          <w:p w14:paraId="2BF7282F" w14:textId="5F0A6B7D"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2</w:t>
            </w:r>
          </w:p>
        </w:tc>
        <w:tc>
          <w:tcPr>
            <w:tcW w:w="1560" w:type="dxa"/>
            <w:vAlign w:val="center"/>
          </w:tcPr>
          <w:p w14:paraId="43CD4ECB" w14:textId="4AEEAC04"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Ausência de documentação técnica</w:t>
            </w:r>
          </w:p>
        </w:tc>
        <w:tc>
          <w:tcPr>
            <w:tcW w:w="2409" w:type="dxa"/>
            <w:vAlign w:val="center"/>
          </w:tcPr>
          <w:p w14:paraId="365492AB" w14:textId="4DC9B245"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Falta de ART/RRT, registros obrigatórios, diário de obra ou documentos de controle</w:t>
            </w:r>
          </w:p>
        </w:tc>
        <w:tc>
          <w:tcPr>
            <w:tcW w:w="709" w:type="dxa"/>
            <w:vAlign w:val="center"/>
          </w:tcPr>
          <w:p w14:paraId="658B8A8D" w14:textId="2D74689A"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Baixa</w:t>
            </w:r>
          </w:p>
        </w:tc>
        <w:tc>
          <w:tcPr>
            <w:tcW w:w="851" w:type="dxa"/>
            <w:vAlign w:val="center"/>
          </w:tcPr>
          <w:p w14:paraId="354F3AA9" w14:textId="02D9311F"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Alto</w:t>
            </w:r>
          </w:p>
        </w:tc>
        <w:tc>
          <w:tcPr>
            <w:tcW w:w="1275" w:type="dxa"/>
            <w:vAlign w:val="center"/>
          </w:tcPr>
          <w:p w14:paraId="3B8A2D67" w14:textId="28C1AF42"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3EFC9140" w14:textId="5F1BD21E"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Conferência prévia antes da Ordem de Início</w:t>
            </w:r>
          </w:p>
        </w:tc>
        <w:tc>
          <w:tcPr>
            <w:tcW w:w="1521" w:type="dxa"/>
            <w:vAlign w:val="center"/>
          </w:tcPr>
          <w:p w14:paraId="7A5D0D01" w14:textId="6A5C27D4"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Paralisação até regularização</w:t>
            </w:r>
          </w:p>
        </w:tc>
      </w:tr>
      <w:tr w:rsidR="00832B3C" w:rsidRPr="00A61110" w14:paraId="060AFD78" w14:textId="77777777" w:rsidTr="00832B3C">
        <w:tc>
          <w:tcPr>
            <w:tcW w:w="426" w:type="dxa"/>
            <w:vAlign w:val="center"/>
          </w:tcPr>
          <w:p w14:paraId="579AD903" w14:textId="3FB19493"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3</w:t>
            </w:r>
          </w:p>
        </w:tc>
        <w:tc>
          <w:tcPr>
            <w:tcW w:w="1560" w:type="dxa"/>
            <w:vAlign w:val="center"/>
          </w:tcPr>
          <w:p w14:paraId="6A841B8F" w14:textId="2AEAA371"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Irregularidades trabalhistas</w:t>
            </w:r>
          </w:p>
        </w:tc>
        <w:tc>
          <w:tcPr>
            <w:tcW w:w="2409" w:type="dxa"/>
            <w:vAlign w:val="center"/>
          </w:tcPr>
          <w:p w14:paraId="69222420" w14:textId="672E02EF"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Descumprimento de normas legais, previdenciárias ou de segurança do trabalho</w:t>
            </w:r>
          </w:p>
        </w:tc>
        <w:tc>
          <w:tcPr>
            <w:tcW w:w="709" w:type="dxa"/>
            <w:vAlign w:val="center"/>
          </w:tcPr>
          <w:p w14:paraId="5DD0BE08" w14:textId="3016837F"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Baixa</w:t>
            </w:r>
          </w:p>
        </w:tc>
        <w:tc>
          <w:tcPr>
            <w:tcW w:w="851" w:type="dxa"/>
            <w:vAlign w:val="center"/>
          </w:tcPr>
          <w:p w14:paraId="2C173404" w14:textId="4D5A6E75"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Médio</w:t>
            </w:r>
          </w:p>
        </w:tc>
        <w:tc>
          <w:tcPr>
            <w:tcW w:w="1275" w:type="dxa"/>
            <w:vAlign w:val="center"/>
          </w:tcPr>
          <w:p w14:paraId="113341A4" w14:textId="0C4A1296"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7669EF4A" w14:textId="763E528D"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Controle documental e exigência de regularidade</w:t>
            </w:r>
          </w:p>
        </w:tc>
        <w:tc>
          <w:tcPr>
            <w:tcW w:w="1521" w:type="dxa"/>
            <w:vAlign w:val="center"/>
          </w:tcPr>
          <w:p w14:paraId="590DEB5C" w14:textId="0E5D4C4C"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Retenção de pagamentos ou providências legais</w:t>
            </w:r>
          </w:p>
        </w:tc>
      </w:tr>
      <w:tr w:rsidR="00832B3C" w:rsidRPr="00A61110" w14:paraId="41A5ACE6" w14:textId="77777777" w:rsidTr="00832B3C">
        <w:tc>
          <w:tcPr>
            <w:tcW w:w="426" w:type="dxa"/>
            <w:vAlign w:val="center"/>
          </w:tcPr>
          <w:p w14:paraId="6EAA9E49" w14:textId="633AFD4A"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4</w:t>
            </w:r>
          </w:p>
        </w:tc>
        <w:tc>
          <w:tcPr>
            <w:tcW w:w="1560" w:type="dxa"/>
            <w:vAlign w:val="center"/>
          </w:tcPr>
          <w:p w14:paraId="2287517B" w14:textId="3E8DC697"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Execução em desacordo com o contrato</w:t>
            </w:r>
          </w:p>
        </w:tc>
        <w:tc>
          <w:tcPr>
            <w:tcW w:w="2409" w:type="dxa"/>
            <w:vAlign w:val="center"/>
          </w:tcPr>
          <w:p w14:paraId="3C4D9202" w14:textId="3A32CE0A"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Desvio do objeto contratado, alteração de método ou uso de material não aprovado</w:t>
            </w:r>
          </w:p>
        </w:tc>
        <w:tc>
          <w:tcPr>
            <w:tcW w:w="709" w:type="dxa"/>
            <w:vAlign w:val="center"/>
          </w:tcPr>
          <w:p w14:paraId="06E724A8" w14:textId="765428D3"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Baixa</w:t>
            </w:r>
          </w:p>
        </w:tc>
        <w:tc>
          <w:tcPr>
            <w:tcW w:w="851" w:type="dxa"/>
            <w:vAlign w:val="center"/>
          </w:tcPr>
          <w:p w14:paraId="6C75F0E8" w14:textId="7A615D83"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Alto</w:t>
            </w:r>
          </w:p>
        </w:tc>
        <w:tc>
          <w:tcPr>
            <w:tcW w:w="1275" w:type="dxa"/>
            <w:vAlign w:val="center"/>
          </w:tcPr>
          <w:p w14:paraId="03A7F71C" w14:textId="2A2352C4"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5DBFA657" w14:textId="137FC16C"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Controle técnico permanente e autorização prévia para ajustes</w:t>
            </w:r>
          </w:p>
        </w:tc>
        <w:tc>
          <w:tcPr>
            <w:tcW w:w="1521" w:type="dxa"/>
            <w:vAlign w:val="center"/>
          </w:tcPr>
          <w:p w14:paraId="1C5D4826" w14:textId="613C756A"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Sanções e reexecução</w:t>
            </w:r>
          </w:p>
        </w:tc>
      </w:tr>
    </w:tbl>
    <w:p w14:paraId="0BE6DE42" w14:textId="77777777" w:rsidR="002E7759" w:rsidRPr="00A61110" w:rsidRDefault="002E7759" w:rsidP="002E7759">
      <w:pPr>
        <w:spacing w:after="0" w:line="360" w:lineRule="auto"/>
        <w:jc w:val="both"/>
        <w:rPr>
          <w:rFonts w:ascii="Times New Roman" w:hAnsi="Times New Roman" w:cs="Times New Roman"/>
          <w:b/>
          <w:bCs/>
          <w:sz w:val="20"/>
          <w:szCs w:val="20"/>
        </w:rPr>
      </w:pPr>
    </w:p>
    <w:p w14:paraId="32E93044"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1.2.4. Riscos financeiros e contratuais:</w:t>
      </w:r>
    </w:p>
    <w:tbl>
      <w:tblPr>
        <w:tblStyle w:val="Tabelacomgrade"/>
        <w:tblW w:w="10878" w:type="dxa"/>
        <w:tblInd w:w="-998" w:type="dxa"/>
        <w:tblLayout w:type="fixed"/>
        <w:tblLook w:val="04A0" w:firstRow="1" w:lastRow="0" w:firstColumn="1" w:lastColumn="0" w:noHBand="0" w:noVBand="1"/>
      </w:tblPr>
      <w:tblGrid>
        <w:gridCol w:w="426"/>
        <w:gridCol w:w="1560"/>
        <w:gridCol w:w="2409"/>
        <w:gridCol w:w="709"/>
        <w:gridCol w:w="851"/>
        <w:gridCol w:w="1275"/>
        <w:gridCol w:w="2127"/>
        <w:gridCol w:w="1521"/>
      </w:tblGrid>
      <w:tr w:rsidR="00832B3C" w:rsidRPr="00A61110" w14:paraId="6E5DA2A4" w14:textId="77777777" w:rsidTr="00832B3C">
        <w:tc>
          <w:tcPr>
            <w:tcW w:w="426" w:type="dxa"/>
            <w:vAlign w:val="center"/>
          </w:tcPr>
          <w:p w14:paraId="36ED7393" w14:textId="18B5B4F8"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Nº</w:t>
            </w:r>
          </w:p>
        </w:tc>
        <w:tc>
          <w:tcPr>
            <w:tcW w:w="1560" w:type="dxa"/>
            <w:vAlign w:val="center"/>
          </w:tcPr>
          <w:p w14:paraId="4E77A432" w14:textId="3EC9CB1D"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Risco</w:t>
            </w:r>
          </w:p>
        </w:tc>
        <w:tc>
          <w:tcPr>
            <w:tcW w:w="2409" w:type="dxa"/>
            <w:vAlign w:val="center"/>
          </w:tcPr>
          <w:p w14:paraId="5EE2EB2D" w14:textId="37B73CD6"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Descrição</w:t>
            </w:r>
          </w:p>
        </w:tc>
        <w:tc>
          <w:tcPr>
            <w:tcW w:w="709" w:type="dxa"/>
            <w:vAlign w:val="center"/>
          </w:tcPr>
          <w:p w14:paraId="42651575" w14:textId="6D83D7B0" w:rsidR="00832B3C" w:rsidRPr="00832B3C" w:rsidRDefault="00832B3C" w:rsidP="00832B3C">
            <w:pPr>
              <w:spacing w:line="360" w:lineRule="auto"/>
              <w:jc w:val="center"/>
              <w:rPr>
                <w:rFonts w:ascii="Times New Roman" w:hAnsi="Times New Roman" w:cs="Times New Roman"/>
                <w:b/>
                <w:bCs/>
                <w:sz w:val="18"/>
                <w:szCs w:val="18"/>
              </w:rPr>
            </w:pPr>
            <w:proofErr w:type="spellStart"/>
            <w:r w:rsidRPr="00832B3C">
              <w:rPr>
                <w:rFonts w:ascii="Times New Roman" w:hAnsi="Times New Roman" w:cs="Times New Roman"/>
                <w:b/>
                <w:bCs/>
                <w:sz w:val="18"/>
                <w:szCs w:val="18"/>
              </w:rPr>
              <w:t>Prob</w:t>
            </w:r>
            <w:proofErr w:type="spellEnd"/>
            <w:r w:rsidRPr="00832B3C">
              <w:rPr>
                <w:rFonts w:ascii="Times New Roman" w:hAnsi="Times New Roman" w:cs="Times New Roman"/>
                <w:b/>
                <w:bCs/>
                <w:sz w:val="18"/>
                <w:szCs w:val="18"/>
              </w:rPr>
              <w:t>.</w:t>
            </w:r>
          </w:p>
        </w:tc>
        <w:tc>
          <w:tcPr>
            <w:tcW w:w="851" w:type="dxa"/>
            <w:vAlign w:val="center"/>
          </w:tcPr>
          <w:p w14:paraId="3AF509DD" w14:textId="0BE1C5A0" w:rsidR="00832B3C" w:rsidRPr="00832B3C" w:rsidRDefault="00832B3C" w:rsidP="00832B3C">
            <w:pPr>
              <w:spacing w:line="360" w:lineRule="auto"/>
              <w:ind w:left="-107" w:right="-107"/>
              <w:jc w:val="center"/>
              <w:rPr>
                <w:rFonts w:ascii="Times New Roman" w:hAnsi="Times New Roman" w:cs="Times New Roman"/>
                <w:b/>
                <w:bCs/>
                <w:sz w:val="18"/>
                <w:szCs w:val="18"/>
              </w:rPr>
            </w:pPr>
            <w:r w:rsidRPr="00832B3C">
              <w:rPr>
                <w:rFonts w:ascii="Times New Roman" w:hAnsi="Times New Roman" w:cs="Times New Roman"/>
                <w:b/>
                <w:bCs/>
                <w:sz w:val="18"/>
                <w:szCs w:val="18"/>
              </w:rPr>
              <w:t>Impacto</w:t>
            </w:r>
          </w:p>
        </w:tc>
        <w:tc>
          <w:tcPr>
            <w:tcW w:w="1275" w:type="dxa"/>
            <w:vAlign w:val="center"/>
          </w:tcPr>
          <w:p w14:paraId="65882D63" w14:textId="662CF360"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Responsável</w:t>
            </w:r>
          </w:p>
        </w:tc>
        <w:tc>
          <w:tcPr>
            <w:tcW w:w="2127" w:type="dxa"/>
            <w:vAlign w:val="center"/>
          </w:tcPr>
          <w:p w14:paraId="34422175" w14:textId="372AB82F"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Medidas de Mitigação</w:t>
            </w:r>
          </w:p>
        </w:tc>
        <w:tc>
          <w:tcPr>
            <w:tcW w:w="1521" w:type="dxa"/>
            <w:vAlign w:val="center"/>
          </w:tcPr>
          <w:p w14:paraId="680A4DF5" w14:textId="0736F399"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b/>
                <w:bCs/>
                <w:sz w:val="18"/>
                <w:szCs w:val="18"/>
              </w:rPr>
              <w:t>Plano de Contingência</w:t>
            </w:r>
          </w:p>
        </w:tc>
      </w:tr>
      <w:tr w:rsidR="00832B3C" w:rsidRPr="00A61110" w14:paraId="2A2BF16E" w14:textId="77777777" w:rsidTr="00832B3C">
        <w:tc>
          <w:tcPr>
            <w:tcW w:w="426" w:type="dxa"/>
            <w:vAlign w:val="center"/>
          </w:tcPr>
          <w:p w14:paraId="19356A56" w14:textId="49D9D477"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1</w:t>
            </w:r>
          </w:p>
        </w:tc>
        <w:tc>
          <w:tcPr>
            <w:tcW w:w="1560" w:type="dxa"/>
            <w:vAlign w:val="center"/>
          </w:tcPr>
          <w:p w14:paraId="313D295A" w14:textId="7D6CC330"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Interferência no tráfego local</w:t>
            </w:r>
          </w:p>
        </w:tc>
        <w:tc>
          <w:tcPr>
            <w:tcW w:w="2409" w:type="dxa"/>
            <w:vAlign w:val="center"/>
          </w:tcPr>
          <w:p w14:paraId="12683FCF" w14:textId="36003799"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Impacto na circulação de veículos, pedestres, moradores e serviços públicos</w:t>
            </w:r>
          </w:p>
        </w:tc>
        <w:tc>
          <w:tcPr>
            <w:tcW w:w="709" w:type="dxa"/>
            <w:vAlign w:val="center"/>
          </w:tcPr>
          <w:p w14:paraId="4464A112" w14:textId="5F2192C2"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Média</w:t>
            </w:r>
          </w:p>
        </w:tc>
        <w:tc>
          <w:tcPr>
            <w:tcW w:w="851" w:type="dxa"/>
            <w:vAlign w:val="center"/>
          </w:tcPr>
          <w:p w14:paraId="63840435" w14:textId="1BC6247D"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Alto</w:t>
            </w:r>
          </w:p>
        </w:tc>
        <w:tc>
          <w:tcPr>
            <w:tcW w:w="1275" w:type="dxa"/>
            <w:vAlign w:val="center"/>
          </w:tcPr>
          <w:p w14:paraId="5AA248D5" w14:textId="1236BA19" w:rsidR="00832B3C" w:rsidRPr="00832B3C" w:rsidRDefault="00832B3C" w:rsidP="00832B3C">
            <w:pPr>
              <w:spacing w:line="360" w:lineRule="auto"/>
              <w:ind w:left="-109" w:right="-108"/>
              <w:jc w:val="center"/>
              <w:rPr>
                <w:rFonts w:ascii="Times New Roman" w:hAnsi="Times New Roman" w:cs="Times New Roman"/>
                <w:sz w:val="18"/>
                <w:szCs w:val="18"/>
              </w:rPr>
            </w:pPr>
            <w:r w:rsidRPr="00832B3C">
              <w:rPr>
                <w:rFonts w:ascii="Times New Roman" w:hAnsi="Times New Roman" w:cs="Times New Roman"/>
                <w:sz w:val="18"/>
                <w:szCs w:val="18"/>
              </w:rPr>
              <w:t>Compartilhada</w:t>
            </w:r>
          </w:p>
        </w:tc>
        <w:tc>
          <w:tcPr>
            <w:tcW w:w="2127" w:type="dxa"/>
            <w:vAlign w:val="center"/>
          </w:tcPr>
          <w:p w14:paraId="1ED0FC95" w14:textId="5CD0026B"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Sinalização provisória, planejamento por etapas e comunicação</w:t>
            </w:r>
          </w:p>
        </w:tc>
        <w:tc>
          <w:tcPr>
            <w:tcW w:w="1521" w:type="dxa"/>
            <w:vAlign w:val="center"/>
          </w:tcPr>
          <w:p w14:paraId="52769481" w14:textId="3105B55D"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Desvios e controle de tráfego</w:t>
            </w:r>
          </w:p>
        </w:tc>
      </w:tr>
      <w:tr w:rsidR="00832B3C" w:rsidRPr="00A61110" w14:paraId="04D2227D" w14:textId="77777777" w:rsidTr="00832B3C">
        <w:tc>
          <w:tcPr>
            <w:tcW w:w="426" w:type="dxa"/>
            <w:vAlign w:val="center"/>
          </w:tcPr>
          <w:p w14:paraId="72D9D742" w14:textId="2981F3F3"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2</w:t>
            </w:r>
          </w:p>
        </w:tc>
        <w:tc>
          <w:tcPr>
            <w:tcW w:w="1560" w:type="dxa"/>
            <w:vAlign w:val="center"/>
          </w:tcPr>
          <w:p w14:paraId="2A23F810" w14:textId="1EA384E9"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Furto ou vandalismo</w:t>
            </w:r>
          </w:p>
        </w:tc>
        <w:tc>
          <w:tcPr>
            <w:tcW w:w="2409" w:type="dxa"/>
            <w:vAlign w:val="center"/>
          </w:tcPr>
          <w:p w14:paraId="40F045AB" w14:textId="53C49199"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Perda de materiais, equipamentos, blocos, meios-fios ou sinalização provisória</w:t>
            </w:r>
          </w:p>
        </w:tc>
        <w:tc>
          <w:tcPr>
            <w:tcW w:w="709" w:type="dxa"/>
            <w:vAlign w:val="center"/>
          </w:tcPr>
          <w:p w14:paraId="5CAD9260" w14:textId="5DE60F6B"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Baixa</w:t>
            </w:r>
          </w:p>
        </w:tc>
        <w:tc>
          <w:tcPr>
            <w:tcW w:w="851" w:type="dxa"/>
            <w:vAlign w:val="center"/>
          </w:tcPr>
          <w:p w14:paraId="09D5643D" w14:textId="067EA3E6"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Médio</w:t>
            </w:r>
          </w:p>
        </w:tc>
        <w:tc>
          <w:tcPr>
            <w:tcW w:w="1275" w:type="dxa"/>
            <w:vAlign w:val="center"/>
          </w:tcPr>
          <w:p w14:paraId="5A733932" w14:textId="30A53B16" w:rsidR="00832B3C" w:rsidRPr="00832B3C" w:rsidRDefault="00832B3C" w:rsidP="00832B3C">
            <w:pPr>
              <w:spacing w:line="360" w:lineRule="auto"/>
              <w:ind w:left="-109" w:right="-108"/>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1166267B" w14:textId="0953DB3C"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Controle de acesso, guarda e organização do canteiro</w:t>
            </w:r>
          </w:p>
        </w:tc>
        <w:tc>
          <w:tcPr>
            <w:tcW w:w="1521" w:type="dxa"/>
            <w:vAlign w:val="center"/>
          </w:tcPr>
          <w:p w14:paraId="16DF0511" w14:textId="4BA7A4E2"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Reposição imediata</w:t>
            </w:r>
          </w:p>
        </w:tc>
      </w:tr>
      <w:tr w:rsidR="00832B3C" w:rsidRPr="00A61110" w14:paraId="7C5E772E" w14:textId="77777777" w:rsidTr="00832B3C">
        <w:tc>
          <w:tcPr>
            <w:tcW w:w="426" w:type="dxa"/>
            <w:vAlign w:val="center"/>
          </w:tcPr>
          <w:p w14:paraId="0C81C990" w14:textId="73ECCCDB"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3</w:t>
            </w:r>
          </w:p>
        </w:tc>
        <w:tc>
          <w:tcPr>
            <w:tcW w:w="1560" w:type="dxa"/>
            <w:vAlign w:val="center"/>
          </w:tcPr>
          <w:p w14:paraId="6A1E5CF8" w14:textId="4F2FD3B2"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Logística inadequada de materiais</w:t>
            </w:r>
          </w:p>
        </w:tc>
        <w:tc>
          <w:tcPr>
            <w:tcW w:w="2409" w:type="dxa"/>
            <w:vAlign w:val="center"/>
          </w:tcPr>
          <w:p w14:paraId="29E1971F" w14:textId="3F7416DF"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Problemas no transporte, descarga, armazenamento ou distribuição de blocos, tubos, meios-fios e agregados</w:t>
            </w:r>
          </w:p>
        </w:tc>
        <w:tc>
          <w:tcPr>
            <w:tcW w:w="709" w:type="dxa"/>
            <w:vAlign w:val="center"/>
          </w:tcPr>
          <w:p w14:paraId="4E6F51DC" w14:textId="4846C493"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Média</w:t>
            </w:r>
          </w:p>
        </w:tc>
        <w:tc>
          <w:tcPr>
            <w:tcW w:w="851" w:type="dxa"/>
            <w:vAlign w:val="center"/>
          </w:tcPr>
          <w:p w14:paraId="1FA43758" w14:textId="6093A45D"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Alto</w:t>
            </w:r>
          </w:p>
        </w:tc>
        <w:tc>
          <w:tcPr>
            <w:tcW w:w="1275" w:type="dxa"/>
            <w:vAlign w:val="center"/>
          </w:tcPr>
          <w:p w14:paraId="79EBFD50" w14:textId="1FCC3CBF" w:rsidR="00832B3C" w:rsidRPr="00832B3C" w:rsidRDefault="00832B3C" w:rsidP="00832B3C">
            <w:pPr>
              <w:spacing w:line="360" w:lineRule="auto"/>
              <w:ind w:left="-109" w:right="-108"/>
              <w:jc w:val="center"/>
              <w:rPr>
                <w:rFonts w:ascii="Times New Roman" w:hAnsi="Times New Roman" w:cs="Times New Roman"/>
                <w:sz w:val="18"/>
                <w:szCs w:val="18"/>
              </w:rPr>
            </w:pPr>
            <w:r w:rsidRPr="00832B3C">
              <w:rPr>
                <w:rFonts w:ascii="Times New Roman" w:hAnsi="Times New Roman" w:cs="Times New Roman"/>
                <w:sz w:val="18"/>
                <w:szCs w:val="18"/>
              </w:rPr>
              <w:t>Contratada</w:t>
            </w:r>
          </w:p>
        </w:tc>
        <w:tc>
          <w:tcPr>
            <w:tcW w:w="2127" w:type="dxa"/>
            <w:vAlign w:val="center"/>
          </w:tcPr>
          <w:p w14:paraId="6D61D7CD" w14:textId="1F0F5571"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Planejamento logístico e programação de entregas</w:t>
            </w:r>
          </w:p>
        </w:tc>
        <w:tc>
          <w:tcPr>
            <w:tcW w:w="1521" w:type="dxa"/>
            <w:vAlign w:val="center"/>
          </w:tcPr>
          <w:p w14:paraId="5DA0C97C" w14:textId="7DF77E77"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Reprogramação das frentes de trabalho</w:t>
            </w:r>
          </w:p>
        </w:tc>
      </w:tr>
      <w:tr w:rsidR="00832B3C" w:rsidRPr="00A61110" w14:paraId="2CF3315B" w14:textId="77777777" w:rsidTr="00832B3C">
        <w:tc>
          <w:tcPr>
            <w:tcW w:w="426" w:type="dxa"/>
            <w:vAlign w:val="center"/>
          </w:tcPr>
          <w:p w14:paraId="4F0F1772" w14:textId="2A917FB6" w:rsidR="00832B3C" w:rsidRPr="00832B3C" w:rsidRDefault="00832B3C" w:rsidP="00832B3C">
            <w:pPr>
              <w:spacing w:line="360" w:lineRule="auto"/>
              <w:jc w:val="center"/>
              <w:rPr>
                <w:rFonts w:ascii="Times New Roman" w:hAnsi="Times New Roman" w:cs="Times New Roman"/>
                <w:b/>
                <w:bCs/>
                <w:sz w:val="18"/>
                <w:szCs w:val="18"/>
              </w:rPr>
            </w:pPr>
            <w:r w:rsidRPr="00832B3C">
              <w:rPr>
                <w:rFonts w:ascii="Times New Roman" w:hAnsi="Times New Roman" w:cs="Times New Roman"/>
                <w:sz w:val="18"/>
                <w:szCs w:val="18"/>
              </w:rPr>
              <w:t>4</w:t>
            </w:r>
          </w:p>
        </w:tc>
        <w:tc>
          <w:tcPr>
            <w:tcW w:w="1560" w:type="dxa"/>
            <w:vAlign w:val="center"/>
          </w:tcPr>
          <w:p w14:paraId="11035472" w14:textId="01C98BEF"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Falhas de comunicação institucional</w:t>
            </w:r>
          </w:p>
        </w:tc>
        <w:tc>
          <w:tcPr>
            <w:tcW w:w="2409" w:type="dxa"/>
            <w:vAlign w:val="center"/>
          </w:tcPr>
          <w:p w14:paraId="47CB5FB2" w14:textId="18A601B5"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Problemas na coordenação entre contratada, fiscalização, moradores e setores municipais</w:t>
            </w:r>
          </w:p>
        </w:tc>
        <w:tc>
          <w:tcPr>
            <w:tcW w:w="709" w:type="dxa"/>
            <w:vAlign w:val="center"/>
          </w:tcPr>
          <w:p w14:paraId="6023180A" w14:textId="0CE9F6F8"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Média</w:t>
            </w:r>
          </w:p>
        </w:tc>
        <w:tc>
          <w:tcPr>
            <w:tcW w:w="851" w:type="dxa"/>
            <w:vAlign w:val="center"/>
          </w:tcPr>
          <w:p w14:paraId="3D5E1272" w14:textId="493BFA48"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Médio</w:t>
            </w:r>
          </w:p>
        </w:tc>
        <w:tc>
          <w:tcPr>
            <w:tcW w:w="1275" w:type="dxa"/>
            <w:vAlign w:val="center"/>
          </w:tcPr>
          <w:p w14:paraId="5CF67EF2" w14:textId="44EEEEED" w:rsidR="00832B3C" w:rsidRPr="00832B3C" w:rsidRDefault="00832B3C" w:rsidP="00832B3C">
            <w:pPr>
              <w:spacing w:line="360" w:lineRule="auto"/>
              <w:ind w:left="-109" w:right="-108"/>
              <w:jc w:val="center"/>
              <w:rPr>
                <w:rFonts w:ascii="Times New Roman" w:hAnsi="Times New Roman" w:cs="Times New Roman"/>
                <w:sz w:val="18"/>
                <w:szCs w:val="18"/>
              </w:rPr>
            </w:pPr>
            <w:r w:rsidRPr="00832B3C">
              <w:rPr>
                <w:rFonts w:ascii="Times New Roman" w:hAnsi="Times New Roman" w:cs="Times New Roman"/>
                <w:sz w:val="18"/>
                <w:szCs w:val="18"/>
              </w:rPr>
              <w:t>Compartilhada</w:t>
            </w:r>
          </w:p>
        </w:tc>
        <w:tc>
          <w:tcPr>
            <w:tcW w:w="2127" w:type="dxa"/>
            <w:vAlign w:val="center"/>
          </w:tcPr>
          <w:p w14:paraId="7770FA74" w14:textId="414CAAF2"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Reuniões periódicas e canais formais de comunicação</w:t>
            </w:r>
          </w:p>
        </w:tc>
        <w:tc>
          <w:tcPr>
            <w:tcW w:w="1521" w:type="dxa"/>
            <w:vAlign w:val="center"/>
          </w:tcPr>
          <w:p w14:paraId="44452D99" w14:textId="7A78C6FD" w:rsidR="00832B3C" w:rsidRPr="00832B3C" w:rsidRDefault="00832B3C" w:rsidP="00832B3C">
            <w:pPr>
              <w:spacing w:line="360" w:lineRule="auto"/>
              <w:jc w:val="center"/>
              <w:rPr>
                <w:rFonts w:ascii="Times New Roman" w:hAnsi="Times New Roman" w:cs="Times New Roman"/>
                <w:sz w:val="18"/>
                <w:szCs w:val="18"/>
              </w:rPr>
            </w:pPr>
            <w:r w:rsidRPr="00832B3C">
              <w:rPr>
                <w:rFonts w:ascii="Times New Roman" w:hAnsi="Times New Roman" w:cs="Times New Roman"/>
                <w:sz w:val="18"/>
                <w:szCs w:val="18"/>
              </w:rPr>
              <w:t>Reunião extraordinária</w:t>
            </w:r>
          </w:p>
        </w:tc>
      </w:tr>
    </w:tbl>
    <w:p w14:paraId="2396AE86" w14:textId="77777777" w:rsidR="002E7759" w:rsidRDefault="002E7759" w:rsidP="002E7759">
      <w:pPr>
        <w:spacing w:after="0" w:line="360" w:lineRule="auto"/>
        <w:jc w:val="both"/>
        <w:rPr>
          <w:rFonts w:ascii="Times New Roman" w:hAnsi="Times New Roman" w:cs="Times New Roman"/>
          <w:b/>
          <w:bCs/>
          <w:sz w:val="20"/>
          <w:szCs w:val="20"/>
        </w:rPr>
      </w:pPr>
    </w:p>
    <w:p w14:paraId="66B210A9"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1.2.5. Riscos Operacionais e Logísticos:</w:t>
      </w:r>
    </w:p>
    <w:tbl>
      <w:tblPr>
        <w:tblStyle w:val="Tabelacomgrade"/>
        <w:tblW w:w="10878" w:type="dxa"/>
        <w:tblInd w:w="-998" w:type="dxa"/>
        <w:tblLayout w:type="fixed"/>
        <w:tblLook w:val="04A0" w:firstRow="1" w:lastRow="0" w:firstColumn="1" w:lastColumn="0" w:noHBand="0" w:noVBand="1"/>
      </w:tblPr>
      <w:tblGrid>
        <w:gridCol w:w="567"/>
        <w:gridCol w:w="1702"/>
        <w:gridCol w:w="1985"/>
        <w:gridCol w:w="850"/>
        <w:gridCol w:w="992"/>
        <w:gridCol w:w="1418"/>
        <w:gridCol w:w="1701"/>
        <w:gridCol w:w="1663"/>
      </w:tblGrid>
      <w:tr w:rsidR="008534BA" w:rsidRPr="00A61110" w14:paraId="19FE0652" w14:textId="77777777" w:rsidTr="00522E8B">
        <w:tc>
          <w:tcPr>
            <w:tcW w:w="567" w:type="dxa"/>
            <w:vAlign w:val="center"/>
          </w:tcPr>
          <w:p w14:paraId="58361642" w14:textId="69FB4B9C"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Nº</w:t>
            </w:r>
          </w:p>
        </w:tc>
        <w:tc>
          <w:tcPr>
            <w:tcW w:w="1702" w:type="dxa"/>
            <w:vAlign w:val="center"/>
          </w:tcPr>
          <w:p w14:paraId="2E00CD46" w14:textId="0C050C12"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Risco</w:t>
            </w:r>
          </w:p>
        </w:tc>
        <w:tc>
          <w:tcPr>
            <w:tcW w:w="1985" w:type="dxa"/>
            <w:vAlign w:val="center"/>
          </w:tcPr>
          <w:p w14:paraId="6FCFD476" w14:textId="59E33F5C"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Descrição</w:t>
            </w:r>
          </w:p>
        </w:tc>
        <w:tc>
          <w:tcPr>
            <w:tcW w:w="850" w:type="dxa"/>
            <w:vAlign w:val="center"/>
          </w:tcPr>
          <w:p w14:paraId="1316B180" w14:textId="4577A0E3" w:rsidR="008534BA" w:rsidRPr="00A8481A" w:rsidRDefault="008534BA" w:rsidP="00522E8B">
            <w:pPr>
              <w:spacing w:line="360" w:lineRule="auto"/>
              <w:jc w:val="center"/>
              <w:rPr>
                <w:rFonts w:ascii="Times New Roman" w:hAnsi="Times New Roman" w:cs="Times New Roman"/>
                <w:b/>
                <w:bCs/>
                <w:sz w:val="18"/>
                <w:szCs w:val="18"/>
              </w:rPr>
            </w:pPr>
            <w:proofErr w:type="spellStart"/>
            <w:r w:rsidRPr="00A8481A">
              <w:rPr>
                <w:rFonts w:ascii="Times New Roman" w:hAnsi="Times New Roman" w:cs="Times New Roman"/>
                <w:b/>
                <w:bCs/>
                <w:sz w:val="18"/>
                <w:szCs w:val="18"/>
              </w:rPr>
              <w:t>Prob</w:t>
            </w:r>
            <w:proofErr w:type="spellEnd"/>
            <w:r w:rsidRPr="00A8481A">
              <w:rPr>
                <w:rFonts w:ascii="Times New Roman" w:hAnsi="Times New Roman" w:cs="Times New Roman"/>
                <w:b/>
                <w:bCs/>
                <w:sz w:val="18"/>
                <w:szCs w:val="18"/>
              </w:rPr>
              <w:t>.</w:t>
            </w:r>
          </w:p>
        </w:tc>
        <w:tc>
          <w:tcPr>
            <w:tcW w:w="992" w:type="dxa"/>
            <w:vAlign w:val="center"/>
          </w:tcPr>
          <w:p w14:paraId="68A42E13" w14:textId="2B22D364"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Impacto</w:t>
            </w:r>
          </w:p>
        </w:tc>
        <w:tc>
          <w:tcPr>
            <w:tcW w:w="1418" w:type="dxa"/>
            <w:vAlign w:val="center"/>
          </w:tcPr>
          <w:p w14:paraId="7D88800A" w14:textId="13DC9148"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Responsável</w:t>
            </w:r>
          </w:p>
        </w:tc>
        <w:tc>
          <w:tcPr>
            <w:tcW w:w="1701" w:type="dxa"/>
            <w:vAlign w:val="center"/>
          </w:tcPr>
          <w:p w14:paraId="78A50A79" w14:textId="118CAB74"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Medidas de Mitigação</w:t>
            </w:r>
          </w:p>
        </w:tc>
        <w:tc>
          <w:tcPr>
            <w:tcW w:w="1663" w:type="dxa"/>
            <w:vAlign w:val="center"/>
          </w:tcPr>
          <w:p w14:paraId="6E8FB41F" w14:textId="223AAA93"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Plano de Contingência</w:t>
            </w:r>
          </w:p>
        </w:tc>
      </w:tr>
      <w:tr w:rsidR="008534BA" w:rsidRPr="00A61110" w14:paraId="6B74D57B" w14:textId="77777777" w:rsidTr="00522E8B">
        <w:tc>
          <w:tcPr>
            <w:tcW w:w="567" w:type="dxa"/>
            <w:vAlign w:val="center"/>
          </w:tcPr>
          <w:p w14:paraId="41453169" w14:textId="253B86ED"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sz w:val="18"/>
                <w:szCs w:val="18"/>
              </w:rPr>
              <w:t>1</w:t>
            </w:r>
          </w:p>
        </w:tc>
        <w:tc>
          <w:tcPr>
            <w:tcW w:w="1702" w:type="dxa"/>
            <w:vAlign w:val="center"/>
          </w:tcPr>
          <w:p w14:paraId="168556C6" w14:textId="50FB8AB4"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Interferência no tráfego local</w:t>
            </w:r>
          </w:p>
        </w:tc>
        <w:tc>
          <w:tcPr>
            <w:tcW w:w="1985" w:type="dxa"/>
            <w:vAlign w:val="center"/>
          </w:tcPr>
          <w:p w14:paraId="145EA44D" w14:textId="244612D4"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Impacto na circulação de veículos e pedestres</w:t>
            </w:r>
          </w:p>
        </w:tc>
        <w:tc>
          <w:tcPr>
            <w:tcW w:w="850" w:type="dxa"/>
            <w:vAlign w:val="center"/>
          </w:tcPr>
          <w:p w14:paraId="0DD1E48F" w14:textId="3C258240"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Média</w:t>
            </w:r>
          </w:p>
        </w:tc>
        <w:tc>
          <w:tcPr>
            <w:tcW w:w="992" w:type="dxa"/>
            <w:vAlign w:val="center"/>
          </w:tcPr>
          <w:p w14:paraId="4839F979" w14:textId="300B5BC9"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Alto</w:t>
            </w:r>
          </w:p>
        </w:tc>
        <w:tc>
          <w:tcPr>
            <w:tcW w:w="1418" w:type="dxa"/>
            <w:vAlign w:val="center"/>
          </w:tcPr>
          <w:p w14:paraId="73246148" w14:textId="5A8B1667"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Compartilhada</w:t>
            </w:r>
          </w:p>
        </w:tc>
        <w:tc>
          <w:tcPr>
            <w:tcW w:w="1701" w:type="dxa"/>
            <w:vAlign w:val="center"/>
          </w:tcPr>
          <w:p w14:paraId="55B50E8D" w14:textId="5A79E00F"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Sinalização e planejamento</w:t>
            </w:r>
          </w:p>
        </w:tc>
        <w:tc>
          <w:tcPr>
            <w:tcW w:w="1663" w:type="dxa"/>
            <w:vAlign w:val="center"/>
          </w:tcPr>
          <w:p w14:paraId="1DFC19C1" w14:textId="50E222FC"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Desvios e controle de tráfego</w:t>
            </w:r>
          </w:p>
        </w:tc>
      </w:tr>
      <w:tr w:rsidR="008534BA" w:rsidRPr="00A61110" w14:paraId="08213C31" w14:textId="77777777" w:rsidTr="00522E8B">
        <w:tc>
          <w:tcPr>
            <w:tcW w:w="567" w:type="dxa"/>
            <w:vAlign w:val="center"/>
          </w:tcPr>
          <w:p w14:paraId="7C2EBDC0" w14:textId="55534187"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sz w:val="18"/>
                <w:szCs w:val="18"/>
              </w:rPr>
              <w:t>2</w:t>
            </w:r>
          </w:p>
        </w:tc>
        <w:tc>
          <w:tcPr>
            <w:tcW w:w="1702" w:type="dxa"/>
            <w:vAlign w:val="center"/>
          </w:tcPr>
          <w:p w14:paraId="28326883" w14:textId="56549C71"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Furto ou vandalismo</w:t>
            </w:r>
          </w:p>
        </w:tc>
        <w:tc>
          <w:tcPr>
            <w:tcW w:w="1985" w:type="dxa"/>
            <w:vAlign w:val="center"/>
          </w:tcPr>
          <w:p w14:paraId="30E02383" w14:textId="050E97B6"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Perda de materiais e equipamentos</w:t>
            </w:r>
          </w:p>
        </w:tc>
        <w:tc>
          <w:tcPr>
            <w:tcW w:w="850" w:type="dxa"/>
            <w:vAlign w:val="center"/>
          </w:tcPr>
          <w:p w14:paraId="21BF1BBA" w14:textId="4CBCF1D7"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Baixa</w:t>
            </w:r>
          </w:p>
        </w:tc>
        <w:tc>
          <w:tcPr>
            <w:tcW w:w="992" w:type="dxa"/>
            <w:vAlign w:val="center"/>
          </w:tcPr>
          <w:p w14:paraId="3B977ED2" w14:textId="3A9B61B9"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Médio</w:t>
            </w:r>
          </w:p>
        </w:tc>
        <w:tc>
          <w:tcPr>
            <w:tcW w:w="1418" w:type="dxa"/>
            <w:vAlign w:val="center"/>
          </w:tcPr>
          <w:p w14:paraId="3DE9065F" w14:textId="15600EE2"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Contratada</w:t>
            </w:r>
          </w:p>
        </w:tc>
        <w:tc>
          <w:tcPr>
            <w:tcW w:w="1701" w:type="dxa"/>
            <w:vAlign w:val="center"/>
          </w:tcPr>
          <w:p w14:paraId="2FA63A50" w14:textId="0AE71856"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Controle de acesso</w:t>
            </w:r>
          </w:p>
        </w:tc>
        <w:tc>
          <w:tcPr>
            <w:tcW w:w="1663" w:type="dxa"/>
            <w:vAlign w:val="center"/>
          </w:tcPr>
          <w:p w14:paraId="1717D3B3" w14:textId="5396FDE1"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Reposição imediata</w:t>
            </w:r>
          </w:p>
        </w:tc>
      </w:tr>
      <w:tr w:rsidR="008534BA" w:rsidRPr="00A61110" w14:paraId="16FE7200" w14:textId="77777777" w:rsidTr="00522E8B">
        <w:tc>
          <w:tcPr>
            <w:tcW w:w="567" w:type="dxa"/>
            <w:vAlign w:val="center"/>
          </w:tcPr>
          <w:p w14:paraId="7E0EE62F" w14:textId="40A75FEC"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sz w:val="18"/>
                <w:szCs w:val="18"/>
              </w:rPr>
              <w:t>3</w:t>
            </w:r>
          </w:p>
        </w:tc>
        <w:tc>
          <w:tcPr>
            <w:tcW w:w="1702" w:type="dxa"/>
            <w:vAlign w:val="center"/>
          </w:tcPr>
          <w:p w14:paraId="1CA196BB" w14:textId="597A29C8"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Logística inadequada de materiais</w:t>
            </w:r>
          </w:p>
        </w:tc>
        <w:tc>
          <w:tcPr>
            <w:tcW w:w="1985" w:type="dxa"/>
            <w:vAlign w:val="center"/>
          </w:tcPr>
          <w:p w14:paraId="7E204EEF" w14:textId="5C8ADA7F"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Problemas no transporte de CBUQ</w:t>
            </w:r>
          </w:p>
        </w:tc>
        <w:tc>
          <w:tcPr>
            <w:tcW w:w="850" w:type="dxa"/>
            <w:vAlign w:val="center"/>
          </w:tcPr>
          <w:p w14:paraId="38812035" w14:textId="0740402A"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Média</w:t>
            </w:r>
          </w:p>
        </w:tc>
        <w:tc>
          <w:tcPr>
            <w:tcW w:w="992" w:type="dxa"/>
            <w:vAlign w:val="center"/>
          </w:tcPr>
          <w:p w14:paraId="4CBD74FC" w14:textId="219299B3"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Alto</w:t>
            </w:r>
          </w:p>
        </w:tc>
        <w:tc>
          <w:tcPr>
            <w:tcW w:w="1418" w:type="dxa"/>
            <w:vAlign w:val="center"/>
          </w:tcPr>
          <w:p w14:paraId="1B3DB852" w14:textId="14A2B336"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Contratada</w:t>
            </w:r>
          </w:p>
        </w:tc>
        <w:tc>
          <w:tcPr>
            <w:tcW w:w="1701" w:type="dxa"/>
            <w:vAlign w:val="center"/>
          </w:tcPr>
          <w:p w14:paraId="29D4F449" w14:textId="66F630C4"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Planejamento logístico</w:t>
            </w:r>
          </w:p>
        </w:tc>
        <w:tc>
          <w:tcPr>
            <w:tcW w:w="1663" w:type="dxa"/>
            <w:vAlign w:val="center"/>
          </w:tcPr>
          <w:p w14:paraId="69AC6DD5" w14:textId="2C39DBBF"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Reprogramação</w:t>
            </w:r>
          </w:p>
        </w:tc>
      </w:tr>
      <w:tr w:rsidR="008534BA" w:rsidRPr="00A61110" w14:paraId="19567388" w14:textId="77777777" w:rsidTr="00522E8B">
        <w:tc>
          <w:tcPr>
            <w:tcW w:w="567" w:type="dxa"/>
            <w:vAlign w:val="center"/>
          </w:tcPr>
          <w:p w14:paraId="3A6839E0" w14:textId="7694669A" w:rsidR="008534BA" w:rsidRPr="00A8481A" w:rsidRDefault="008534BA" w:rsidP="00522E8B">
            <w:pPr>
              <w:spacing w:line="360" w:lineRule="auto"/>
              <w:jc w:val="center"/>
              <w:rPr>
                <w:rFonts w:ascii="Times New Roman" w:hAnsi="Times New Roman" w:cs="Times New Roman"/>
                <w:b/>
                <w:bCs/>
                <w:sz w:val="18"/>
                <w:szCs w:val="18"/>
              </w:rPr>
            </w:pPr>
            <w:r w:rsidRPr="00A8481A">
              <w:rPr>
                <w:rFonts w:ascii="Times New Roman" w:hAnsi="Times New Roman" w:cs="Times New Roman"/>
                <w:sz w:val="18"/>
                <w:szCs w:val="18"/>
              </w:rPr>
              <w:t>4</w:t>
            </w:r>
          </w:p>
        </w:tc>
        <w:tc>
          <w:tcPr>
            <w:tcW w:w="1702" w:type="dxa"/>
            <w:vAlign w:val="center"/>
          </w:tcPr>
          <w:p w14:paraId="4B8111FA" w14:textId="1362BB4D"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Falhas de comunicação institucional</w:t>
            </w:r>
          </w:p>
        </w:tc>
        <w:tc>
          <w:tcPr>
            <w:tcW w:w="1985" w:type="dxa"/>
            <w:vAlign w:val="center"/>
          </w:tcPr>
          <w:p w14:paraId="319B883A" w14:textId="2CD8F199"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Problemas na coordenação</w:t>
            </w:r>
          </w:p>
        </w:tc>
        <w:tc>
          <w:tcPr>
            <w:tcW w:w="850" w:type="dxa"/>
            <w:vAlign w:val="center"/>
          </w:tcPr>
          <w:p w14:paraId="36C5DBD5" w14:textId="74813512"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Média</w:t>
            </w:r>
          </w:p>
        </w:tc>
        <w:tc>
          <w:tcPr>
            <w:tcW w:w="992" w:type="dxa"/>
            <w:vAlign w:val="center"/>
          </w:tcPr>
          <w:p w14:paraId="5F8F4E26" w14:textId="2981185E"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Médio</w:t>
            </w:r>
          </w:p>
        </w:tc>
        <w:tc>
          <w:tcPr>
            <w:tcW w:w="1418" w:type="dxa"/>
            <w:vAlign w:val="center"/>
          </w:tcPr>
          <w:p w14:paraId="17B5E47E" w14:textId="3B67C1AF"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Compartilhada</w:t>
            </w:r>
          </w:p>
        </w:tc>
        <w:tc>
          <w:tcPr>
            <w:tcW w:w="1701" w:type="dxa"/>
            <w:vAlign w:val="center"/>
          </w:tcPr>
          <w:p w14:paraId="380B83B3" w14:textId="0289FEE2"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Reuniões periódicas</w:t>
            </w:r>
          </w:p>
        </w:tc>
        <w:tc>
          <w:tcPr>
            <w:tcW w:w="1663" w:type="dxa"/>
            <w:vAlign w:val="center"/>
          </w:tcPr>
          <w:p w14:paraId="2CC84045" w14:textId="430DD5FD" w:rsidR="008534BA" w:rsidRPr="00A8481A" w:rsidRDefault="008534BA" w:rsidP="00522E8B">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Reunião extraordinária</w:t>
            </w:r>
          </w:p>
        </w:tc>
      </w:tr>
    </w:tbl>
    <w:p w14:paraId="249AE16E" w14:textId="77777777" w:rsidR="002E7759" w:rsidRPr="00A61110" w:rsidRDefault="002E7759" w:rsidP="002E7759">
      <w:pPr>
        <w:spacing w:after="0" w:line="360" w:lineRule="auto"/>
        <w:jc w:val="both"/>
        <w:rPr>
          <w:rFonts w:ascii="Times New Roman" w:hAnsi="Times New Roman" w:cs="Times New Roman"/>
          <w:b/>
          <w:bCs/>
          <w:sz w:val="20"/>
          <w:szCs w:val="20"/>
        </w:rPr>
      </w:pPr>
    </w:p>
    <w:p w14:paraId="64C6F534"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ab/>
        <w:t>1.2.6. Riscos Sociais e Institucionais:</w:t>
      </w:r>
    </w:p>
    <w:tbl>
      <w:tblPr>
        <w:tblStyle w:val="Tabelacomgrade"/>
        <w:tblW w:w="10878" w:type="dxa"/>
        <w:tblInd w:w="-998" w:type="dxa"/>
        <w:tblLayout w:type="fixed"/>
        <w:tblLook w:val="04A0" w:firstRow="1" w:lastRow="0" w:firstColumn="1" w:lastColumn="0" w:noHBand="0" w:noVBand="1"/>
      </w:tblPr>
      <w:tblGrid>
        <w:gridCol w:w="567"/>
        <w:gridCol w:w="1702"/>
        <w:gridCol w:w="1985"/>
        <w:gridCol w:w="850"/>
        <w:gridCol w:w="992"/>
        <w:gridCol w:w="1418"/>
        <w:gridCol w:w="1701"/>
        <w:gridCol w:w="1663"/>
      </w:tblGrid>
      <w:tr w:rsidR="00832B3C" w:rsidRPr="00A61110" w14:paraId="2C766EB7" w14:textId="77777777" w:rsidTr="00832B3C">
        <w:tc>
          <w:tcPr>
            <w:tcW w:w="567" w:type="dxa"/>
            <w:vAlign w:val="center"/>
          </w:tcPr>
          <w:p w14:paraId="3FB9A73B" w14:textId="2255AB85"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Nº</w:t>
            </w:r>
          </w:p>
        </w:tc>
        <w:tc>
          <w:tcPr>
            <w:tcW w:w="1702" w:type="dxa"/>
            <w:vAlign w:val="center"/>
          </w:tcPr>
          <w:p w14:paraId="50514605" w14:textId="191D2A06"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Risco</w:t>
            </w:r>
          </w:p>
        </w:tc>
        <w:tc>
          <w:tcPr>
            <w:tcW w:w="1985" w:type="dxa"/>
            <w:vAlign w:val="center"/>
          </w:tcPr>
          <w:p w14:paraId="58F80183" w14:textId="08FC95FC"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Descrição</w:t>
            </w:r>
          </w:p>
        </w:tc>
        <w:tc>
          <w:tcPr>
            <w:tcW w:w="850" w:type="dxa"/>
            <w:vAlign w:val="center"/>
          </w:tcPr>
          <w:p w14:paraId="3D5ED44F" w14:textId="2C95B8E8" w:rsidR="00832B3C" w:rsidRPr="00A8481A" w:rsidRDefault="00832B3C" w:rsidP="00832B3C">
            <w:pPr>
              <w:spacing w:line="360" w:lineRule="auto"/>
              <w:jc w:val="center"/>
              <w:rPr>
                <w:rFonts w:ascii="Times New Roman" w:hAnsi="Times New Roman" w:cs="Times New Roman"/>
                <w:b/>
                <w:bCs/>
                <w:sz w:val="18"/>
                <w:szCs w:val="18"/>
              </w:rPr>
            </w:pPr>
            <w:proofErr w:type="spellStart"/>
            <w:r w:rsidRPr="00A8481A">
              <w:rPr>
                <w:rFonts w:ascii="Times New Roman" w:hAnsi="Times New Roman" w:cs="Times New Roman"/>
                <w:b/>
                <w:bCs/>
                <w:sz w:val="18"/>
                <w:szCs w:val="18"/>
              </w:rPr>
              <w:t>Prob</w:t>
            </w:r>
            <w:proofErr w:type="spellEnd"/>
            <w:r w:rsidRPr="00A8481A">
              <w:rPr>
                <w:rFonts w:ascii="Times New Roman" w:hAnsi="Times New Roman" w:cs="Times New Roman"/>
                <w:b/>
                <w:bCs/>
                <w:sz w:val="18"/>
                <w:szCs w:val="18"/>
              </w:rPr>
              <w:t>.</w:t>
            </w:r>
          </w:p>
        </w:tc>
        <w:tc>
          <w:tcPr>
            <w:tcW w:w="992" w:type="dxa"/>
            <w:vAlign w:val="center"/>
          </w:tcPr>
          <w:p w14:paraId="7A03ACBE" w14:textId="5C62F586"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Impacto</w:t>
            </w:r>
          </w:p>
        </w:tc>
        <w:tc>
          <w:tcPr>
            <w:tcW w:w="1418" w:type="dxa"/>
            <w:vAlign w:val="center"/>
          </w:tcPr>
          <w:p w14:paraId="7A06F140" w14:textId="3D54CF1C"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Responsável</w:t>
            </w:r>
          </w:p>
        </w:tc>
        <w:tc>
          <w:tcPr>
            <w:tcW w:w="1701" w:type="dxa"/>
            <w:vAlign w:val="center"/>
          </w:tcPr>
          <w:p w14:paraId="77622ABE" w14:textId="2C173748"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Medidas de Mitigação</w:t>
            </w:r>
          </w:p>
        </w:tc>
        <w:tc>
          <w:tcPr>
            <w:tcW w:w="1663" w:type="dxa"/>
            <w:vAlign w:val="center"/>
          </w:tcPr>
          <w:p w14:paraId="0C0EBD07" w14:textId="3F23F612"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b/>
                <w:bCs/>
                <w:sz w:val="18"/>
                <w:szCs w:val="18"/>
              </w:rPr>
              <w:t>Plano de Contingência</w:t>
            </w:r>
          </w:p>
        </w:tc>
      </w:tr>
      <w:tr w:rsidR="00832B3C" w:rsidRPr="00A61110" w14:paraId="42231F9E" w14:textId="77777777" w:rsidTr="00832B3C">
        <w:tc>
          <w:tcPr>
            <w:tcW w:w="567" w:type="dxa"/>
            <w:vAlign w:val="center"/>
          </w:tcPr>
          <w:p w14:paraId="56822CA9" w14:textId="6521C26A"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sz w:val="18"/>
                <w:szCs w:val="18"/>
              </w:rPr>
              <w:t>1</w:t>
            </w:r>
          </w:p>
        </w:tc>
        <w:tc>
          <w:tcPr>
            <w:tcW w:w="1702" w:type="dxa"/>
            <w:vAlign w:val="center"/>
          </w:tcPr>
          <w:p w14:paraId="5AF8227D" w14:textId="4AFCBCB1"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Reclamações da comunidade</w:t>
            </w:r>
          </w:p>
        </w:tc>
        <w:tc>
          <w:tcPr>
            <w:tcW w:w="1985" w:type="dxa"/>
            <w:vAlign w:val="center"/>
          </w:tcPr>
          <w:p w14:paraId="7C50001B" w14:textId="0D5161F1"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Incômodos durante a obra, especialmente por poeira, ruído, restrição de acesso ou interrupções temporárias</w:t>
            </w:r>
          </w:p>
        </w:tc>
        <w:tc>
          <w:tcPr>
            <w:tcW w:w="850" w:type="dxa"/>
            <w:vAlign w:val="center"/>
          </w:tcPr>
          <w:p w14:paraId="2420FED3" w14:textId="237472AA"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Média</w:t>
            </w:r>
          </w:p>
        </w:tc>
        <w:tc>
          <w:tcPr>
            <w:tcW w:w="992" w:type="dxa"/>
            <w:vAlign w:val="center"/>
          </w:tcPr>
          <w:p w14:paraId="20DCB79A" w14:textId="033EBC2D"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Médio</w:t>
            </w:r>
          </w:p>
        </w:tc>
        <w:tc>
          <w:tcPr>
            <w:tcW w:w="1418" w:type="dxa"/>
            <w:vAlign w:val="center"/>
          </w:tcPr>
          <w:p w14:paraId="4E7C4558" w14:textId="725E385D"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Compartilhada</w:t>
            </w:r>
          </w:p>
        </w:tc>
        <w:tc>
          <w:tcPr>
            <w:tcW w:w="1701" w:type="dxa"/>
            <w:vAlign w:val="center"/>
          </w:tcPr>
          <w:p w14:paraId="107D15DE" w14:textId="1327105B"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Comunicação, sinalização e organização das frentes de serviço</w:t>
            </w:r>
          </w:p>
        </w:tc>
        <w:tc>
          <w:tcPr>
            <w:tcW w:w="1663" w:type="dxa"/>
            <w:vAlign w:val="center"/>
          </w:tcPr>
          <w:p w14:paraId="29BC9169" w14:textId="30E31A0D"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Ajustes operacionais</w:t>
            </w:r>
          </w:p>
        </w:tc>
      </w:tr>
      <w:tr w:rsidR="00832B3C" w:rsidRPr="00A61110" w14:paraId="05AEA955" w14:textId="77777777" w:rsidTr="00832B3C">
        <w:tc>
          <w:tcPr>
            <w:tcW w:w="567" w:type="dxa"/>
            <w:vAlign w:val="center"/>
          </w:tcPr>
          <w:p w14:paraId="5880CC42" w14:textId="102CFB73"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sz w:val="18"/>
                <w:szCs w:val="18"/>
              </w:rPr>
              <w:t>2</w:t>
            </w:r>
          </w:p>
        </w:tc>
        <w:tc>
          <w:tcPr>
            <w:tcW w:w="1702" w:type="dxa"/>
            <w:vAlign w:val="center"/>
          </w:tcPr>
          <w:p w14:paraId="6028F457" w14:textId="166EFA00"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Impactos na mobilidade local</w:t>
            </w:r>
          </w:p>
        </w:tc>
        <w:tc>
          <w:tcPr>
            <w:tcW w:w="1985" w:type="dxa"/>
            <w:vAlign w:val="center"/>
          </w:tcPr>
          <w:p w14:paraId="1E328AD2" w14:textId="64DCB5A7"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Dificuldades de acesso durante execução, especialmente para moradores, pedestres e veículos de serviço</w:t>
            </w:r>
          </w:p>
        </w:tc>
        <w:tc>
          <w:tcPr>
            <w:tcW w:w="850" w:type="dxa"/>
            <w:vAlign w:val="center"/>
          </w:tcPr>
          <w:p w14:paraId="14044C45" w14:textId="4691D870"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Média</w:t>
            </w:r>
          </w:p>
        </w:tc>
        <w:tc>
          <w:tcPr>
            <w:tcW w:w="992" w:type="dxa"/>
            <w:vAlign w:val="center"/>
          </w:tcPr>
          <w:p w14:paraId="03EEAC77" w14:textId="1AB75585"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Alto</w:t>
            </w:r>
          </w:p>
        </w:tc>
        <w:tc>
          <w:tcPr>
            <w:tcW w:w="1418" w:type="dxa"/>
            <w:vAlign w:val="center"/>
          </w:tcPr>
          <w:p w14:paraId="765B09F3" w14:textId="0CA4372A"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Compartilhada</w:t>
            </w:r>
          </w:p>
        </w:tc>
        <w:tc>
          <w:tcPr>
            <w:tcW w:w="1701" w:type="dxa"/>
            <w:vAlign w:val="center"/>
          </w:tcPr>
          <w:p w14:paraId="1D999C60" w14:textId="740001F8"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Execução por etapas e preservação de acessos quando possível</w:t>
            </w:r>
          </w:p>
        </w:tc>
        <w:tc>
          <w:tcPr>
            <w:tcW w:w="1663" w:type="dxa"/>
            <w:vAlign w:val="center"/>
          </w:tcPr>
          <w:p w14:paraId="2910D456" w14:textId="3F20A4D4"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Rotas alternativas</w:t>
            </w:r>
          </w:p>
        </w:tc>
      </w:tr>
      <w:tr w:rsidR="00832B3C" w:rsidRPr="00A61110" w14:paraId="1891E13A" w14:textId="77777777" w:rsidTr="00832B3C">
        <w:tc>
          <w:tcPr>
            <w:tcW w:w="567" w:type="dxa"/>
            <w:vAlign w:val="center"/>
          </w:tcPr>
          <w:p w14:paraId="18A2DD4D" w14:textId="1C7550CC"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sz w:val="18"/>
                <w:szCs w:val="18"/>
              </w:rPr>
              <w:t>3</w:t>
            </w:r>
          </w:p>
        </w:tc>
        <w:tc>
          <w:tcPr>
            <w:tcW w:w="1702" w:type="dxa"/>
            <w:vAlign w:val="center"/>
          </w:tcPr>
          <w:p w14:paraId="3B108806" w14:textId="0D502A1F"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Baixa qualidade final da obra</w:t>
            </w:r>
          </w:p>
        </w:tc>
        <w:tc>
          <w:tcPr>
            <w:tcW w:w="1985" w:type="dxa"/>
            <w:vAlign w:val="center"/>
          </w:tcPr>
          <w:p w14:paraId="043F18BD" w14:textId="7BC3FE7A"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Comprometimento da durabilidade, funcionalidade, drenagem, acessibilidade ou segurança viária</w:t>
            </w:r>
          </w:p>
        </w:tc>
        <w:tc>
          <w:tcPr>
            <w:tcW w:w="850" w:type="dxa"/>
            <w:vAlign w:val="center"/>
          </w:tcPr>
          <w:p w14:paraId="03A4B3E0" w14:textId="7A2F2CAA"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Baixa</w:t>
            </w:r>
          </w:p>
        </w:tc>
        <w:tc>
          <w:tcPr>
            <w:tcW w:w="992" w:type="dxa"/>
            <w:vAlign w:val="center"/>
          </w:tcPr>
          <w:p w14:paraId="6095481A" w14:textId="43625ECE"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Alto</w:t>
            </w:r>
          </w:p>
        </w:tc>
        <w:tc>
          <w:tcPr>
            <w:tcW w:w="1418" w:type="dxa"/>
            <w:vAlign w:val="center"/>
          </w:tcPr>
          <w:p w14:paraId="59FC0255" w14:textId="1E0F0626"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Contratada</w:t>
            </w:r>
          </w:p>
        </w:tc>
        <w:tc>
          <w:tcPr>
            <w:tcW w:w="1701" w:type="dxa"/>
            <w:vAlign w:val="center"/>
          </w:tcPr>
          <w:p w14:paraId="33F25E81" w14:textId="56854842"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Fiscalização rigorosa e controle técnico das etapas</w:t>
            </w:r>
          </w:p>
        </w:tc>
        <w:tc>
          <w:tcPr>
            <w:tcW w:w="1663" w:type="dxa"/>
            <w:vAlign w:val="center"/>
          </w:tcPr>
          <w:p w14:paraId="74205CB7" w14:textId="622A337D"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Correção integral</w:t>
            </w:r>
          </w:p>
        </w:tc>
      </w:tr>
      <w:tr w:rsidR="00832B3C" w:rsidRPr="00A61110" w14:paraId="6F071864" w14:textId="77777777" w:rsidTr="00832B3C">
        <w:tc>
          <w:tcPr>
            <w:tcW w:w="567" w:type="dxa"/>
            <w:vAlign w:val="center"/>
          </w:tcPr>
          <w:p w14:paraId="2F7A3494" w14:textId="70453496" w:rsidR="00832B3C" w:rsidRPr="00A8481A" w:rsidRDefault="00832B3C" w:rsidP="00832B3C">
            <w:pPr>
              <w:spacing w:line="360" w:lineRule="auto"/>
              <w:jc w:val="center"/>
              <w:rPr>
                <w:rFonts w:ascii="Times New Roman" w:hAnsi="Times New Roman" w:cs="Times New Roman"/>
                <w:b/>
                <w:bCs/>
                <w:sz w:val="18"/>
                <w:szCs w:val="18"/>
              </w:rPr>
            </w:pPr>
            <w:r w:rsidRPr="00A8481A">
              <w:rPr>
                <w:rFonts w:ascii="Times New Roman" w:hAnsi="Times New Roman" w:cs="Times New Roman"/>
                <w:sz w:val="18"/>
                <w:szCs w:val="18"/>
              </w:rPr>
              <w:t>4</w:t>
            </w:r>
          </w:p>
        </w:tc>
        <w:tc>
          <w:tcPr>
            <w:tcW w:w="1702" w:type="dxa"/>
            <w:vAlign w:val="center"/>
          </w:tcPr>
          <w:p w14:paraId="7E3FE8AE" w14:textId="45A41B9E"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Impacto reputacional institucional</w:t>
            </w:r>
          </w:p>
        </w:tc>
        <w:tc>
          <w:tcPr>
            <w:tcW w:w="1985" w:type="dxa"/>
            <w:vAlign w:val="center"/>
          </w:tcPr>
          <w:p w14:paraId="74CE5005" w14:textId="5D66DCC1"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Repercussão negativa decorrente de atrasos, falhas de comunicação ou desconformidades na execução</w:t>
            </w:r>
          </w:p>
        </w:tc>
        <w:tc>
          <w:tcPr>
            <w:tcW w:w="850" w:type="dxa"/>
            <w:vAlign w:val="center"/>
          </w:tcPr>
          <w:p w14:paraId="29E0D6EA" w14:textId="1917F4CE"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Baixa</w:t>
            </w:r>
          </w:p>
        </w:tc>
        <w:tc>
          <w:tcPr>
            <w:tcW w:w="992" w:type="dxa"/>
            <w:vAlign w:val="center"/>
          </w:tcPr>
          <w:p w14:paraId="31A195AB" w14:textId="605A8EEE"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Médio</w:t>
            </w:r>
          </w:p>
        </w:tc>
        <w:tc>
          <w:tcPr>
            <w:tcW w:w="1418" w:type="dxa"/>
            <w:vAlign w:val="center"/>
          </w:tcPr>
          <w:p w14:paraId="1EF77F9D" w14:textId="27EE77B8"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Compartilhada</w:t>
            </w:r>
          </w:p>
        </w:tc>
        <w:tc>
          <w:tcPr>
            <w:tcW w:w="1701" w:type="dxa"/>
            <w:vAlign w:val="center"/>
          </w:tcPr>
          <w:p w14:paraId="17E7703F" w14:textId="25518BA9"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Monitoramento contínuo e transparência com a comunidade</w:t>
            </w:r>
          </w:p>
        </w:tc>
        <w:tc>
          <w:tcPr>
            <w:tcW w:w="1663" w:type="dxa"/>
            <w:vAlign w:val="center"/>
          </w:tcPr>
          <w:p w14:paraId="24C9DBEF" w14:textId="548FED47" w:rsidR="00832B3C" w:rsidRPr="00A8481A" w:rsidRDefault="00832B3C" w:rsidP="00832B3C">
            <w:pPr>
              <w:spacing w:line="360" w:lineRule="auto"/>
              <w:jc w:val="center"/>
              <w:rPr>
                <w:rFonts w:ascii="Times New Roman" w:hAnsi="Times New Roman" w:cs="Times New Roman"/>
                <w:sz w:val="18"/>
                <w:szCs w:val="18"/>
              </w:rPr>
            </w:pPr>
            <w:r w:rsidRPr="00A8481A">
              <w:rPr>
                <w:rFonts w:ascii="Times New Roman" w:hAnsi="Times New Roman" w:cs="Times New Roman"/>
                <w:sz w:val="18"/>
                <w:szCs w:val="18"/>
              </w:rPr>
              <w:t>Medidas administrativas</w:t>
            </w:r>
          </w:p>
        </w:tc>
      </w:tr>
    </w:tbl>
    <w:p w14:paraId="7E3FB9D9" w14:textId="77777777" w:rsidR="002E7759" w:rsidRDefault="002E7759" w:rsidP="002E7759">
      <w:pPr>
        <w:spacing w:after="0" w:line="360" w:lineRule="auto"/>
        <w:jc w:val="both"/>
        <w:rPr>
          <w:rFonts w:ascii="Times New Roman" w:hAnsi="Times New Roman" w:cs="Times New Roman"/>
          <w:b/>
          <w:bCs/>
          <w:sz w:val="20"/>
          <w:szCs w:val="20"/>
        </w:rPr>
      </w:pPr>
    </w:p>
    <w:p w14:paraId="6DC9AE0B"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1.3. DISTRIBUIÇÃO DE RESPONSABILIDADES:</w:t>
      </w:r>
    </w:p>
    <w:p w14:paraId="297738DA" w14:textId="264142E1" w:rsidR="005767D4" w:rsidRPr="005767D4" w:rsidRDefault="005767D4" w:rsidP="005767D4">
      <w:pPr>
        <w:spacing w:after="0" w:line="360" w:lineRule="auto"/>
        <w:ind w:firstLine="708"/>
        <w:jc w:val="both"/>
        <w:rPr>
          <w:rFonts w:ascii="Times New Roman" w:hAnsi="Times New Roman" w:cs="Times New Roman"/>
          <w:sz w:val="20"/>
          <w:szCs w:val="20"/>
        </w:rPr>
      </w:pPr>
      <w:r w:rsidRPr="005767D4">
        <w:rPr>
          <w:rFonts w:ascii="Times New Roman" w:hAnsi="Times New Roman" w:cs="Times New Roman"/>
          <w:sz w:val="20"/>
          <w:szCs w:val="20"/>
        </w:rPr>
        <w:t>A distribuição de responsabilidades prevista nesta Matriz de Riscos observa os princípios da eficiência, da razoabilidade, da proporcionalidade, da prevenção e da adequada alocação objetiva de riscos, nos termos da Lei nº 14.133/2021, considerando a natureza específica da contratação</w:t>
      </w:r>
      <w:r>
        <w:rPr>
          <w:rFonts w:ascii="Times New Roman" w:hAnsi="Times New Roman" w:cs="Times New Roman"/>
          <w:sz w:val="20"/>
          <w:szCs w:val="20"/>
        </w:rPr>
        <w:t xml:space="preserve">. </w:t>
      </w:r>
      <w:r w:rsidRPr="005767D4">
        <w:rPr>
          <w:rFonts w:ascii="Times New Roman" w:hAnsi="Times New Roman" w:cs="Times New Roman"/>
          <w:sz w:val="20"/>
          <w:szCs w:val="20"/>
        </w:rPr>
        <w:t>A alocação adotada tem por finalidade definir, de forma objetiva, transparente e previamente conhecida pelas partes, os riscos atribuídos ao Contratante, à Contratada e aqueles de responsabilidade compartilhada, bem como estabelecer critérios técnicos para análise de seus eventuais reflexos sobre o prazo de execução, o custo da obra, a qualidade da infraestrutura implantada e o equilíbrio econômico-financeiro do contrato, prevenindo controvérsias e reduzindo assimetrias informacionais ao longo da execução contratual.</w:t>
      </w:r>
    </w:p>
    <w:p w14:paraId="666DEA64" w14:textId="77777777" w:rsidR="008534BA" w:rsidRDefault="008534BA" w:rsidP="008534BA">
      <w:pPr>
        <w:spacing w:after="0" w:line="360" w:lineRule="auto"/>
        <w:ind w:firstLine="708"/>
        <w:jc w:val="both"/>
        <w:rPr>
          <w:rFonts w:ascii="Times New Roman" w:hAnsi="Times New Roman" w:cs="Times New Roman"/>
          <w:sz w:val="20"/>
          <w:szCs w:val="20"/>
        </w:rPr>
      </w:pPr>
    </w:p>
    <w:p w14:paraId="18D0EBEF" w14:textId="77777777" w:rsidR="008534BA" w:rsidRDefault="008534BA" w:rsidP="008534BA">
      <w:pPr>
        <w:spacing w:after="0" w:line="360" w:lineRule="auto"/>
        <w:ind w:firstLine="708"/>
        <w:jc w:val="both"/>
        <w:rPr>
          <w:rFonts w:ascii="Times New Roman" w:hAnsi="Times New Roman" w:cs="Times New Roman"/>
          <w:sz w:val="20"/>
          <w:szCs w:val="20"/>
        </w:rPr>
      </w:pPr>
      <w:r w:rsidRPr="008534BA">
        <w:rPr>
          <w:rFonts w:ascii="Times New Roman" w:hAnsi="Times New Roman" w:cs="Times New Roman"/>
          <w:b/>
          <w:bCs/>
          <w:sz w:val="20"/>
          <w:szCs w:val="20"/>
        </w:rPr>
        <w:t>a) Contratante – Município de Paverama/RS:</w:t>
      </w:r>
    </w:p>
    <w:p w14:paraId="5D93BDC0" w14:textId="77777777" w:rsidR="00832B3C" w:rsidRPr="00832B3C" w:rsidRDefault="00832B3C" w:rsidP="00832B3C">
      <w:pPr>
        <w:spacing w:after="0" w:line="360" w:lineRule="auto"/>
        <w:ind w:firstLine="709"/>
        <w:jc w:val="both"/>
        <w:rPr>
          <w:rFonts w:ascii="Times New Roman" w:hAnsi="Times New Roman" w:cs="Times New Roman"/>
          <w:sz w:val="20"/>
          <w:szCs w:val="20"/>
        </w:rPr>
      </w:pPr>
      <w:r w:rsidRPr="00832B3C">
        <w:rPr>
          <w:rFonts w:ascii="Times New Roman" w:hAnsi="Times New Roman" w:cs="Times New Roman"/>
          <w:sz w:val="20"/>
          <w:szCs w:val="20"/>
        </w:rPr>
        <w:t xml:space="preserve">A distribuição de responsabilidades prevista nesta Matriz de Riscos observa os princípios da eficiência, da razoabilidade, da proporcionalidade, da prevenção e da adequada alocação objetiva de riscos, nos termos da Lei nº 14.133/2021, considerando a natureza específica da contratação, consistente em obra de engenharia para implantação de infraestrutura viária urbana em trechos das Ruas </w:t>
      </w:r>
      <w:proofErr w:type="spellStart"/>
      <w:r w:rsidRPr="00832B3C">
        <w:rPr>
          <w:rFonts w:ascii="Times New Roman" w:hAnsi="Times New Roman" w:cs="Times New Roman"/>
          <w:sz w:val="20"/>
          <w:szCs w:val="20"/>
        </w:rPr>
        <w:t>Marcírio</w:t>
      </w:r>
      <w:proofErr w:type="spellEnd"/>
      <w:r w:rsidRPr="00832B3C">
        <w:rPr>
          <w:rFonts w:ascii="Times New Roman" w:hAnsi="Times New Roman" w:cs="Times New Roman"/>
          <w:sz w:val="20"/>
          <w:szCs w:val="20"/>
        </w:rPr>
        <w:t xml:space="preserve"> David de Azevedo, João Pereira de Aguiar e Aldo Bilhar de Azevedo, no Bairro Morro Bonito, compreendendo terraplenagem, limpeza mecanizada, escavações, movimentação de solo, regularização e compactação do subleito, </w:t>
      </w:r>
      <w:proofErr w:type="spellStart"/>
      <w:r w:rsidRPr="00832B3C">
        <w:rPr>
          <w:rFonts w:ascii="Times New Roman" w:hAnsi="Times New Roman" w:cs="Times New Roman"/>
          <w:sz w:val="20"/>
          <w:szCs w:val="20"/>
        </w:rPr>
        <w:t>microdrenagem</w:t>
      </w:r>
      <w:proofErr w:type="spellEnd"/>
      <w:r w:rsidRPr="00832B3C">
        <w:rPr>
          <w:rFonts w:ascii="Times New Roman" w:hAnsi="Times New Roman" w:cs="Times New Roman"/>
          <w:sz w:val="20"/>
          <w:szCs w:val="20"/>
        </w:rPr>
        <w:t xml:space="preserve"> pluvial, assentamento de meios-fios, execução de passeios, rampas e dispositivos de acessibilidade, pavimentação com blocos intertravados de concreto — PVS, arremates e sinalização viária horizontal e vertical.</w:t>
      </w:r>
    </w:p>
    <w:p w14:paraId="07E34898" w14:textId="77777777" w:rsidR="00832B3C" w:rsidRPr="00832B3C" w:rsidRDefault="00832B3C" w:rsidP="00832B3C">
      <w:pPr>
        <w:spacing w:after="0" w:line="360" w:lineRule="auto"/>
        <w:ind w:firstLine="709"/>
        <w:jc w:val="both"/>
        <w:rPr>
          <w:rFonts w:ascii="Times New Roman" w:hAnsi="Times New Roman" w:cs="Times New Roman"/>
          <w:sz w:val="20"/>
          <w:szCs w:val="20"/>
        </w:rPr>
      </w:pPr>
      <w:r w:rsidRPr="00832B3C">
        <w:rPr>
          <w:rFonts w:ascii="Times New Roman" w:hAnsi="Times New Roman" w:cs="Times New Roman"/>
          <w:sz w:val="20"/>
          <w:szCs w:val="20"/>
        </w:rPr>
        <w:t>A alocação adotada tem por finalidade definir, de forma objetiva, transparente e previamente conhecida pelas partes, os riscos atribuídos ao Contratante, à Contratada e aqueles de responsabilidade compartilhada, bem como estabelecer critérios técnicos para análise de seus eventuais reflexos sobre o prazo de execução, o custo da obra, a qualidade da infraestrutura implantada e o equilíbrio econômico-financeiro do contrato, prevenindo controvérsias e reduzindo assimetrias informacionais ao longo da execução contratual.</w:t>
      </w:r>
    </w:p>
    <w:p w14:paraId="35649A87" w14:textId="77777777" w:rsidR="00832B3C" w:rsidRPr="00832B3C" w:rsidRDefault="00832B3C" w:rsidP="00832B3C">
      <w:pPr>
        <w:spacing w:after="0" w:line="360" w:lineRule="auto"/>
        <w:ind w:firstLine="709"/>
        <w:jc w:val="both"/>
        <w:rPr>
          <w:rFonts w:ascii="Times New Roman" w:hAnsi="Times New Roman" w:cs="Times New Roman"/>
          <w:b/>
          <w:bCs/>
          <w:sz w:val="20"/>
          <w:szCs w:val="20"/>
        </w:rPr>
      </w:pPr>
      <w:r w:rsidRPr="00832B3C">
        <w:rPr>
          <w:rFonts w:ascii="Times New Roman" w:hAnsi="Times New Roman" w:cs="Times New Roman"/>
          <w:b/>
          <w:bCs/>
          <w:sz w:val="20"/>
          <w:szCs w:val="20"/>
        </w:rPr>
        <w:t>a) Contratante — Município de Paverama/RS:</w:t>
      </w:r>
    </w:p>
    <w:p w14:paraId="3C135810" w14:textId="77777777" w:rsidR="00832B3C" w:rsidRDefault="00832B3C" w:rsidP="00832B3C">
      <w:pPr>
        <w:spacing w:after="0" w:line="360" w:lineRule="auto"/>
        <w:ind w:firstLine="709"/>
        <w:jc w:val="both"/>
        <w:rPr>
          <w:rFonts w:ascii="Times New Roman" w:hAnsi="Times New Roman" w:cs="Times New Roman"/>
          <w:sz w:val="20"/>
          <w:szCs w:val="20"/>
        </w:rPr>
      </w:pPr>
      <w:r w:rsidRPr="00832B3C">
        <w:rPr>
          <w:rFonts w:ascii="Times New Roman" w:hAnsi="Times New Roman" w:cs="Times New Roman"/>
          <w:sz w:val="20"/>
          <w:szCs w:val="20"/>
        </w:rPr>
        <w:t>Compete ao Contratante assumir os riscos decorrentes de atos, fatos ou omissões de natureza administrativa, institucional, normativa ou decisória, bem como aqueles que extrapolem o risco ordinário da atividade empresarial da Contratada e que não possam ser por ela razoavelmente gerenciados, especialmente:</w:t>
      </w:r>
    </w:p>
    <w:p w14:paraId="7C424017" w14:textId="77777777" w:rsidR="00832B3C" w:rsidRDefault="00832B3C" w:rsidP="00832B3C">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32B3C">
        <w:rPr>
          <w:rFonts w:ascii="Times New Roman" w:hAnsi="Times New Roman" w:cs="Times New Roman"/>
          <w:sz w:val="20"/>
          <w:szCs w:val="20"/>
        </w:rPr>
        <w:t xml:space="preserve">A disponibilização das áreas de intervenção necessárias à execução da obra, garantindo acesso regular, organizado e compatível com o cronograma aprovado; </w:t>
      </w:r>
    </w:p>
    <w:p w14:paraId="257CB552" w14:textId="77777777" w:rsidR="00832B3C" w:rsidRDefault="00832B3C" w:rsidP="00832B3C">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32B3C">
        <w:rPr>
          <w:rFonts w:ascii="Times New Roman" w:hAnsi="Times New Roman" w:cs="Times New Roman"/>
          <w:sz w:val="20"/>
          <w:szCs w:val="20"/>
        </w:rPr>
        <w:t xml:space="preserve">A adoção de providências institucionais relativas à organização do tráfego local, desvios eventualmente necessários e comunicação com a comunidade, quando extrapolarem a esfera de atuação da Contratada; </w:t>
      </w:r>
    </w:p>
    <w:p w14:paraId="07A3147F" w14:textId="77777777" w:rsidR="00832B3C" w:rsidRDefault="00832B3C" w:rsidP="00832B3C">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32B3C">
        <w:rPr>
          <w:rFonts w:ascii="Times New Roman" w:hAnsi="Times New Roman" w:cs="Times New Roman"/>
          <w:sz w:val="20"/>
          <w:szCs w:val="20"/>
        </w:rPr>
        <w:t xml:space="preserve">A expedição de ordens formais que impliquem modificação superveniente do objeto, do método executivo, das soluções de engenharia ou das condições originalmente pactuadas; </w:t>
      </w:r>
    </w:p>
    <w:p w14:paraId="7E873922" w14:textId="77777777" w:rsidR="00832B3C" w:rsidRDefault="00832B3C" w:rsidP="00832B3C">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32B3C">
        <w:rPr>
          <w:rFonts w:ascii="Times New Roman" w:hAnsi="Times New Roman" w:cs="Times New Roman"/>
          <w:sz w:val="20"/>
          <w:szCs w:val="20"/>
        </w:rPr>
        <w:t xml:space="preserve">Alterações legislativas, regulamentares ou normativas supervenientes à contratação que impactem diretamente </w:t>
      </w:r>
      <w:proofErr w:type="spellStart"/>
      <w:r w:rsidRPr="00832B3C">
        <w:rPr>
          <w:rFonts w:ascii="Times New Roman" w:hAnsi="Times New Roman" w:cs="Times New Roman"/>
          <w:sz w:val="20"/>
          <w:szCs w:val="20"/>
        </w:rPr>
        <w:t>a</w:t>
      </w:r>
      <w:proofErr w:type="spellEnd"/>
      <w:r w:rsidRPr="00832B3C">
        <w:rPr>
          <w:rFonts w:ascii="Times New Roman" w:hAnsi="Times New Roman" w:cs="Times New Roman"/>
          <w:sz w:val="20"/>
          <w:szCs w:val="20"/>
        </w:rPr>
        <w:t xml:space="preserve"> execução contratual; </w:t>
      </w:r>
    </w:p>
    <w:p w14:paraId="4CDCD440" w14:textId="77777777" w:rsidR="00A8481A" w:rsidRDefault="00832B3C"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832B3C">
        <w:rPr>
          <w:rFonts w:ascii="Times New Roman" w:hAnsi="Times New Roman" w:cs="Times New Roman"/>
          <w:sz w:val="20"/>
          <w:szCs w:val="20"/>
        </w:rPr>
        <w:t xml:space="preserve">Determinações administrativas que resultem em paralisação ou suspensão da obra por razões institucionais, orçamentárias, estratégicas ou de interesse público; e </w:t>
      </w:r>
    </w:p>
    <w:p w14:paraId="32062398" w14:textId="54066EFC" w:rsidR="00832B3C" w:rsidRPr="00832B3C"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00832B3C" w:rsidRPr="00832B3C">
        <w:rPr>
          <w:rFonts w:ascii="Times New Roman" w:hAnsi="Times New Roman" w:cs="Times New Roman"/>
          <w:sz w:val="20"/>
          <w:szCs w:val="20"/>
        </w:rPr>
        <w:t>A ocorrência de eventos extraordinários e imprevisíveis alheios à esfera de atuação da Contratada, desde que comprovado o nexo causal e o impacto efetivo sobre o contrato.</w:t>
      </w:r>
    </w:p>
    <w:p w14:paraId="6F2D00A6" w14:textId="77777777" w:rsidR="008534BA" w:rsidRPr="008534BA" w:rsidRDefault="008534BA" w:rsidP="008534BA">
      <w:pPr>
        <w:spacing w:after="0" w:line="360" w:lineRule="auto"/>
        <w:ind w:firstLine="709"/>
        <w:jc w:val="both"/>
        <w:rPr>
          <w:rFonts w:ascii="Times New Roman" w:hAnsi="Times New Roman" w:cs="Times New Roman"/>
          <w:b/>
          <w:bCs/>
          <w:sz w:val="20"/>
          <w:szCs w:val="20"/>
        </w:rPr>
      </w:pPr>
      <w:r w:rsidRPr="008534BA">
        <w:rPr>
          <w:rFonts w:ascii="Times New Roman" w:hAnsi="Times New Roman" w:cs="Times New Roman"/>
          <w:b/>
          <w:bCs/>
          <w:sz w:val="20"/>
          <w:szCs w:val="20"/>
        </w:rPr>
        <w:t>NOS CASOS EM QUE A MATERIALIZAÇÃO DESSES RISCOS RESULTAR EM IMPACTO RELEVANTE SOBRE O PRAZO DE EXECUÇÃO OU SOBRE OS CUSTOS ORIGINALMENTE PREVISTOS, PODERÁ SER ANALISADA, DE FORMA MOTIVADA E EXCEPCIONAL, A NECESSIDADE DE PRORROGAÇÃO CONTRATUAL E/OU RECOMPOSIÇÃO DO EQUILÍBRIO ECONÔMICO-FINANCEIRO, OBSERVADOS OS LIMITES LEGAIS, ESTA MATRIZ DE RISCOS E AS DISPOSIÇÕES DA LEI Nº 14.133/2021.</w:t>
      </w:r>
    </w:p>
    <w:p w14:paraId="73F86970" w14:textId="77777777" w:rsidR="002E7759" w:rsidRPr="003A0FDA" w:rsidRDefault="002E7759" w:rsidP="002E7759">
      <w:pPr>
        <w:spacing w:after="0" w:line="360" w:lineRule="auto"/>
        <w:jc w:val="both"/>
        <w:rPr>
          <w:rFonts w:ascii="Times New Roman" w:hAnsi="Times New Roman" w:cs="Times New Roman"/>
          <w:sz w:val="20"/>
          <w:szCs w:val="20"/>
        </w:rPr>
      </w:pPr>
    </w:p>
    <w:p w14:paraId="1BF1E952" w14:textId="77777777" w:rsidR="002E7759" w:rsidRPr="003A0FDA" w:rsidRDefault="002E7759" w:rsidP="002E7759">
      <w:pPr>
        <w:spacing w:after="0" w:line="360" w:lineRule="auto"/>
        <w:ind w:firstLine="708"/>
        <w:jc w:val="both"/>
        <w:rPr>
          <w:rFonts w:ascii="Times New Roman" w:hAnsi="Times New Roman" w:cs="Times New Roman"/>
          <w:b/>
          <w:bCs/>
          <w:sz w:val="20"/>
          <w:szCs w:val="20"/>
        </w:rPr>
      </w:pPr>
      <w:r w:rsidRPr="003A0FDA">
        <w:rPr>
          <w:rFonts w:ascii="Times New Roman" w:hAnsi="Times New Roman" w:cs="Times New Roman"/>
          <w:b/>
          <w:bCs/>
          <w:sz w:val="20"/>
          <w:szCs w:val="20"/>
        </w:rPr>
        <w:t>b) Contratada:</w:t>
      </w:r>
    </w:p>
    <w:p w14:paraId="6B552E6B" w14:textId="77777777" w:rsidR="00A8481A" w:rsidRDefault="00A8481A" w:rsidP="00A8481A">
      <w:pPr>
        <w:spacing w:after="0" w:line="360" w:lineRule="auto"/>
        <w:ind w:firstLine="708"/>
        <w:jc w:val="both"/>
        <w:rPr>
          <w:rFonts w:ascii="Times New Roman" w:hAnsi="Times New Roman" w:cs="Times New Roman"/>
          <w:sz w:val="20"/>
          <w:szCs w:val="20"/>
        </w:rPr>
      </w:pPr>
      <w:r w:rsidRPr="00A8481A">
        <w:rPr>
          <w:rFonts w:ascii="Times New Roman" w:hAnsi="Times New Roman" w:cs="Times New Roman"/>
          <w:sz w:val="20"/>
          <w:szCs w:val="20"/>
        </w:rPr>
        <w:t>Compete à Contratada assumir integralmente os riscos inerentes à execução do objeto, característicos do risco empresarial ordinário, por se tratarem de eventos previsíveis, mensuráveis e passíveis de gerenciamento técnico, operacional, econômico e logístico, especialmente aqueles relacionados à execução da obra de infraestrutura viária, incluindo, mas não se limitando a:</w:t>
      </w:r>
    </w:p>
    <w:p w14:paraId="4FBE61D1"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A organização, gestão e supervisão da mão de obra empregada, inclusive quanto ao cumprimento integral das obrigações trabalhistas, previdenciárias, fiscais e de segurança e saúde no trabalho; </w:t>
      </w:r>
    </w:p>
    <w:p w14:paraId="633A23E3"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A execução adequada dos serviços de terraplenagem, limpeza mecanizada, escavações, movimentação de solo, regularização e compactação do subleito, implantação da </w:t>
      </w:r>
      <w:proofErr w:type="spellStart"/>
      <w:r w:rsidRPr="00A8481A">
        <w:rPr>
          <w:rFonts w:ascii="Times New Roman" w:hAnsi="Times New Roman" w:cs="Times New Roman"/>
          <w:sz w:val="20"/>
          <w:szCs w:val="20"/>
        </w:rPr>
        <w:t>microdrenagem</w:t>
      </w:r>
      <w:proofErr w:type="spellEnd"/>
      <w:r w:rsidRPr="00A8481A">
        <w:rPr>
          <w:rFonts w:ascii="Times New Roman" w:hAnsi="Times New Roman" w:cs="Times New Roman"/>
          <w:sz w:val="20"/>
          <w:szCs w:val="20"/>
        </w:rPr>
        <w:t xml:space="preserve"> pluvial, assentamento de meios-fios, execução de passeios, rampas e dispositivos de acessibilidade, pavimentação com blocos intertravados de concreto — PVS, rejuntamentos, arremates e sinalização viária, em estrita conformidade com os projetos, memoriais descritivos, planilhas orçamentárias e normas técnicas aplicáveis; </w:t>
      </w:r>
    </w:p>
    <w:p w14:paraId="7CA8B288"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A aquisição, transporte, armazenamento e correta aplicação dos materiais, incluindo blocos intertravados, meios-fios, tubos, agregados, materiais de assentamento, concreto, sinalização e demais insumos, assegurando qualidade, procedência e compatibilidade com as especificações técnicas; </w:t>
      </w:r>
    </w:p>
    <w:p w14:paraId="0E617BC1"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A compatibilização técnica dos serviços com as condições reais dos trechos, mediante verificação prévia, planejamento executivo e acompanhamento técnico contínuo; </w:t>
      </w:r>
    </w:p>
    <w:p w14:paraId="17DADEFF"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A prevenção de falhas executivas que comprometam a durabilidade do pavimento intertravado, o funcionamento da </w:t>
      </w:r>
      <w:proofErr w:type="spellStart"/>
      <w:r w:rsidRPr="00A8481A">
        <w:rPr>
          <w:rFonts w:ascii="Times New Roman" w:hAnsi="Times New Roman" w:cs="Times New Roman"/>
          <w:sz w:val="20"/>
          <w:szCs w:val="20"/>
        </w:rPr>
        <w:t>microdrenagem</w:t>
      </w:r>
      <w:proofErr w:type="spellEnd"/>
      <w:r w:rsidRPr="00A8481A">
        <w:rPr>
          <w:rFonts w:ascii="Times New Roman" w:hAnsi="Times New Roman" w:cs="Times New Roman"/>
          <w:sz w:val="20"/>
          <w:szCs w:val="20"/>
        </w:rPr>
        <w:t xml:space="preserve">, a estabilidade do subleito, o travamento dos blocos, a acessibilidade, a sinalização ou a segurança da circulação; </w:t>
      </w:r>
    </w:p>
    <w:p w14:paraId="78001F4F"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A organização do canteiro e da logística de obra em espaço compatível com a dinâmica das vias e do entorno, garantindo segurança de trabalhadores, usuários, moradores e terceiros; </w:t>
      </w:r>
    </w:p>
    <w:p w14:paraId="01D8689A"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A prevenção de acidentes de trabalho, danos ao patrimônio público, aos imóveis lindeiros ou a terceiros; e </w:t>
      </w:r>
    </w:p>
    <w:p w14:paraId="4CB271C3" w14:textId="179425AF" w:rsidR="00A8481A" w:rsidRP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A manutenção da regularidade documental, técnica e profissional exigida para a execução da obra, incluindo ART/RRT, registros de execução, controles técnicos e demais documentos exigíveis.</w:t>
      </w:r>
    </w:p>
    <w:p w14:paraId="11CF16D2" w14:textId="466E6E19" w:rsidR="002E7759" w:rsidRPr="003A0FDA" w:rsidRDefault="002E7759" w:rsidP="002E7759">
      <w:pPr>
        <w:spacing w:after="0" w:line="360" w:lineRule="auto"/>
        <w:ind w:firstLine="708"/>
        <w:jc w:val="both"/>
        <w:rPr>
          <w:rFonts w:ascii="Times New Roman" w:hAnsi="Times New Roman" w:cs="Times New Roman"/>
          <w:sz w:val="20"/>
          <w:szCs w:val="20"/>
        </w:rPr>
      </w:pPr>
      <w:r w:rsidRPr="003A0FDA">
        <w:rPr>
          <w:rFonts w:ascii="Times New Roman" w:hAnsi="Times New Roman" w:cs="Times New Roman"/>
          <w:b/>
          <w:bCs/>
          <w:sz w:val="20"/>
          <w:szCs w:val="20"/>
        </w:rPr>
        <w:t>A OCORRÊNCIA DESSES RISCOS NÃO ENSEJARÁ, COMO REGRA, DIREITO À PRORROGAÇÃO DE PRAZO OU À RECOMPOSIÇÃO DO EQUILÍBRIO ECONÔMICO-FINANCEIRO, POR SE TRATAREM DE RISCOS ORDINÁRIOS, PREVISÍVEIS E DIRETAMENTE VINCULADOS À ATIVIDADE EMPRESARIAL DA CONTRATADA E À ADEQUADA GESTÃO DA EXECUÇÃO CONTRATUAL.</w:t>
      </w:r>
    </w:p>
    <w:p w14:paraId="50AB432A" w14:textId="77777777" w:rsidR="002E7759" w:rsidRPr="003A0FDA" w:rsidRDefault="002E7759" w:rsidP="002E7759">
      <w:pPr>
        <w:spacing w:after="0" w:line="360" w:lineRule="auto"/>
        <w:jc w:val="both"/>
        <w:rPr>
          <w:rFonts w:ascii="Times New Roman" w:hAnsi="Times New Roman" w:cs="Times New Roman"/>
          <w:sz w:val="20"/>
          <w:szCs w:val="20"/>
        </w:rPr>
      </w:pPr>
    </w:p>
    <w:p w14:paraId="553C8A08" w14:textId="77777777" w:rsidR="002E7759" w:rsidRPr="003A0FDA" w:rsidRDefault="002E7759" w:rsidP="002E7759">
      <w:pPr>
        <w:spacing w:after="0" w:line="360" w:lineRule="auto"/>
        <w:ind w:firstLine="708"/>
        <w:jc w:val="both"/>
        <w:rPr>
          <w:rFonts w:ascii="Times New Roman" w:hAnsi="Times New Roman" w:cs="Times New Roman"/>
          <w:b/>
          <w:bCs/>
          <w:sz w:val="20"/>
          <w:szCs w:val="20"/>
        </w:rPr>
      </w:pPr>
      <w:r w:rsidRPr="003A0FDA">
        <w:rPr>
          <w:rFonts w:ascii="Times New Roman" w:hAnsi="Times New Roman" w:cs="Times New Roman"/>
          <w:b/>
          <w:bCs/>
          <w:sz w:val="20"/>
          <w:szCs w:val="20"/>
        </w:rPr>
        <w:t>c) Riscos Compartilhados:</w:t>
      </w:r>
    </w:p>
    <w:p w14:paraId="4CAB4F9B" w14:textId="77777777" w:rsidR="00A8481A" w:rsidRDefault="00A8481A" w:rsidP="00A8481A">
      <w:pPr>
        <w:spacing w:after="0" w:line="360" w:lineRule="auto"/>
        <w:ind w:firstLine="709"/>
        <w:jc w:val="both"/>
        <w:rPr>
          <w:rFonts w:ascii="Times New Roman" w:hAnsi="Times New Roman" w:cs="Times New Roman"/>
          <w:sz w:val="20"/>
          <w:szCs w:val="20"/>
        </w:rPr>
      </w:pPr>
      <w:r w:rsidRPr="00A8481A">
        <w:rPr>
          <w:rFonts w:ascii="Times New Roman" w:hAnsi="Times New Roman" w:cs="Times New Roman"/>
          <w:sz w:val="20"/>
          <w:szCs w:val="20"/>
        </w:rPr>
        <w:t>Serão considerados riscos compartilhados aqueles cuja prevenção, mitigação ou gerenciamento demande atuação coordenada entre Contratante e Contratada, em razão de sua natureza, da necessidade de compatibilização institucional ou da existência de fatores parcialmente controláveis pelas partes, tais como:</w:t>
      </w:r>
    </w:p>
    <w:p w14:paraId="74868A2C"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Interferências não previamente identificadas em redes públicas, instalações subterrâneas, dispositivos existentes, acessos lindeiros ou demais estruturas nos trechos objeto da obra, desde que não detectáveis por vistoria técnica ordinária; </w:t>
      </w:r>
    </w:p>
    <w:p w14:paraId="55305C88"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Necessidade de ajustes operacionais decorrentes da manutenção da circulação local, do acesso a propriedades lindeiras, da compatibilização com o tráfego ou da preservação da mobilidade de pedestres e veículos durante a execução; </w:t>
      </w:r>
    </w:p>
    <w:p w14:paraId="0D76D9E2"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Eventos climáticos de intensidade excepcional que comprometam a execução de etapas críticas, especialmente terraplenagem, escavações, compactação do subleito, </w:t>
      </w:r>
      <w:proofErr w:type="spellStart"/>
      <w:r w:rsidRPr="00A8481A">
        <w:rPr>
          <w:rFonts w:ascii="Times New Roman" w:hAnsi="Times New Roman" w:cs="Times New Roman"/>
          <w:sz w:val="20"/>
          <w:szCs w:val="20"/>
        </w:rPr>
        <w:t>microdrenagem</w:t>
      </w:r>
      <w:proofErr w:type="spellEnd"/>
      <w:r w:rsidRPr="00A8481A">
        <w:rPr>
          <w:rFonts w:ascii="Times New Roman" w:hAnsi="Times New Roman" w:cs="Times New Roman"/>
          <w:sz w:val="20"/>
          <w:szCs w:val="20"/>
        </w:rPr>
        <w:t xml:space="preserve">, assentamento dos blocos intertravados, execução de passeios e sinalização; </w:t>
      </w:r>
    </w:p>
    <w:p w14:paraId="7BF0EC7E" w14:textId="77777777" w:rsid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 xml:space="preserve">Situações caracterizadas como caso fortuito ou força maior, devidamente comprovadas; e </w:t>
      </w:r>
    </w:p>
    <w:p w14:paraId="14DC303F" w14:textId="7521DFAA" w:rsidR="00A8481A" w:rsidRPr="00A8481A" w:rsidRDefault="00A8481A" w:rsidP="00A8481A">
      <w:pPr>
        <w:spacing w:after="0" w:line="360" w:lineRule="auto"/>
        <w:ind w:firstLine="1418"/>
        <w:jc w:val="both"/>
        <w:rPr>
          <w:rFonts w:ascii="Times New Roman" w:hAnsi="Times New Roman" w:cs="Times New Roman"/>
          <w:sz w:val="20"/>
          <w:szCs w:val="20"/>
        </w:rPr>
      </w:pPr>
      <w:r>
        <w:rPr>
          <w:rFonts w:ascii="Times New Roman" w:hAnsi="Times New Roman" w:cs="Times New Roman"/>
          <w:sz w:val="20"/>
          <w:szCs w:val="20"/>
        </w:rPr>
        <w:t xml:space="preserve">- </w:t>
      </w:r>
      <w:r w:rsidRPr="00A8481A">
        <w:rPr>
          <w:rFonts w:ascii="Times New Roman" w:hAnsi="Times New Roman" w:cs="Times New Roman"/>
          <w:sz w:val="20"/>
          <w:szCs w:val="20"/>
        </w:rPr>
        <w:t>Impactos operacionais relevantes que exijam reprogramação consensual do cronograma para preservação da segurança viária, da mobilidade local, da acessibilidade, da drenagem provisória ou da adequada execução técnica dos serviços.</w:t>
      </w:r>
    </w:p>
    <w:p w14:paraId="1915B63B" w14:textId="7462BF77" w:rsidR="002E7759" w:rsidRDefault="002E7759" w:rsidP="008534BA">
      <w:pPr>
        <w:spacing w:after="0" w:line="360" w:lineRule="auto"/>
        <w:ind w:firstLine="709"/>
        <w:jc w:val="both"/>
        <w:rPr>
          <w:rFonts w:ascii="Times New Roman" w:hAnsi="Times New Roman" w:cs="Times New Roman"/>
          <w:b/>
          <w:bCs/>
          <w:sz w:val="20"/>
          <w:szCs w:val="20"/>
        </w:rPr>
      </w:pPr>
      <w:r w:rsidRPr="003A0FDA">
        <w:rPr>
          <w:rFonts w:ascii="Times New Roman" w:hAnsi="Times New Roman" w:cs="Times New Roman"/>
          <w:b/>
          <w:bCs/>
          <w:sz w:val="20"/>
          <w:szCs w:val="20"/>
        </w:rPr>
        <w:t>NESSAS HIPÓTESES, OS EFEITOS CONTRATUAIS SERÃO AVALIADOS À LUZ DESTA MATRIZ DE RISCOS, CONSIDERANDO-SE A CONDUTA DAS PARTES, O GRAU DE DILIGÊNCIA ADOTADO, A POSSIBILIDADE DE MITIGAÇÃO DO EVENTO E O IMPACTO EFETIVO SOBRE O PRAZO, O CUSTO E A QUALIDADE DA OBRA, SEMPRE EM ESTRITA OBSERVÂNCIA À LEGISLAÇÃO VIGENTE E AOS PRINCÍPIOS DA BOA-FÉ OBJETIVA E DA SEGURANÇA JURÍDICA.</w:t>
      </w:r>
    </w:p>
    <w:p w14:paraId="70FCBE7C" w14:textId="77777777" w:rsidR="002E7759" w:rsidRPr="003A0FDA" w:rsidRDefault="002E7759" w:rsidP="002E7759">
      <w:pPr>
        <w:spacing w:after="0" w:line="360" w:lineRule="auto"/>
        <w:ind w:firstLine="708"/>
        <w:jc w:val="both"/>
        <w:rPr>
          <w:rFonts w:ascii="Times New Roman" w:hAnsi="Times New Roman" w:cs="Times New Roman"/>
          <w:b/>
          <w:bCs/>
          <w:sz w:val="20"/>
          <w:szCs w:val="20"/>
        </w:rPr>
      </w:pPr>
    </w:p>
    <w:p w14:paraId="2B249F12"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1.4. ESTRATÉGIAS DE GERENCIAMENTO DE RISCOS:</w:t>
      </w:r>
    </w:p>
    <w:p w14:paraId="36F7517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gestão de riscos será contínua ao longo de toda a execução contratual, devendo observar procedimentos formais que assegurem prevenção, mitigação e resposta adequada aos eventos identificados.</w:t>
      </w:r>
    </w:p>
    <w:p w14:paraId="48FD8A4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I – Monitoramento Contínuo: revisão periódica dos riscos identificados, com avaliação de sua probabilidade e impacto; acompanhamento sistemático pela fiscalização e pelo gestor do contrato; e realização de reuniões técnicas periódicas para alinhamento e atualização do cenário de riscos.</w:t>
      </w:r>
    </w:p>
    <w:p w14:paraId="41AF11F9"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II – Planos de Ação e Mitigação: definição prévia de medidas mitigatórias para riscos classificados como críticos; estabelecimento de responsáveis, prazos e procedimentos para resposta a cada evento; adoção de ações corretivas imediatas quando constatado desvio relevante.</w:t>
      </w:r>
    </w:p>
    <w:p w14:paraId="7451562B"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 xml:space="preserve">III – Comunicação </w:t>
      </w:r>
      <w:proofErr w:type="spellStart"/>
      <w:r w:rsidRPr="00A61110">
        <w:rPr>
          <w:rFonts w:ascii="Times New Roman" w:hAnsi="Times New Roman" w:cs="Times New Roman"/>
          <w:sz w:val="20"/>
          <w:szCs w:val="20"/>
        </w:rPr>
        <w:t>Fo</w:t>
      </w:r>
      <w:r>
        <w:rPr>
          <w:rFonts w:ascii="Times New Roman" w:hAnsi="Times New Roman" w:cs="Times New Roman"/>
          <w:sz w:val="20"/>
          <w:szCs w:val="20"/>
        </w:rPr>
        <w:t>re</w:t>
      </w:r>
      <w:r w:rsidRPr="00A61110">
        <w:rPr>
          <w:rFonts w:ascii="Times New Roman" w:hAnsi="Times New Roman" w:cs="Times New Roman"/>
          <w:sz w:val="20"/>
          <w:szCs w:val="20"/>
        </w:rPr>
        <w:t>rmal</w:t>
      </w:r>
      <w:proofErr w:type="spellEnd"/>
      <w:r w:rsidRPr="00A61110">
        <w:rPr>
          <w:rFonts w:ascii="Times New Roman" w:hAnsi="Times New Roman" w:cs="Times New Roman"/>
          <w:sz w:val="20"/>
          <w:szCs w:val="20"/>
        </w:rPr>
        <w:t>: comunicação imediata de qualquer ocorrência que possa comprometer prazo, custo, qualidade ou segurança; registro formal das ocorrências, com indicação de causas, impactos e providências adotadas; e encaminhamento tempestivo à fiscalização e ao gestor do contrato.</w:t>
      </w:r>
    </w:p>
    <w:p w14:paraId="6F63B238"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IV – Documentação e Rastreabilidade: registro de todos os eventos, decisões e medidas no processo administrativo; manutenção de relatórios, notificações, medições, pareceres técnicos e evidências; e garantia de transparência e subsídio à tomada de decisões administrativas e de controle.</w:t>
      </w:r>
    </w:p>
    <w:p w14:paraId="5EB8FF42" w14:textId="77777777" w:rsidR="002E7759" w:rsidRPr="00A61110" w:rsidRDefault="002E7759" w:rsidP="002E7759">
      <w:pPr>
        <w:spacing w:after="0" w:line="360" w:lineRule="auto"/>
        <w:jc w:val="both"/>
        <w:rPr>
          <w:rFonts w:ascii="Times New Roman" w:hAnsi="Times New Roman" w:cs="Times New Roman"/>
          <w:sz w:val="20"/>
          <w:szCs w:val="20"/>
        </w:rPr>
      </w:pPr>
    </w:p>
    <w:p w14:paraId="7A257CFC"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1.5. CLÁUSULAS CONTRATUAIS ESPECÍFICAS</w:t>
      </w:r>
    </w:p>
    <w:p w14:paraId="0B38D2F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Matriz de Riscos integra o contrato como cláusula definidora do equilíbrio econômico-financeiro inicial e deverá ser observada obrigatoriamente na análise de qualquer pleito contratual.</w:t>
      </w:r>
    </w:p>
    <w:p w14:paraId="1E026503"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Revisão de Cronograma e Termos Aditivos: A revisão de prazos e a formalização de termos aditivos somente serão admitidas quando a materialização do risco estiver alocada, por esta Matriz, à parte que não deu causa ao evento e desde que devidamente comprovado o impacto na execução.</w:t>
      </w:r>
    </w:p>
    <w:p w14:paraId="5CE9F3A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b) Equilíbrio Econômico-Financeiro: Presume-se mantido o equilíbrio econômico-financeiro em relação aos riscos assumidos por cada parte. Pedidos de recomposição somente serão analisados quando o evento não estiver alocado ao requerente, ressalvadas as hipóteses legais, como alterações unilaterais da Administração ou modificação de tributos diretamente incidentes.</w:t>
      </w:r>
    </w:p>
    <w:p w14:paraId="163596DA"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c) Seguros Obrigatórios: A Contratada deverá manter seguros compatíveis com os riscos a ela atribuídos, incluindo riscos de execução, acidentes de trabalho e danos a terceiros, considerando tais custos como integrantes do preço ofertado.</w:t>
      </w:r>
    </w:p>
    <w:p w14:paraId="20E8F7B9"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d) Aderência ao Projeto Básico: Por se tratar de obra com solução técnica previamente definida, a execução deverá observar estrita aderência ao Projeto Básico e aos memoriais descritivos, não sendo admitidas inovações metodológicas ou tecnológicas sem autorização expressa e formal da Administração.</w:t>
      </w:r>
    </w:p>
    <w:p w14:paraId="24743579" w14:textId="77777777" w:rsidR="002E7759" w:rsidRPr="00A61110" w:rsidRDefault="002E7759" w:rsidP="002E7759">
      <w:pPr>
        <w:spacing w:after="0" w:line="360" w:lineRule="auto"/>
        <w:jc w:val="both"/>
        <w:rPr>
          <w:rFonts w:ascii="Times New Roman" w:hAnsi="Times New Roman" w:cs="Times New Roman"/>
          <w:b/>
          <w:bCs/>
          <w:sz w:val="20"/>
          <w:szCs w:val="20"/>
        </w:rPr>
      </w:pPr>
    </w:p>
    <w:p w14:paraId="19341E74" w14:textId="77777777" w:rsidR="002E7759" w:rsidRPr="00A61110" w:rsidRDefault="002E7759" w:rsidP="002E7759">
      <w:pPr>
        <w:spacing w:after="0" w:line="360" w:lineRule="auto"/>
        <w:jc w:val="both"/>
        <w:rPr>
          <w:rFonts w:ascii="Times New Roman" w:hAnsi="Times New Roman" w:cs="Times New Roman"/>
          <w:b/>
          <w:bCs/>
          <w:sz w:val="20"/>
          <w:szCs w:val="20"/>
        </w:rPr>
      </w:pPr>
      <w:r w:rsidRPr="00A61110">
        <w:rPr>
          <w:rFonts w:ascii="Times New Roman" w:hAnsi="Times New Roman" w:cs="Times New Roman"/>
          <w:b/>
          <w:bCs/>
          <w:sz w:val="20"/>
          <w:szCs w:val="20"/>
        </w:rPr>
        <w:t>1.6. CONSIDERAÇÕES FINAIS:</w:t>
      </w:r>
    </w:p>
    <w:p w14:paraId="7F810428"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presente Matriz de Alocação de Riscos integra o conjunto de documentos que instruem a fase preparatória da contratação, constituindo cláusula definidora das responsabilidades entre as partes e parâmetro para preservação do equilíbrio econômico-financeiro inicial do contrato, nos termos da Lei nº 14.133/2021.</w:t>
      </w:r>
    </w:p>
    <w:p w14:paraId="13895F55" w14:textId="77777777"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Os riscos aqui identificados, classificados e alocados deverão ser obrigatoriamente observados na condução da licitação, na execução contratual e na análise de eventuais pleitos administrativos, especialmente aqueles relacionados à prorrogação de prazos, reequilíbrio econômico-financeiro, revisão contratual ou resolução do contrato.</w:t>
      </w:r>
    </w:p>
    <w:p w14:paraId="5B7B4CCD" w14:textId="4327D515" w:rsidR="002E7759" w:rsidRPr="00A61110" w:rsidRDefault="002E7759" w:rsidP="002E7759">
      <w:pPr>
        <w:spacing w:after="0" w:line="360" w:lineRule="auto"/>
        <w:jc w:val="both"/>
        <w:rPr>
          <w:rFonts w:ascii="Times New Roman" w:hAnsi="Times New Roman" w:cs="Times New Roman"/>
          <w:sz w:val="20"/>
          <w:szCs w:val="20"/>
        </w:rPr>
      </w:pPr>
      <w:r w:rsidRPr="00A61110">
        <w:rPr>
          <w:rFonts w:ascii="Times New Roman" w:hAnsi="Times New Roman" w:cs="Times New Roman"/>
          <w:sz w:val="20"/>
          <w:szCs w:val="20"/>
        </w:rPr>
        <w:tab/>
        <w:t>A Matriz ora aprovada reflete a avaliação técnica e administrativa do objeto, considerando a natureza da obra, o regime de execução, o Projeto Básico aprovado e a capacidade de gerenciamento de riscos por cada parte, devendo ser incorporada ao Edital e ao Contrato Administrativo como anexo integrante e indissociável.</w:t>
      </w:r>
    </w:p>
    <w:p w14:paraId="243E34C2" w14:textId="77777777" w:rsidR="002E7759" w:rsidRPr="00A61110" w:rsidRDefault="002E7759" w:rsidP="002E7759">
      <w:pPr>
        <w:spacing w:after="0" w:line="360" w:lineRule="auto"/>
        <w:ind w:firstLine="708"/>
        <w:jc w:val="both"/>
        <w:rPr>
          <w:rFonts w:ascii="Times New Roman" w:hAnsi="Times New Roman" w:cs="Times New Roman"/>
          <w:sz w:val="20"/>
          <w:szCs w:val="20"/>
        </w:rPr>
      </w:pPr>
      <w:r w:rsidRPr="00A61110">
        <w:rPr>
          <w:rFonts w:ascii="Times New Roman" w:hAnsi="Times New Roman" w:cs="Times New Roman"/>
          <w:sz w:val="20"/>
          <w:szCs w:val="20"/>
        </w:rPr>
        <w:t>Por estar de acordo com seu conteúdo, firma-se a presente Matriz de Riscos para que produza seus jurídicos e administrativos efeitos.</w:t>
      </w:r>
    </w:p>
    <w:p w14:paraId="017AB99E" w14:textId="77777777" w:rsidR="002E7759" w:rsidRPr="00A61110" w:rsidRDefault="002E7759" w:rsidP="002E7759">
      <w:pPr>
        <w:spacing w:after="0" w:line="360" w:lineRule="auto"/>
        <w:jc w:val="both"/>
        <w:rPr>
          <w:rFonts w:ascii="Times New Roman" w:hAnsi="Times New Roman" w:cs="Times New Roman"/>
          <w:sz w:val="20"/>
          <w:szCs w:val="20"/>
        </w:rPr>
      </w:pPr>
    </w:p>
    <w:p w14:paraId="5C2F8C48" w14:textId="07AA95EB" w:rsidR="002E7759" w:rsidRPr="008C2A1A" w:rsidRDefault="002E7759" w:rsidP="002E7759">
      <w:pPr>
        <w:spacing w:after="0" w:line="360" w:lineRule="auto"/>
        <w:jc w:val="center"/>
        <w:rPr>
          <w:rFonts w:ascii="Times New Roman" w:hAnsi="Times New Roman" w:cs="Times New Roman"/>
          <w:sz w:val="20"/>
          <w:szCs w:val="20"/>
        </w:rPr>
      </w:pPr>
      <w:r w:rsidRPr="008C2A1A">
        <w:rPr>
          <w:rFonts w:ascii="Times New Roman" w:hAnsi="Times New Roman" w:cs="Times New Roman"/>
          <w:sz w:val="20"/>
          <w:szCs w:val="20"/>
        </w:rPr>
        <w:t xml:space="preserve">Paverama/RS, </w:t>
      </w:r>
      <w:r w:rsidR="008C2A1A" w:rsidRPr="008C2A1A">
        <w:rPr>
          <w:rFonts w:ascii="Times New Roman" w:hAnsi="Times New Roman" w:cs="Times New Roman"/>
          <w:sz w:val="20"/>
          <w:szCs w:val="20"/>
        </w:rPr>
        <w:t>08</w:t>
      </w:r>
      <w:r w:rsidRPr="008C2A1A">
        <w:rPr>
          <w:rFonts w:ascii="Times New Roman" w:hAnsi="Times New Roman" w:cs="Times New Roman"/>
          <w:sz w:val="20"/>
          <w:szCs w:val="20"/>
        </w:rPr>
        <w:t xml:space="preserve"> de </w:t>
      </w:r>
      <w:r w:rsidR="008C2A1A" w:rsidRPr="008C2A1A">
        <w:rPr>
          <w:rFonts w:ascii="Times New Roman" w:hAnsi="Times New Roman" w:cs="Times New Roman"/>
          <w:sz w:val="20"/>
          <w:szCs w:val="20"/>
        </w:rPr>
        <w:t>junho</w:t>
      </w:r>
      <w:r w:rsidRPr="008C2A1A">
        <w:rPr>
          <w:rFonts w:ascii="Times New Roman" w:hAnsi="Times New Roman" w:cs="Times New Roman"/>
          <w:sz w:val="20"/>
          <w:szCs w:val="20"/>
        </w:rPr>
        <w:t xml:space="preserve"> de 2026.</w:t>
      </w:r>
    </w:p>
    <w:p w14:paraId="2725949B" w14:textId="77777777" w:rsidR="002E7759" w:rsidRPr="00A61110" w:rsidRDefault="002E7759" w:rsidP="002E7759">
      <w:pPr>
        <w:spacing w:after="0" w:line="360" w:lineRule="auto"/>
        <w:jc w:val="center"/>
        <w:rPr>
          <w:rFonts w:ascii="Times New Roman" w:hAnsi="Times New Roman" w:cs="Times New Roman"/>
          <w:b/>
          <w:bCs/>
          <w:sz w:val="20"/>
          <w:szCs w:val="20"/>
        </w:rPr>
      </w:pPr>
    </w:p>
    <w:p w14:paraId="67C2B335" w14:textId="77777777" w:rsidR="002E7759" w:rsidRPr="00A61110" w:rsidRDefault="002E7759" w:rsidP="002E7759">
      <w:pPr>
        <w:spacing w:after="0" w:line="360" w:lineRule="auto"/>
        <w:jc w:val="center"/>
        <w:rPr>
          <w:rFonts w:ascii="Times New Roman" w:hAnsi="Times New Roman" w:cs="Times New Roman"/>
          <w:b/>
          <w:bCs/>
          <w:sz w:val="20"/>
          <w:szCs w:val="20"/>
        </w:rPr>
      </w:pPr>
    </w:p>
    <w:p w14:paraId="3361DB3C" w14:textId="77777777" w:rsidR="002E7759" w:rsidRPr="00A61110" w:rsidRDefault="002E7759" w:rsidP="002E7759">
      <w:pPr>
        <w:spacing w:after="0" w:line="360" w:lineRule="auto"/>
        <w:jc w:val="center"/>
        <w:rPr>
          <w:rFonts w:ascii="Times New Roman" w:hAnsi="Times New Roman" w:cs="Times New Roman"/>
          <w:b/>
          <w:bCs/>
          <w:sz w:val="20"/>
          <w:szCs w:val="20"/>
        </w:rPr>
      </w:pPr>
      <w:r w:rsidRPr="00A61110">
        <w:rPr>
          <w:rFonts w:ascii="Times New Roman" w:hAnsi="Times New Roman" w:cs="Times New Roman"/>
          <w:b/>
          <w:bCs/>
          <w:sz w:val="20"/>
          <w:szCs w:val="20"/>
        </w:rPr>
        <w:t xml:space="preserve">ALEXANDRE LUÍS KLEBER </w:t>
      </w:r>
    </w:p>
    <w:p w14:paraId="4C24649D" w14:textId="77777777" w:rsidR="002E7759" w:rsidRPr="00A61110" w:rsidRDefault="002E7759" w:rsidP="002E7759">
      <w:pPr>
        <w:spacing w:after="0" w:line="360" w:lineRule="auto"/>
        <w:jc w:val="center"/>
        <w:rPr>
          <w:rFonts w:ascii="Times New Roman" w:hAnsi="Times New Roman" w:cs="Times New Roman"/>
          <w:b/>
          <w:bCs/>
          <w:sz w:val="20"/>
          <w:szCs w:val="20"/>
        </w:rPr>
      </w:pPr>
      <w:r w:rsidRPr="00A61110">
        <w:rPr>
          <w:rFonts w:ascii="Times New Roman" w:hAnsi="Times New Roman" w:cs="Times New Roman"/>
          <w:b/>
          <w:bCs/>
          <w:sz w:val="20"/>
          <w:szCs w:val="20"/>
        </w:rPr>
        <w:t>Secretário Municipal de Administração, Fazenda e Planejamento</w:t>
      </w:r>
    </w:p>
    <w:p w14:paraId="70904001" w14:textId="77777777" w:rsidR="002E7759" w:rsidRPr="002E7759" w:rsidRDefault="002E7759" w:rsidP="002E7759">
      <w:pPr>
        <w:spacing w:after="0" w:line="360" w:lineRule="auto"/>
        <w:jc w:val="both"/>
        <w:rPr>
          <w:rFonts w:ascii="Times New Roman" w:hAnsi="Times New Roman" w:cs="Times New Roman"/>
          <w:sz w:val="20"/>
          <w:szCs w:val="20"/>
        </w:rPr>
      </w:pPr>
    </w:p>
    <w:sectPr w:rsidR="002E7759" w:rsidRPr="002E7759" w:rsidSect="008534BA">
      <w:headerReference w:type="default" r:id="rId7"/>
      <w:footerReference w:type="default" r:id="rId8"/>
      <w:pgSz w:w="11906" w:h="16838"/>
      <w:pgMar w:top="2127" w:right="1134"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B1B53" w14:textId="77777777" w:rsidR="00690A60" w:rsidRDefault="00690A60" w:rsidP="00064AF4">
      <w:pPr>
        <w:spacing w:after="0" w:line="240" w:lineRule="auto"/>
      </w:pPr>
      <w:r>
        <w:separator/>
      </w:r>
    </w:p>
  </w:endnote>
  <w:endnote w:type="continuationSeparator" w:id="0">
    <w:p w14:paraId="773AFE78" w14:textId="77777777" w:rsidR="00690A60" w:rsidRDefault="00690A60" w:rsidP="00064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4E36" w14:textId="77777777" w:rsidR="00064AF4" w:rsidRDefault="00E46F24">
    <w:pPr>
      <w:pStyle w:val="Rodap"/>
    </w:pPr>
    <w:r>
      <w:rPr>
        <w:noProof/>
      </w:rPr>
      <w:drawing>
        <wp:anchor distT="0" distB="0" distL="114300" distR="114300" simplePos="0" relativeHeight="251661312" behindDoc="1" locked="0" layoutInCell="1" allowOverlap="1" wp14:anchorId="56D4D3A5" wp14:editId="32CE7EE1">
          <wp:simplePos x="0" y="0"/>
          <wp:positionH relativeFrom="margin">
            <wp:posOffset>320040</wp:posOffset>
          </wp:positionH>
          <wp:positionV relativeFrom="paragraph">
            <wp:posOffset>-127635</wp:posOffset>
          </wp:positionV>
          <wp:extent cx="5114290" cy="628650"/>
          <wp:effectExtent l="0" t="0" r="0" b="0"/>
          <wp:wrapNone/>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4538"/>
                  <a:stretch/>
                </pic:blipFill>
                <pic:spPr bwMode="auto">
                  <a:xfrm>
                    <a:off x="0" y="0"/>
                    <a:ext cx="511429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AF4">
      <w:rPr>
        <w:noProof/>
        <w:lang w:eastAsia="pt-BR"/>
      </w:rPr>
      <w:drawing>
        <wp:anchor distT="0" distB="0" distL="114300" distR="114300" simplePos="0" relativeHeight="251660288" behindDoc="1" locked="0" layoutInCell="1" allowOverlap="1" wp14:anchorId="49D3AAAB" wp14:editId="584731EB">
          <wp:simplePos x="0" y="0"/>
          <wp:positionH relativeFrom="column">
            <wp:posOffset>797560</wp:posOffset>
          </wp:positionH>
          <wp:positionV relativeFrom="paragraph">
            <wp:posOffset>9504680</wp:posOffset>
          </wp:positionV>
          <wp:extent cx="6323965" cy="1123950"/>
          <wp:effectExtent l="0" t="0" r="63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r w:rsidR="00064AF4">
      <w:rPr>
        <w:noProof/>
        <w:lang w:eastAsia="pt-BR"/>
      </w:rPr>
      <w:drawing>
        <wp:anchor distT="0" distB="0" distL="114300" distR="114300" simplePos="0" relativeHeight="251659264" behindDoc="1" locked="0" layoutInCell="1" allowOverlap="1" wp14:anchorId="3E52EF5E" wp14:editId="0EB5D1AD">
          <wp:simplePos x="0" y="0"/>
          <wp:positionH relativeFrom="column">
            <wp:posOffset>797560</wp:posOffset>
          </wp:positionH>
          <wp:positionV relativeFrom="paragraph">
            <wp:posOffset>9504680</wp:posOffset>
          </wp:positionV>
          <wp:extent cx="6323965" cy="1123950"/>
          <wp:effectExtent l="0" t="0" r="635"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DD27A" w14:textId="77777777" w:rsidR="00690A60" w:rsidRDefault="00690A60" w:rsidP="00064AF4">
      <w:pPr>
        <w:spacing w:after="0" w:line="240" w:lineRule="auto"/>
      </w:pPr>
      <w:r>
        <w:separator/>
      </w:r>
    </w:p>
  </w:footnote>
  <w:footnote w:type="continuationSeparator" w:id="0">
    <w:p w14:paraId="3133A7C7" w14:textId="77777777" w:rsidR="00690A60" w:rsidRDefault="00690A60" w:rsidP="00064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19D" w14:textId="77777777" w:rsidR="00064AF4" w:rsidRDefault="00064AF4">
    <w:pPr>
      <w:pStyle w:val="Cabealho"/>
    </w:pPr>
    <w:r>
      <w:rPr>
        <w:noProof/>
        <w:lang w:eastAsia="pt-BR"/>
      </w:rPr>
      <w:drawing>
        <wp:anchor distT="0" distB="0" distL="114300" distR="114300" simplePos="0" relativeHeight="251658240" behindDoc="1" locked="0" layoutInCell="1" allowOverlap="1" wp14:anchorId="66FBE70E" wp14:editId="1AE35C5E">
          <wp:simplePos x="0" y="0"/>
          <wp:positionH relativeFrom="margin">
            <wp:align>center</wp:align>
          </wp:positionH>
          <wp:positionV relativeFrom="paragraph">
            <wp:posOffset>-228698</wp:posOffset>
          </wp:positionV>
          <wp:extent cx="4381500" cy="98171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60CA"/>
    <w:multiLevelType w:val="hybridMultilevel"/>
    <w:tmpl w:val="A67ED068"/>
    <w:lvl w:ilvl="0" w:tplc="86D6624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08C3437"/>
    <w:multiLevelType w:val="hybridMultilevel"/>
    <w:tmpl w:val="82CEB426"/>
    <w:lvl w:ilvl="0" w:tplc="6A3614C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2E82218"/>
    <w:multiLevelType w:val="multilevel"/>
    <w:tmpl w:val="5934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E94150"/>
    <w:multiLevelType w:val="multilevel"/>
    <w:tmpl w:val="9DB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084BFD"/>
    <w:multiLevelType w:val="multilevel"/>
    <w:tmpl w:val="BB98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2F0062"/>
    <w:multiLevelType w:val="multilevel"/>
    <w:tmpl w:val="DE5E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565009"/>
    <w:multiLevelType w:val="multilevel"/>
    <w:tmpl w:val="84C4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6B15A6"/>
    <w:multiLevelType w:val="multilevel"/>
    <w:tmpl w:val="63CC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7630805">
    <w:abstractNumId w:val="6"/>
  </w:num>
  <w:num w:numId="2" w16cid:durableId="55933706">
    <w:abstractNumId w:val="1"/>
  </w:num>
  <w:num w:numId="3" w16cid:durableId="1719822535">
    <w:abstractNumId w:val="0"/>
  </w:num>
  <w:num w:numId="4" w16cid:durableId="937523605">
    <w:abstractNumId w:val="4"/>
  </w:num>
  <w:num w:numId="5" w16cid:durableId="202913">
    <w:abstractNumId w:val="5"/>
  </w:num>
  <w:num w:numId="6" w16cid:durableId="1956672725">
    <w:abstractNumId w:val="3"/>
  </w:num>
  <w:num w:numId="7" w16cid:durableId="261424335">
    <w:abstractNumId w:val="7"/>
  </w:num>
  <w:num w:numId="8" w16cid:durableId="2107338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D21"/>
    <w:rsid w:val="00064AF4"/>
    <w:rsid w:val="000A66CA"/>
    <w:rsid w:val="000D5701"/>
    <w:rsid w:val="001610A3"/>
    <w:rsid w:val="001E2010"/>
    <w:rsid w:val="0021029C"/>
    <w:rsid w:val="0027386C"/>
    <w:rsid w:val="002E7759"/>
    <w:rsid w:val="002F7169"/>
    <w:rsid w:val="00392911"/>
    <w:rsid w:val="003D53D8"/>
    <w:rsid w:val="003E1542"/>
    <w:rsid w:val="00423985"/>
    <w:rsid w:val="0043013A"/>
    <w:rsid w:val="0043675F"/>
    <w:rsid w:val="00444002"/>
    <w:rsid w:val="004549EA"/>
    <w:rsid w:val="004A294B"/>
    <w:rsid w:val="00522E8B"/>
    <w:rsid w:val="005767D4"/>
    <w:rsid w:val="0063537F"/>
    <w:rsid w:val="00690A60"/>
    <w:rsid w:val="006A651C"/>
    <w:rsid w:val="007158C0"/>
    <w:rsid w:val="007255B1"/>
    <w:rsid w:val="00781ACB"/>
    <w:rsid w:val="007C5BF6"/>
    <w:rsid w:val="007C78F4"/>
    <w:rsid w:val="007D52B1"/>
    <w:rsid w:val="007F5CCB"/>
    <w:rsid w:val="00832B3C"/>
    <w:rsid w:val="008534BA"/>
    <w:rsid w:val="00875B71"/>
    <w:rsid w:val="008C0C84"/>
    <w:rsid w:val="008C2A1A"/>
    <w:rsid w:val="008E0A0B"/>
    <w:rsid w:val="008F4DBB"/>
    <w:rsid w:val="00907577"/>
    <w:rsid w:val="009335CC"/>
    <w:rsid w:val="0094415A"/>
    <w:rsid w:val="009736F2"/>
    <w:rsid w:val="009A54B1"/>
    <w:rsid w:val="009A5F0C"/>
    <w:rsid w:val="009A6845"/>
    <w:rsid w:val="00A22475"/>
    <w:rsid w:val="00A8481A"/>
    <w:rsid w:val="00AC1D3C"/>
    <w:rsid w:val="00AC42E6"/>
    <w:rsid w:val="00AC440D"/>
    <w:rsid w:val="00B747C9"/>
    <w:rsid w:val="00BD1D21"/>
    <w:rsid w:val="00C60C5E"/>
    <w:rsid w:val="00C825F2"/>
    <w:rsid w:val="00D40D0B"/>
    <w:rsid w:val="00D468C3"/>
    <w:rsid w:val="00D557E4"/>
    <w:rsid w:val="00D92BA2"/>
    <w:rsid w:val="00DF55BE"/>
    <w:rsid w:val="00E46F24"/>
    <w:rsid w:val="00E924BF"/>
    <w:rsid w:val="00EF4F4C"/>
    <w:rsid w:val="00F0430E"/>
    <w:rsid w:val="00F3113B"/>
    <w:rsid w:val="00FE17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B8116"/>
  <w15:chartTrackingRefBased/>
  <w15:docId w15:val="{82C832D5-B97F-43A3-ACA0-97D14BCDC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64AF4"/>
    <w:pPr>
      <w:autoSpaceDE w:val="0"/>
      <w:autoSpaceDN w:val="0"/>
      <w:adjustRightInd w:val="0"/>
      <w:spacing w:after="0" w:line="240" w:lineRule="auto"/>
    </w:pPr>
    <w:rPr>
      <w:rFonts w:ascii="Bookman Old Style" w:hAnsi="Bookman Old Style" w:cs="Bookman Old Style"/>
      <w:color w:val="000000"/>
      <w:sz w:val="24"/>
      <w:szCs w:val="24"/>
    </w:rPr>
  </w:style>
  <w:style w:type="paragraph" w:styleId="Cabealho">
    <w:name w:val="header"/>
    <w:basedOn w:val="Normal"/>
    <w:link w:val="CabealhoChar"/>
    <w:uiPriority w:val="99"/>
    <w:unhideWhenUsed/>
    <w:rsid w:val="00064AF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64AF4"/>
  </w:style>
  <w:style w:type="paragraph" w:styleId="Rodap">
    <w:name w:val="footer"/>
    <w:basedOn w:val="Normal"/>
    <w:link w:val="RodapChar"/>
    <w:unhideWhenUsed/>
    <w:rsid w:val="00064AF4"/>
    <w:pPr>
      <w:tabs>
        <w:tab w:val="center" w:pos="4252"/>
        <w:tab w:val="right" w:pos="8504"/>
      </w:tabs>
      <w:spacing w:after="0" w:line="240" w:lineRule="auto"/>
    </w:pPr>
  </w:style>
  <w:style w:type="character" w:customStyle="1" w:styleId="RodapChar">
    <w:name w:val="Rodapé Char"/>
    <w:basedOn w:val="Fontepargpadro"/>
    <w:link w:val="Rodap"/>
    <w:rsid w:val="00064AF4"/>
  </w:style>
  <w:style w:type="table" w:styleId="Tabelacomgrade">
    <w:name w:val="Table Grid"/>
    <w:basedOn w:val="Tabelanormal"/>
    <w:uiPriority w:val="39"/>
    <w:rsid w:val="00064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46F24"/>
    <w:pPr>
      <w:ind w:left="720"/>
      <w:contextualSpacing/>
    </w:pPr>
  </w:style>
  <w:style w:type="table" w:styleId="TabeladeGradeClara">
    <w:name w:val="Grid Table Light"/>
    <w:basedOn w:val="Tabelanormal"/>
    <w:uiPriority w:val="40"/>
    <w:rsid w:val="009A5F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2E77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95894">
      <w:bodyDiv w:val="1"/>
      <w:marLeft w:val="0"/>
      <w:marRight w:val="0"/>
      <w:marTop w:val="0"/>
      <w:marBottom w:val="0"/>
      <w:divBdr>
        <w:top w:val="none" w:sz="0" w:space="0" w:color="auto"/>
        <w:left w:val="none" w:sz="0" w:space="0" w:color="auto"/>
        <w:bottom w:val="none" w:sz="0" w:space="0" w:color="auto"/>
        <w:right w:val="none" w:sz="0" w:space="0" w:color="auto"/>
      </w:divBdr>
    </w:div>
    <w:div w:id="156114663">
      <w:bodyDiv w:val="1"/>
      <w:marLeft w:val="0"/>
      <w:marRight w:val="0"/>
      <w:marTop w:val="0"/>
      <w:marBottom w:val="0"/>
      <w:divBdr>
        <w:top w:val="none" w:sz="0" w:space="0" w:color="auto"/>
        <w:left w:val="none" w:sz="0" w:space="0" w:color="auto"/>
        <w:bottom w:val="none" w:sz="0" w:space="0" w:color="auto"/>
        <w:right w:val="none" w:sz="0" w:space="0" w:color="auto"/>
      </w:divBdr>
    </w:div>
    <w:div w:id="165021457">
      <w:bodyDiv w:val="1"/>
      <w:marLeft w:val="0"/>
      <w:marRight w:val="0"/>
      <w:marTop w:val="0"/>
      <w:marBottom w:val="0"/>
      <w:divBdr>
        <w:top w:val="none" w:sz="0" w:space="0" w:color="auto"/>
        <w:left w:val="none" w:sz="0" w:space="0" w:color="auto"/>
        <w:bottom w:val="none" w:sz="0" w:space="0" w:color="auto"/>
        <w:right w:val="none" w:sz="0" w:space="0" w:color="auto"/>
      </w:divBdr>
    </w:div>
    <w:div w:id="201787701">
      <w:bodyDiv w:val="1"/>
      <w:marLeft w:val="0"/>
      <w:marRight w:val="0"/>
      <w:marTop w:val="0"/>
      <w:marBottom w:val="0"/>
      <w:divBdr>
        <w:top w:val="none" w:sz="0" w:space="0" w:color="auto"/>
        <w:left w:val="none" w:sz="0" w:space="0" w:color="auto"/>
        <w:bottom w:val="none" w:sz="0" w:space="0" w:color="auto"/>
        <w:right w:val="none" w:sz="0" w:space="0" w:color="auto"/>
      </w:divBdr>
    </w:div>
    <w:div w:id="236208988">
      <w:bodyDiv w:val="1"/>
      <w:marLeft w:val="0"/>
      <w:marRight w:val="0"/>
      <w:marTop w:val="0"/>
      <w:marBottom w:val="0"/>
      <w:divBdr>
        <w:top w:val="none" w:sz="0" w:space="0" w:color="auto"/>
        <w:left w:val="none" w:sz="0" w:space="0" w:color="auto"/>
        <w:bottom w:val="none" w:sz="0" w:space="0" w:color="auto"/>
        <w:right w:val="none" w:sz="0" w:space="0" w:color="auto"/>
      </w:divBdr>
    </w:div>
    <w:div w:id="310057747">
      <w:bodyDiv w:val="1"/>
      <w:marLeft w:val="0"/>
      <w:marRight w:val="0"/>
      <w:marTop w:val="0"/>
      <w:marBottom w:val="0"/>
      <w:divBdr>
        <w:top w:val="none" w:sz="0" w:space="0" w:color="auto"/>
        <w:left w:val="none" w:sz="0" w:space="0" w:color="auto"/>
        <w:bottom w:val="none" w:sz="0" w:space="0" w:color="auto"/>
        <w:right w:val="none" w:sz="0" w:space="0" w:color="auto"/>
      </w:divBdr>
    </w:div>
    <w:div w:id="333454160">
      <w:bodyDiv w:val="1"/>
      <w:marLeft w:val="0"/>
      <w:marRight w:val="0"/>
      <w:marTop w:val="0"/>
      <w:marBottom w:val="0"/>
      <w:divBdr>
        <w:top w:val="none" w:sz="0" w:space="0" w:color="auto"/>
        <w:left w:val="none" w:sz="0" w:space="0" w:color="auto"/>
        <w:bottom w:val="none" w:sz="0" w:space="0" w:color="auto"/>
        <w:right w:val="none" w:sz="0" w:space="0" w:color="auto"/>
      </w:divBdr>
    </w:div>
    <w:div w:id="346371020">
      <w:bodyDiv w:val="1"/>
      <w:marLeft w:val="0"/>
      <w:marRight w:val="0"/>
      <w:marTop w:val="0"/>
      <w:marBottom w:val="0"/>
      <w:divBdr>
        <w:top w:val="none" w:sz="0" w:space="0" w:color="auto"/>
        <w:left w:val="none" w:sz="0" w:space="0" w:color="auto"/>
        <w:bottom w:val="none" w:sz="0" w:space="0" w:color="auto"/>
        <w:right w:val="none" w:sz="0" w:space="0" w:color="auto"/>
      </w:divBdr>
    </w:div>
    <w:div w:id="372535683">
      <w:bodyDiv w:val="1"/>
      <w:marLeft w:val="0"/>
      <w:marRight w:val="0"/>
      <w:marTop w:val="0"/>
      <w:marBottom w:val="0"/>
      <w:divBdr>
        <w:top w:val="none" w:sz="0" w:space="0" w:color="auto"/>
        <w:left w:val="none" w:sz="0" w:space="0" w:color="auto"/>
        <w:bottom w:val="none" w:sz="0" w:space="0" w:color="auto"/>
        <w:right w:val="none" w:sz="0" w:space="0" w:color="auto"/>
      </w:divBdr>
    </w:div>
    <w:div w:id="455369739">
      <w:bodyDiv w:val="1"/>
      <w:marLeft w:val="0"/>
      <w:marRight w:val="0"/>
      <w:marTop w:val="0"/>
      <w:marBottom w:val="0"/>
      <w:divBdr>
        <w:top w:val="none" w:sz="0" w:space="0" w:color="auto"/>
        <w:left w:val="none" w:sz="0" w:space="0" w:color="auto"/>
        <w:bottom w:val="none" w:sz="0" w:space="0" w:color="auto"/>
        <w:right w:val="none" w:sz="0" w:space="0" w:color="auto"/>
      </w:divBdr>
    </w:div>
    <w:div w:id="464858792">
      <w:bodyDiv w:val="1"/>
      <w:marLeft w:val="0"/>
      <w:marRight w:val="0"/>
      <w:marTop w:val="0"/>
      <w:marBottom w:val="0"/>
      <w:divBdr>
        <w:top w:val="none" w:sz="0" w:space="0" w:color="auto"/>
        <w:left w:val="none" w:sz="0" w:space="0" w:color="auto"/>
        <w:bottom w:val="none" w:sz="0" w:space="0" w:color="auto"/>
        <w:right w:val="none" w:sz="0" w:space="0" w:color="auto"/>
      </w:divBdr>
    </w:div>
    <w:div w:id="533153276">
      <w:bodyDiv w:val="1"/>
      <w:marLeft w:val="0"/>
      <w:marRight w:val="0"/>
      <w:marTop w:val="0"/>
      <w:marBottom w:val="0"/>
      <w:divBdr>
        <w:top w:val="none" w:sz="0" w:space="0" w:color="auto"/>
        <w:left w:val="none" w:sz="0" w:space="0" w:color="auto"/>
        <w:bottom w:val="none" w:sz="0" w:space="0" w:color="auto"/>
        <w:right w:val="none" w:sz="0" w:space="0" w:color="auto"/>
      </w:divBdr>
    </w:div>
    <w:div w:id="666251244">
      <w:bodyDiv w:val="1"/>
      <w:marLeft w:val="0"/>
      <w:marRight w:val="0"/>
      <w:marTop w:val="0"/>
      <w:marBottom w:val="0"/>
      <w:divBdr>
        <w:top w:val="none" w:sz="0" w:space="0" w:color="auto"/>
        <w:left w:val="none" w:sz="0" w:space="0" w:color="auto"/>
        <w:bottom w:val="none" w:sz="0" w:space="0" w:color="auto"/>
        <w:right w:val="none" w:sz="0" w:space="0" w:color="auto"/>
      </w:divBdr>
    </w:div>
    <w:div w:id="710762937">
      <w:bodyDiv w:val="1"/>
      <w:marLeft w:val="0"/>
      <w:marRight w:val="0"/>
      <w:marTop w:val="0"/>
      <w:marBottom w:val="0"/>
      <w:divBdr>
        <w:top w:val="none" w:sz="0" w:space="0" w:color="auto"/>
        <w:left w:val="none" w:sz="0" w:space="0" w:color="auto"/>
        <w:bottom w:val="none" w:sz="0" w:space="0" w:color="auto"/>
        <w:right w:val="none" w:sz="0" w:space="0" w:color="auto"/>
      </w:divBdr>
    </w:div>
    <w:div w:id="751656458">
      <w:bodyDiv w:val="1"/>
      <w:marLeft w:val="0"/>
      <w:marRight w:val="0"/>
      <w:marTop w:val="0"/>
      <w:marBottom w:val="0"/>
      <w:divBdr>
        <w:top w:val="none" w:sz="0" w:space="0" w:color="auto"/>
        <w:left w:val="none" w:sz="0" w:space="0" w:color="auto"/>
        <w:bottom w:val="none" w:sz="0" w:space="0" w:color="auto"/>
        <w:right w:val="none" w:sz="0" w:space="0" w:color="auto"/>
      </w:divBdr>
    </w:div>
    <w:div w:id="897016244">
      <w:bodyDiv w:val="1"/>
      <w:marLeft w:val="0"/>
      <w:marRight w:val="0"/>
      <w:marTop w:val="0"/>
      <w:marBottom w:val="0"/>
      <w:divBdr>
        <w:top w:val="none" w:sz="0" w:space="0" w:color="auto"/>
        <w:left w:val="none" w:sz="0" w:space="0" w:color="auto"/>
        <w:bottom w:val="none" w:sz="0" w:space="0" w:color="auto"/>
        <w:right w:val="none" w:sz="0" w:space="0" w:color="auto"/>
      </w:divBdr>
    </w:div>
    <w:div w:id="950629618">
      <w:bodyDiv w:val="1"/>
      <w:marLeft w:val="0"/>
      <w:marRight w:val="0"/>
      <w:marTop w:val="0"/>
      <w:marBottom w:val="0"/>
      <w:divBdr>
        <w:top w:val="none" w:sz="0" w:space="0" w:color="auto"/>
        <w:left w:val="none" w:sz="0" w:space="0" w:color="auto"/>
        <w:bottom w:val="none" w:sz="0" w:space="0" w:color="auto"/>
        <w:right w:val="none" w:sz="0" w:space="0" w:color="auto"/>
      </w:divBdr>
    </w:div>
    <w:div w:id="1004671225">
      <w:bodyDiv w:val="1"/>
      <w:marLeft w:val="0"/>
      <w:marRight w:val="0"/>
      <w:marTop w:val="0"/>
      <w:marBottom w:val="0"/>
      <w:divBdr>
        <w:top w:val="none" w:sz="0" w:space="0" w:color="auto"/>
        <w:left w:val="none" w:sz="0" w:space="0" w:color="auto"/>
        <w:bottom w:val="none" w:sz="0" w:space="0" w:color="auto"/>
        <w:right w:val="none" w:sz="0" w:space="0" w:color="auto"/>
      </w:divBdr>
    </w:div>
    <w:div w:id="1022783989">
      <w:bodyDiv w:val="1"/>
      <w:marLeft w:val="0"/>
      <w:marRight w:val="0"/>
      <w:marTop w:val="0"/>
      <w:marBottom w:val="0"/>
      <w:divBdr>
        <w:top w:val="none" w:sz="0" w:space="0" w:color="auto"/>
        <w:left w:val="none" w:sz="0" w:space="0" w:color="auto"/>
        <w:bottom w:val="none" w:sz="0" w:space="0" w:color="auto"/>
        <w:right w:val="none" w:sz="0" w:space="0" w:color="auto"/>
      </w:divBdr>
    </w:div>
    <w:div w:id="1025902998">
      <w:bodyDiv w:val="1"/>
      <w:marLeft w:val="0"/>
      <w:marRight w:val="0"/>
      <w:marTop w:val="0"/>
      <w:marBottom w:val="0"/>
      <w:divBdr>
        <w:top w:val="none" w:sz="0" w:space="0" w:color="auto"/>
        <w:left w:val="none" w:sz="0" w:space="0" w:color="auto"/>
        <w:bottom w:val="none" w:sz="0" w:space="0" w:color="auto"/>
        <w:right w:val="none" w:sz="0" w:space="0" w:color="auto"/>
      </w:divBdr>
    </w:div>
    <w:div w:id="1035010614">
      <w:bodyDiv w:val="1"/>
      <w:marLeft w:val="0"/>
      <w:marRight w:val="0"/>
      <w:marTop w:val="0"/>
      <w:marBottom w:val="0"/>
      <w:divBdr>
        <w:top w:val="none" w:sz="0" w:space="0" w:color="auto"/>
        <w:left w:val="none" w:sz="0" w:space="0" w:color="auto"/>
        <w:bottom w:val="none" w:sz="0" w:space="0" w:color="auto"/>
        <w:right w:val="none" w:sz="0" w:space="0" w:color="auto"/>
      </w:divBdr>
    </w:div>
    <w:div w:id="1035616716">
      <w:bodyDiv w:val="1"/>
      <w:marLeft w:val="0"/>
      <w:marRight w:val="0"/>
      <w:marTop w:val="0"/>
      <w:marBottom w:val="0"/>
      <w:divBdr>
        <w:top w:val="none" w:sz="0" w:space="0" w:color="auto"/>
        <w:left w:val="none" w:sz="0" w:space="0" w:color="auto"/>
        <w:bottom w:val="none" w:sz="0" w:space="0" w:color="auto"/>
        <w:right w:val="none" w:sz="0" w:space="0" w:color="auto"/>
      </w:divBdr>
    </w:div>
    <w:div w:id="1050574164">
      <w:bodyDiv w:val="1"/>
      <w:marLeft w:val="0"/>
      <w:marRight w:val="0"/>
      <w:marTop w:val="0"/>
      <w:marBottom w:val="0"/>
      <w:divBdr>
        <w:top w:val="none" w:sz="0" w:space="0" w:color="auto"/>
        <w:left w:val="none" w:sz="0" w:space="0" w:color="auto"/>
        <w:bottom w:val="none" w:sz="0" w:space="0" w:color="auto"/>
        <w:right w:val="none" w:sz="0" w:space="0" w:color="auto"/>
      </w:divBdr>
    </w:div>
    <w:div w:id="1063060350">
      <w:bodyDiv w:val="1"/>
      <w:marLeft w:val="0"/>
      <w:marRight w:val="0"/>
      <w:marTop w:val="0"/>
      <w:marBottom w:val="0"/>
      <w:divBdr>
        <w:top w:val="none" w:sz="0" w:space="0" w:color="auto"/>
        <w:left w:val="none" w:sz="0" w:space="0" w:color="auto"/>
        <w:bottom w:val="none" w:sz="0" w:space="0" w:color="auto"/>
        <w:right w:val="none" w:sz="0" w:space="0" w:color="auto"/>
      </w:divBdr>
    </w:div>
    <w:div w:id="1341620196">
      <w:bodyDiv w:val="1"/>
      <w:marLeft w:val="0"/>
      <w:marRight w:val="0"/>
      <w:marTop w:val="0"/>
      <w:marBottom w:val="0"/>
      <w:divBdr>
        <w:top w:val="none" w:sz="0" w:space="0" w:color="auto"/>
        <w:left w:val="none" w:sz="0" w:space="0" w:color="auto"/>
        <w:bottom w:val="none" w:sz="0" w:space="0" w:color="auto"/>
        <w:right w:val="none" w:sz="0" w:space="0" w:color="auto"/>
      </w:divBdr>
    </w:div>
    <w:div w:id="1353071542">
      <w:bodyDiv w:val="1"/>
      <w:marLeft w:val="0"/>
      <w:marRight w:val="0"/>
      <w:marTop w:val="0"/>
      <w:marBottom w:val="0"/>
      <w:divBdr>
        <w:top w:val="none" w:sz="0" w:space="0" w:color="auto"/>
        <w:left w:val="none" w:sz="0" w:space="0" w:color="auto"/>
        <w:bottom w:val="none" w:sz="0" w:space="0" w:color="auto"/>
        <w:right w:val="none" w:sz="0" w:space="0" w:color="auto"/>
      </w:divBdr>
    </w:div>
    <w:div w:id="1368068819">
      <w:bodyDiv w:val="1"/>
      <w:marLeft w:val="0"/>
      <w:marRight w:val="0"/>
      <w:marTop w:val="0"/>
      <w:marBottom w:val="0"/>
      <w:divBdr>
        <w:top w:val="none" w:sz="0" w:space="0" w:color="auto"/>
        <w:left w:val="none" w:sz="0" w:space="0" w:color="auto"/>
        <w:bottom w:val="none" w:sz="0" w:space="0" w:color="auto"/>
        <w:right w:val="none" w:sz="0" w:space="0" w:color="auto"/>
      </w:divBdr>
    </w:div>
    <w:div w:id="1444424208">
      <w:bodyDiv w:val="1"/>
      <w:marLeft w:val="0"/>
      <w:marRight w:val="0"/>
      <w:marTop w:val="0"/>
      <w:marBottom w:val="0"/>
      <w:divBdr>
        <w:top w:val="none" w:sz="0" w:space="0" w:color="auto"/>
        <w:left w:val="none" w:sz="0" w:space="0" w:color="auto"/>
        <w:bottom w:val="none" w:sz="0" w:space="0" w:color="auto"/>
        <w:right w:val="none" w:sz="0" w:space="0" w:color="auto"/>
      </w:divBdr>
    </w:div>
    <w:div w:id="1572471758">
      <w:bodyDiv w:val="1"/>
      <w:marLeft w:val="0"/>
      <w:marRight w:val="0"/>
      <w:marTop w:val="0"/>
      <w:marBottom w:val="0"/>
      <w:divBdr>
        <w:top w:val="none" w:sz="0" w:space="0" w:color="auto"/>
        <w:left w:val="none" w:sz="0" w:space="0" w:color="auto"/>
        <w:bottom w:val="none" w:sz="0" w:space="0" w:color="auto"/>
        <w:right w:val="none" w:sz="0" w:space="0" w:color="auto"/>
      </w:divBdr>
    </w:div>
    <w:div w:id="1581908782">
      <w:bodyDiv w:val="1"/>
      <w:marLeft w:val="0"/>
      <w:marRight w:val="0"/>
      <w:marTop w:val="0"/>
      <w:marBottom w:val="0"/>
      <w:divBdr>
        <w:top w:val="none" w:sz="0" w:space="0" w:color="auto"/>
        <w:left w:val="none" w:sz="0" w:space="0" w:color="auto"/>
        <w:bottom w:val="none" w:sz="0" w:space="0" w:color="auto"/>
        <w:right w:val="none" w:sz="0" w:space="0" w:color="auto"/>
      </w:divBdr>
    </w:div>
    <w:div w:id="1639607144">
      <w:bodyDiv w:val="1"/>
      <w:marLeft w:val="0"/>
      <w:marRight w:val="0"/>
      <w:marTop w:val="0"/>
      <w:marBottom w:val="0"/>
      <w:divBdr>
        <w:top w:val="none" w:sz="0" w:space="0" w:color="auto"/>
        <w:left w:val="none" w:sz="0" w:space="0" w:color="auto"/>
        <w:bottom w:val="none" w:sz="0" w:space="0" w:color="auto"/>
        <w:right w:val="none" w:sz="0" w:space="0" w:color="auto"/>
      </w:divBdr>
    </w:div>
    <w:div w:id="1789080569">
      <w:bodyDiv w:val="1"/>
      <w:marLeft w:val="0"/>
      <w:marRight w:val="0"/>
      <w:marTop w:val="0"/>
      <w:marBottom w:val="0"/>
      <w:divBdr>
        <w:top w:val="none" w:sz="0" w:space="0" w:color="auto"/>
        <w:left w:val="none" w:sz="0" w:space="0" w:color="auto"/>
        <w:bottom w:val="none" w:sz="0" w:space="0" w:color="auto"/>
        <w:right w:val="none" w:sz="0" w:space="0" w:color="auto"/>
      </w:divBdr>
    </w:div>
    <w:div w:id="1838229099">
      <w:bodyDiv w:val="1"/>
      <w:marLeft w:val="0"/>
      <w:marRight w:val="0"/>
      <w:marTop w:val="0"/>
      <w:marBottom w:val="0"/>
      <w:divBdr>
        <w:top w:val="none" w:sz="0" w:space="0" w:color="auto"/>
        <w:left w:val="none" w:sz="0" w:space="0" w:color="auto"/>
        <w:bottom w:val="none" w:sz="0" w:space="0" w:color="auto"/>
        <w:right w:val="none" w:sz="0" w:space="0" w:color="auto"/>
      </w:divBdr>
    </w:div>
    <w:div w:id="1902596603">
      <w:bodyDiv w:val="1"/>
      <w:marLeft w:val="0"/>
      <w:marRight w:val="0"/>
      <w:marTop w:val="0"/>
      <w:marBottom w:val="0"/>
      <w:divBdr>
        <w:top w:val="none" w:sz="0" w:space="0" w:color="auto"/>
        <w:left w:val="none" w:sz="0" w:space="0" w:color="auto"/>
        <w:bottom w:val="none" w:sz="0" w:space="0" w:color="auto"/>
        <w:right w:val="none" w:sz="0" w:space="0" w:color="auto"/>
      </w:divBdr>
    </w:div>
    <w:div w:id="1919051517">
      <w:bodyDiv w:val="1"/>
      <w:marLeft w:val="0"/>
      <w:marRight w:val="0"/>
      <w:marTop w:val="0"/>
      <w:marBottom w:val="0"/>
      <w:divBdr>
        <w:top w:val="none" w:sz="0" w:space="0" w:color="auto"/>
        <w:left w:val="none" w:sz="0" w:space="0" w:color="auto"/>
        <w:bottom w:val="none" w:sz="0" w:space="0" w:color="auto"/>
        <w:right w:val="none" w:sz="0" w:space="0" w:color="auto"/>
      </w:divBdr>
    </w:div>
    <w:div w:id="1951351409">
      <w:bodyDiv w:val="1"/>
      <w:marLeft w:val="0"/>
      <w:marRight w:val="0"/>
      <w:marTop w:val="0"/>
      <w:marBottom w:val="0"/>
      <w:divBdr>
        <w:top w:val="none" w:sz="0" w:space="0" w:color="auto"/>
        <w:left w:val="none" w:sz="0" w:space="0" w:color="auto"/>
        <w:bottom w:val="none" w:sz="0" w:space="0" w:color="auto"/>
        <w:right w:val="none" w:sz="0" w:space="0" w:color="auto"/>
      </w:divBdr>
    </w:div>
    <w:div w:id="1978299005">
      <w:bodyDiv w:val="1"/>
      <w:marLeft w:val="0"/>
      <w:marRight w:val="0"/>
      <w:marTop w:val="0"/>
      <w:marBottom w:val="0"/>
      <w:divBdr>
        <w:top w:val="none" w:sz="0" w:space="0" w:color="auto"/>
        <w:left w:val="none" w:sz="0" w:space="0" w:color="auto"/>
        <w:bottom w:val="none" w:sz="0" w:space="0" w:color="auto"/>
        <w:right w:val="none" w:sz="0" w:space="0" w:color="auto"/>
      </w:divBdr>
    </w:div>
    <w:div w:id="205462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10</Pages>
  <Words>4228</Words>
  <Characters>22834</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22</cp:revision>
  <cp:lastPrinted>2026-06-12T16:11:00Z</cp:lastPrinted>
  <dcterms:created xsi:type="dcterms:W3CDTF">2024-06-12T15:31:00Z</dcterms:created>
  <dcterms:modified xsi:type="dcterms:W3CDTF">2026-06-12T16:11:00Z</dcterms:modified>
</cp:coreProperties>
</file>