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FC7895" w14:textId="77777777" w:rsidR="00F04BF3" w:rsidRPr="00EF52E1" w:rsidRDefault="00F04BF3" w:rsidP="00E16BA6">
      <w:pPr>
        <w:spacing w:after="0" w:line="240" w:lineRule="auto"/>
        <w:jc w:val="center"/>
        <w:rPr>
          <w:rFonts w:eastAsia="Arial Unicode MS"/>
          <w:b/>
          <w:color w:val="000000" w:themeColor="text1"/>
          <w:sz w:val="20"/>
          <w:u w:val="single"/>
        </w:rPr>
      </w:pPr>
    </w:p>
    <w:p w14:paraId="4FAADED8" w14:textId="2035867F" w:rsidR="006E786C" w:rsidRDefault="006E786C" w:rsidP="00E16BA6">
      <w:pPr>
        <w:spacing w:after="0" w:line="240" w:lineRule="auto"/>
        <w:jc w:val="center"/>
        <w:rPr>
          <w:rFonts w:eastAsia="Arial Unicode MS"/>
          <w:b/>
          <w:color w:val="000000" w:themeColor="text1"/>
          <w:sz w:val="32"/>
          <w:szCs w:val="32"/>
          <w:u w:val="single"/>
        </w:rPr>
      </w:pPr>
      <w:r w:rsidRPr="00EF52E1">
        <w:rPr>
          <w:rFonts w:eastAsia="Arial Unicode MS" w:hint="eastAsia"/>
          <w:b/>
          <w:color w:val="000000" w:themeColor="text1"/>
          <w:sz w:val="32"/>
          <w:szCs w:val="32"/>
          <w:u w:val="single"/>
        </w:rPr>
        <w:t>ESTUDO TÉCNICO PRELIMINAR (ETP)</w:t>
      </w:r>
    </w:p>
    <w:p w14:paraId="6933E1E7" w14:textId="77777777" w:rsidR="001C6612" w:rsidRPr="00EF52E1" w:rsidRDefault="001C6612" w:rsidP="00E16BA6">
      <w:pPr>
        <w:spacing w:after="0" w:line="240" w:lineRule="auto"/>
        <w:jc w:val="both"/>
        <w:rPr>
          <w:rFonts w:eastAsia="Arial Unicode MS"/>
          <w:bCs/>
          <w:color w:val="000000" w:themeColor="text1"/>
          <w:sz w:val="20"/>
        </w:rPr>
      </w:pPr>
    </w:p>
    <w:p w14:paraId="066E482B" w14:textId="77777777" w:rsidR="006E786C" w:rsidRPr="00EF52E1" w:rsidRDefault="006E786C" w:rsidP="00E16BA6">
      <w:pPr>
        <w:spacing w:after="0" w:line="240" w:lineRule="auto"/>
        <w:jc w:val="both"/>
        <w:rPr>
          <w:rFonts w:eastAsia="Arial Unicode MS"/>
          <w:b/>
          <w:color w:val="000000" w:themeColor="text1"/>
          <w:sz w:val="20"/>
        </w:rPr>
      </w:pPr>
      <w:r w:rsidRPr="00EF52E1">
        <w:rPr>
          <w:rFonts w:eastAsia="Arial Unicode MS" w:hint="eastAsia"/>
          <w:b/>
          <w:color w:val="000000" w:themeColor="text1"/>
          <w:sz w:val="20"/>
        </w:rPr>
        <w:t>1 – INFORMAÇÕES BÁSICAS:</w:t>
      </w:r>
    </w:p>
    <w:p w14:paraId="4FD346A7" w14:textId="280BCA3D" w:rsidR="006E786C" w:rsidRPr="00EF52E1" w:rsidRDefault="006E786C" w:rsidP="00E16BA6">
      <w:pPr>
        <w:spacing w:after="0" w:line="240" w:lineRule="auto"/>
        <w:ind w:firstLine="709"/>
        <w:jc w:val="both"/>
        <w:rPr>
          <w:rFonts w:eastAsia="Arial Unicode MS"/>
          <w:b/>
          <w:color w:val="000000" w:themeColor="text1"/>
          <w:sz w:val="20"/>
        </w:rPr>
      </w:pPr>
      <w:r w:rsidRPr="00EF52E1">
        <w:rPr>
          <w:rFonts w:eastAsia="Arial Unicode MS" w:hint="eastAsia"/>
          <w:b/>
          <w:color w:val="000000" w:themeColor="text1"/>
          <w:sz w:val="20"/>
        </w:rPr>
        <w:t xml:space="preserve">1.1 – Processo Administrativo: </w:t>
      </w:r>
      <w:r w:rsidR="00540062">
        <w:rPr>
          <w:rFonts w:eastAsia="Arial Unicode MS"/>
          <w:bCs/>
          <w:color w:val="000000" w:themeColor="text1"/>
          <w:sz w:val="20"/>
        </w:rPr>
        <w:t>2</w:t>
      </w:r>
      <w:r w:rsidR="00CA7D61" w:rsidRPr="00EF52E1">
        <w:rPr>
          <w:rFonts w:eastAsia="Arial Unicode MS"/>
          <w:bCs/>
          <w:color w:val="000000" w:themeColor="text1"/>
          <w:sz w:val="20"/>
        </w:rPr>
        <w:t>.</w:t>
      </w:r>
      <w:r w:rsidR="00540062">
        <w:rPr>
          <w:rFonts w:eastAsia="Arial Unicode MS"/>
          <w:bCs/>
          <w:color w:val="000000" w:themeColor="text1"/>
          <w:sz w:val="20"/>
        </w:rPr>
        <w:t>052</w:t>
      </w:r>
      <w:r w:rsidR="0052336E" w:rsidRPr="00EF52E1">
        <w:rPr>
          <w:rFonts w:eastAsia="Arial Unicode MS"/>
          <w:bCs/>
          <w:color w:val="000000" w:themeColor="text1"/>
          <w:sz w:val="20"/>
        </w:rPr>
        <w:t>/202</w:t>
      </w:r>
      <w:r w:rsidR="00CA7D61" w:rsidRPr="00EF52E1">
        <w:rPr>
          <w:rFonts w:eastAsia="Arial Unicode MS"/>
          <w:bCs/>
          <w:color w:val="000000" w:themeColor="text1"/>
          <w:sz w:val="20"/>
        </w:rPr>
        <w:t>6</w:t>
      </w:r>
    </w:p>
    <w:p w14:paraId="774A54DF" w14:textId="77777777" w:rsidR="008A25A7" w:rsidRPr="00EF52E1" w:rsidRDefault="006E786C" w:rsidP="00E16BA6">
      <w:pPr>
        <w:spacing w:after="0" w:line="240" w:lineRule="auto"/>
        <w:ind w:firstLine="709"/>
        <w:jc w:val="both"/>
        <w:rPr>
          <w:rFonts w:eastAsia="Arial Unicode MS"/>
          <w:bCs/>
          <w:color w:val="000000" w:themeColor="text1"/>
          <w:sz w:val="20"/>
        </w:rPr>
      </w:pPr>
      <w:r w:rsidRPr="00EF52E1">
        <w:rPr>
          <w:rFonts w:eastAsia="Arial Unicode MS" w:hint="eastAsia"/>
          <w:b/>
          <w:color w:val="000000" w:themeColor="text1"/>
          <w:sz w:val="20"/>
        </w:rPr>
        <w:t>1.2 – Área Requisitante:</w:t>
      </w:r>
      <w:r w:rsidRPr="00EF52E1">
        <w:rPr>
          <w:rFonts w:eastAsia="Arial Unicode MS" w:hint="eastAsia"/>
          <w:bCs/>
          <w:color w:val="000000" w:themeColor="text1"/>
          <w:sz w:val="20"/>
        </w:rPr>
        <w:t xml:space="preserve"> </w:t>
      </w:r>
      <w:r w:rsidR="00631D55" w:rsidRPr="00EF52E1">
        <w:rPr>
          <w:rFonts w:eastAsia="Arial Unicode MS"/>
          <w:bCs/>
          <w:color w:val="000000" w:themeColor="text1"/>
          <w:sz w:val="20"/>
        </w:rPr>
        <w:t>Secretaria</w:t>
      </w:r>
      <w:r w:rsidR="002F11F4" w:rsidRPr="00EF52E1">
        <w:rPr>
          <w:rFonts w:eastAsia="Arial Unicode MS"/>
          <w:bCs/>
          <w:color w:val="000000" w:themeColor="text1"/>
          <w:sz w:val="20"/>
        </w:rPr>
        <w:t xml:space="preserve"> Municipal </w:t>
      </w:r>
      <w:r w:rsidR="00631D55" w:rsidRPr="00EF52E1">
        <w:rPr>
          <w:rFonts w:eastAsia="Arial Unicode MS"/>
          <w:bCs/>
          <w:color w:val="000000" w:themeColor="text1"/>
          <w:sz w:val="20"/>
        </w:rPr>
        <w:t>de Administração, Fazenda e Planejamento.</w:t>
      </w:r>
    </w:p>
    <w:p w14:paraId="79A6F7E7" w14:textId="77777777" w:rsidR="008A25A7" w:rsidRPr="00EF52E1" w:rsidRDefault="008A25A7" w:rsidP="00E16BA6">
      <w:pPr>
        <w:spacing w:after="0" w:line="240" w:lineRule="auto"/>
        <w:ind w:firstLine="709"/>
        <w:jc w:val="both"/>
        <w:rPr>
          <w:rFonts w:eastAsia="Arial Unicode MS"/>
          <w:bCs/>
          <w:color w:val="000000" w:themeColor="text1"/>
          <w:sz w:val="20"/>
        </w:rPr>
      </w:pPr>
    </w:p>
    <w:p w14:paraId="158153BA" w14:textId="77777777" w:rsidR="008A25A7" w:rsidRPr="00EF52E1" w:rsidRDefault="006E786C" w:rsidP="00E16BA6">
      <w:pPr>
        <w:spacing w:after="0" w:line="240" w:lineRule="auto"/>
        <w:jc w:val="both"/>
        <w:rPr>
          <w:rFonts w:eastAsia="Arial Unicode MS"/>
          <w:b/>
          <w:color w:val="000000" w:themeColor="text1"/>
          <w:sz w:val="20"/>
        </w:rPr>
      </w:pPr>
      <w:r w:rsidRPr="00EF52E1">
        <w:rPr>
          <w:rFonts w:eastAsia="Arial Unicode MS" w:hint="eastAsia"/>
          <w:b/>
          <w:color w:val="000000" w:themeColor="text1"/>
          <w:sz w:val="20"/>
        </w:rPr>
        <w:t xml:space="preserve">2 – DESCRIÇÃO DA NECESSIDADE: </w:t>
      </w:r>
    </w:p>
    <w:p w14:paraId="10D8CD9D" w14:textId="77777777" w:rsidR="00540062" w:rsidRPr="00540062" w:rsidRDefault="00540062" w:rsidP="00540062">
      <w:pPr>
        <w:spacing w:after="0" w:line="240" w:lineRule="auto"/>
        <w:jc w:val="both"/>
        <w:rPr>
          <w:rFonts w:eastAsia="Arial Unicode MS"/>
          <w:color w:val="000000" w:themeColor="text1"/>
          <w:sz w:val="20"/>
        </w:rPr>
      </w:pPr>
      <w:r w:rsidRPr="00540062">
        <w:rPr>
          <w:rFonts w:eastAsia="Arial Unicode MS"/>
          <w:color w:val="000000" w:themeColor="text1"/>
          <w:sz w:val="20"/>
        </w:rPr>
        <w:t>2.1 – O presente Estudo Técnico Preliminar tem por finalidade analisar a viabilidade técnica, operacional e econômica da contratação de empresa especializada para a execução de obra de infraestrutura urbana, compreendendo a implantação de sistema de microdrenagem/drenagem pluvial na Rua 4 de Julho, Rodovia VRS-835 e ruas adjacentes localizadas nos bairros Cidade Baixa e Morro Bonito, no Município de Paverama/RS, conforme projetos de engenharia, memorial descritivo, planilhas orçamentárias, cronograma físico-financeiro e demais especificações técnicas vinculadas ao Convênio FPE nº 2014/2026.</w:t>
      </w:r>
    </w:p>
    <w:p w14:paraId="14CAD684" w14:textId="77777777" w:rsidR="00540062" w:rsidRPr="00540062" w:rsidRDefault="00540062" w:rsidP="00540062">
      <w:pPr>
        <w:spacing w:after="0" w:line="240" w:lineRule="auto"/>
        <w:jc w:val="both"/>
        <w:rPr>
          <w:rFonts w:eastAsia="Arial Unicode MS"/>
          <w:color w:val="000000" w:themeColor="text1"/>
          <w:sz w:val="20"/>
        </w:rPr>
      </w:pPr>
      <w:r w:rsidRPr="00540062">
        <w:rPr>
          <w:rFonts w:eastAsia="Arial Unicode MS"/>
          <w:color w:val="000000" w:themeColor="text1"/>
          <w:sz w:val="20"/>
        </w:rPr>
        <w:t>2.2 – A necessidade da contratação decorre da inexistência ou insuficiência de sistemas adequados de drenagem pluvial em vias urbanas consolidadas do Município, situação que ocasiona escoamento superficial desordenado, acúmulo de água nas pistas, erosão, degradação do leito viário, danos às estruturas existentes e riscos à segurança de pedestres, motoristas e moradores das áreas diretamente afetadas.</w:t>
      </w:r>
    </w:p>
    <w:p w14:paraId="04B12B0B" w14:textId="77777777" w:rsidR="00540062" w:rsidRPr="00540062" w:rsidRDefault="00540062" w:rsidP="00540062">
      <w:pPr>
        <w:spacing w:after="0" w:line="240" w:lineRule="auto"/>
        <w:jc w:val="both"/>
        <w:rPr>
          <w:rFonts w:eastAsia="Arial Unicode MS"/>
          <w:color w:val="000000" w:themeColor="text1"/>
          <w:sz w:val="20"/>
        </w:rPr>
      </w:pPr>
      <w:r w:rsidRPr="00540062">
        <w:rPr>
          <w:rFonts w:eastAsia="Arial Unicode MS"/>
          <w:color w:val="000000" w:themeColor="text1"/>
          <w:sz w:val="20"/>
        </w:rPr>
        <w:t>2.3 – A Rua 4 de Julho e a Rodovia VRS-835 exercem papel estratégico na mobilidade municipal e regional. A Rua 4 de Julho constitui importante eixo urbano de ligação entre áreas centrais e o bairro Cidade Baixa, absorvendo fluxo diário de moradores, veículos de serviço, transporte escolar e deslocamentos locais. A Rodovia VRS-835, por sua vez, possui relevância como via de conexão entre bairros, localidades e municípios vizinhos, sendo utilizada também como rota de passagem e de acesso a serviços, equipamentos públicos, atividades econômicas e propriedades situadas no entorno.</w:t>
      </w:r>
    </w:p>
    <w:p w14:paraId="2139ED92" w14:textId="77777777" w:rsidR="00540062" w:rsidRPr="00540062" w:rsidRDefault="00540062" w:rsidP="00540062">
      <w:pPr>
        <w:spacing w:after="0" w:line="240" w:lineRule="auto"/>
        <w:jc w:val="both"/>
        <w:rPr>
          <w:rFonts w:eastAsia="Arial Unicode MS"/>
          <w:color w:val="000000" w:themeColor="text1"/>
          <w:sz w:val="20"/>
        </w:rPr>
      </w:pPr>
      <w:r w:rsidRPr="00540062">
        <w:rPr>
          <w:rFonts w:eastAsia="Arial Unicode MS"/>
          <w:color w:val="000000" w:themeColor="text1"/>
          <w:sz w:val="20"/>
        </w:rPr>
        <w:t>2.4 – Além dessas vias principais, o projeto contempla ruas adjacentes do bairro Morro Bonito, incluindo a Rua José da Silva, Rua Sem Denominação “A”, Rua João Pereira de Aguiar, Rua Aldo Bilhar de Azevedo e Rua Marcírio Davi de Azevedo, que contribuem diretamente para o escoamento superficial em direção à VRS-835 e ao sistema viário local. A ausência de dispositivos adequados de captação e condução das águas pluviais nessas vias amplia os problemas de alagamento, transporte de sedimentos, erosões laterais e deterioração das condições de trafegabilidade.</w:t>
      </w:r>
    </w:p>
    <w:p w14:paraId="498EEAEC" w14:textId="77777777" w:rsidR="00540062" w:rsidRPr="00540062" w:rsidRDefault="00540062" w:rsidP="00540062">
      <w:pPr>
        <w:spacing w:after="0" w:line="240" w:lineRule="auto"/>
        <w:jc w:val="both"/>
        <w:rPr>
          <w:rFonts w:eastAsia="Arial Unicode MS"/>
          <w:color w:val="000000" w:themeColor="text1"/>
          <w:sz w:val="20"/>
        </w:rPr>
      </w:pPr>
      <w:r w:rsidRPr="00540062">
        <w:rPr>
          <w:rFonts w:eastAsia="Arial Unicode MS"/>
          <w:color w:val="000000" w:themeColor="text1"/>
          <w:sz w:val="20"/>
        </w:rPr>
        <w:t>2.5 – A situação se agrava em períodos de chuva intensa, quando o volume de água escoa livremente sobre a superfície das vias e áreas lindeiras, provocando formação de poças, lama, ravinas, assoreamento de pontos baixos, desgaste prematuro da infraestrutura existente e aumento do risco de acidentes. Tal cenário compromete a mobilidade urbana, o acesso de moradores às suas residências, o deslocamento de veículos de serviço, o transporte escolar e o acesso a equipamentos públicos, especialmente no bairro Morro Bonito.</w:t>
      </w:r>
    </w:p>
    <w:p w14:paraId="7DD6ED6D" w14:textId="77777777" w:rsidR="00540062" w:rsidRPr="00540062" w:rsidRDefault="00540062" w:rsidP="00540062">
      <w:pPr>
        <w:spacing w:after="0" w:line="240" w:lineRule="auto"/>
        <w:jc w:val="both"/>
        <w:rPr>
          <w:rFonts w:eastAsia="Arial Unicode MS"/>
          <w:color w:val="000000" w:themeColor="text1"/>
          <w:sz w:val="20"/>
        </w:rPr>
      </w:pPr>
      <w:r w:rsidRPr="00540062">
        <w:rPr>
          <w:rFonts w:eastAsia="Arial Unicode MS"/>
          <w:color w:val="000000" w:themeColor="text1"/>
          <w:sz w:val="20"/>
        </w:rPr>
        <w:t>2.6 – A intervenção proposta possui relação direta com os objetivos do Programa Drenagem RS, instituído no contexto das ações estaduais voltadas ao enfrentamento das consequências dos eventos climáticos extremos ocorridos no Estado, especialmente as enchentes de 2024. A obra busca aumentar a resiliência da infraestrutura urbana municipal, reduzir vulnerabilidades climáticas, preservar vias públicas e garantir maior segurança à população em períodos de precipitação intensa.</w:t>
      </w:r>
    </w:p>
    <w:p w14:paraId="1A02C4A3" w14:textId="77777777" w:rsidR="00540062" w:rsidRPr="00540062" w:rsidRDefault="00540062" w:rsidP="00540062">
      <w:pPr>
        <w:spacing w:after="0" w:line="240" w:lineRule="auto"/>
        <w:jc w:val="both"/>
        <w:rPr>
          <w:rFonts w:eastAsia="Arial Unicode MS"/>
          <w:color w:val="000000" w:themeColor="text1"/>
          <w:sz w:val="20"/>
        </w:rPr>
      </w:pPr>
      <w:r w:rsidRPr="00540062">
        <w:rPr>
          <w:rFonts w:eastAsia="Arial Unicode MS"/>
          <w:color w:val="000000" w:themeColor="text1"/>
          <w:sz w:val="20"/>
        </w:rPr>
        <w:t>2.7 – Sob o ponto de vista técnico, a implantação de sistema de microdrenagem/drenagem pluvial mostra-se medida indispensável para captar, conduzir e destinar adequadamente as águas das chuvas, evitando que o escoamento superficial continue a comprometer o leito das vias, os acessos, as estruturas públicas e as áreas urbanizadas. A solução contempla a execução de tubulações em concreto, caixas coletoras/bocas de lobo, meio-fio, bueiro tubular, escavação, preparo de fundo de vala, reaterro, regularização e compactação de subleito, carga, transporte e demais serviços complementares necessários.</w:t>
      </w:r>
    </w:p>
    <w:p w14:paraId="305A5869" w14:textId="77777777" w:rsidR="00540062" w:rsidRPr="00540062" w:rsidRDefault="00540062" w:rsidP="00540062">
      <w:pPr>
        <w:spacing w:after="0" w:line="240" w:lineRule="auto"/>
        <w:jc w:val="both"/>
        <w:rPr>
          <w:rFonts w:eastAsia="Arial Unicode MS"/>
          <w:color w:val="000000" w:themeColor="text1"/>
          <w:sz w:val="20"/>
        </w:rPr>
      </w:pPr>
      <w:r w:rsidRPr="00540062">
        <w:rPr>
          <w:rFonts w:eastAsia="Arial Unicode MS"/>
          <w:color w:val="000000" w:themeColor="text1"/>
          <w:sz w:val="20"/>
        </w:rPr>
        <w:t>2.8 – A área beneficiada apresenta ocupação consolidada e crescimento habitacional, com presença de residências, escolas, empreendimentos locais, propriedades produtivas e equipamentos comunitários. O aumento da urbanização e da impermeabilização do solo amplia o volume de águas pluviais que necessita de manejo adequado, tornando necessária a implantação de infraestrutura compatível com a realidade atual e futura da região.</w:t>
      </w:r>
    </w:p>
    <w:p w14:paraId="016F32B1" w14:textId="77777777" w:rsidR="00540062" w:rsidRPr="00540062" w:rsidRDefault="00540062" w:rsidP="00540062">
      <w:pPr>
        <w:spacing w:after="0" w:line="240" w:lineRule="auto"/>
        <w:jc w:val="both"/>
        <w:rPr>
          <w:rFonts w:eastAsia="Arial Unicode MS"/>
          <w:color w:val="000000" w:themeColor="text1"/>
          <w:sz w:val="20"/>
        </w:rPr>
      </w:pPr>
      <w:r w:rsidRPr="00540062">
        <w:rPr>
          <w:rFonts w:eastAsia="Arial Unicode MS"/>
          <w:color w:val="000000" w:themeColor="text1"/>
          <w:sz w:val="20"/>
        </w:rPr>
        <w:t xml:space="preserve">2.9 – Sob a perspectiva jurídico-constitucional, a presente intervenção encontra respaldo nos objetivos fundamentais previstos no art. 3º da Constituição Federal, especialmente quanto à promoção do </w:t>
      </w:r>
      <w:r w:rsidRPr="00540062">
        <w:rPr>
          <w:rFonts w:eastAsia="Arial Unicode MS"/>
          <w:color w:val="000000" w:themeColor="text1"/>
          <w:sz w:val="20"/>
        </w:rPr>
        <w:lastRenderedPageBreak/>
        <w:t>desenvolvimento e à redução das desigualdades sociais e regionais, bem como na competência municipal para promover o adequado ordenamento territorial e a melhoria da infraestrutura urbana, nos termos do art. 30, inciso VIII, da Constituição Federal.</w:t>
      </w:r>
    </w:p>
    <w:p w14:paraId="52B68858" w14:textId="77777777" w:rsidR="00540062" w:rsidRPr="00540062" w:rsidRDefault="00540062" w:rsidP="00540062">
      <w:pPr>
        <w:spacing w:after="0" w:line="240" w:lineRule="auto"/>
        <w:jc w:val="both"/>
        <w:rPr>
          <w:rFonts w:eastAsia="Arial Unicode MS"/>
          <w:color w:val="000000" w:themeColor="text1"/>
          <w:sz w:val="20"/>
        </w:rPr>
      </w:pPr>
      <w:r w:rsidRPr="00540062">
        <w:rPr>
          <w:rFonts w:eastAsia="Arial Unicode MS"/>
          <w:color w:val="000000" w:themeColor="text1"/>
          <w:sz w:val="20"/>
        </w:rPr>
        <w:t>2.10 – A melhoria da drenagem urbana também se relaciona diretamente com a proteção de direitos fundamentais, como segurança, saúde, mobilidade, educação, trabalho e dignidade da pessoa humana, na medida em que reduz riscos de acidentes, melhora o acesso aos serviços públicos, preserva a infraestrutura viária e contribui para a qualidade de vida da população.</w:t>
      </w:r>
    </w:p>
    <w:p w14:paraId="305538CB" w14:textId="7BA5FFDE" w:rsidR="0032794E" w:rsidRPr="00C353F3" w:rsidRDefault="00540062" w:rsidP="00540062">
      <w:pPr>
        <w:spacing w:after="0" w:line="240" w:lineRule="auto"/>
        <w:jc w:val="both"/>
        <w:rPr>
          <w:rFonts w:eastAsia="Arial Unicode MS"/>
          <w:color w:val="000000" w:themeColor="text1"/>
          <w:sz w:val="20"/>
        </w:rPr>
      </w:pPr>
      <w:r w:rsidRPr="00540062">
        <w:rPr>
          <w:rFonts w:eastAsia="Arial Unicode MS"/>
          <w:color w:val="000000" w:themeColor="text1"/>
          <w:sz w:val="20"/>
        </w:rPr>
        <w:t xml:space="preserve">2.11 – Nesse contexto, a contratação ora proposta revela-se necessária, adequada e proporcional para solucionar problema público concreto, com impactos positivos na segurança viária, na mobilidade urbana e rural, na conservação das vias públicas, na proteção da população contra </w:t>
      </w:r>
      <w:r w:rsidRPr="00C353F3">
        <w:rPr>
          <w:rFonts w:eastAsia="Arial Unicode MS"/>
          <w:color w:val="000000" w:themeColor="text1"/>
          <w:sz w:val="20"/>
        </w:rPr>
        <w:t>eventos climáticos e no desenvolvimento urbano sustentável do Município de Paverama.</w:t>
      </w:r>
    </w:p>
    <w:p w14:paraId="3CC366E8" w14:textId="77777777" w:rsidR="00540062" w:rsidRPr="00C353F3" w:rsidRDefault="00540062" w:rsidP="00540062">
      <w:pPr>
        <w:spacing w:after="0" w:line="240" w:lineRule="auto"/>
        <w:jc w:val="both"/>
        <w:rPr>
          <w:rFonts w:eastAsia="Arial Unicode MS"/>
          <w:bCs/>
          <w:color w:val="000000" w:themeColor="text1"/>
          <w:sz w:val="20"/>
        </w:rPr>
      </w:pPr>
    </w:p>
    <w:p w14:paraId="50708AED" w14:textId="77777777" w:rsidR="006E786C" w:rsidRPr="00C353F3" w:rsidRDefault="00794327" w:rsidP="00E16BA6">
      <w:pPr>
        <w:spacing w:after="0" w:line="240" w:lineRule="auto"/>
        <w:jc w:val="both"/>
        <w:rPr>
          <w:rFonts w:eastAsia="Arial Unicode MS"/>
          <w:b/>
          <w:color w:val="000000" w:themeColor="text1"/>
          <w:sz w:val="20"/>
        </w:rPr>
      </w:pPr>
      <w:r w:rsidRPr="00C353F3">
        <w:rPr>
          <w:rFonts w:eastAsia="Arial Unicode MS"/>
          <w:b/>
          <w:color w:val="000000" w:themeColor="text1"/>
          <w:sz w:val="20"/>
        </w:rPr>
        <w:t>3</w:t>
      </w:r>
      <w:r w:rsidR="0052336E" w:rsidRPr="00C353F3">
        <w:rPr>
          <w:rFonts w:eastAsia="Arial Unicode MS"/>
          <w:b/>
          <w:color w:val="000000" w:themeColor="text1"/>
          <w:sz w:val="20"/>
        </w:rPr>
        <w:t xml:space="preserve"> – </w:t>
      </w:r>
      <w:r w:rsidR="006E786C" w:rsidRPr="00C353F3">
        <w:rPr>
          <w:rFonts w:eastAsia="Arial Unicode MS" w:hint="eastAsia"/>
          <w:b/>
          <w:color w:val="000000" w:themeColor="text1"/>
          <w:sz w:val="20"/>
        </w:rPr>
        <w:t>DESCRIÇÃO DOS REQUISITOS DA CONTRATAÇÃO:</w:t>
      </w:r>
    </w:p>
    <w:p w14:paraId="37BCE453" w14:textId="77777777"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3.1 – Para assegurar a adequada, regular e eficiente execução da obra de engenharia, as planilhas orçamentárias, composições de custos e quantitativos apresentados pelos licitantes deverão estar integralmente preenchidos, detalhados e compatíveis com os serviços previstos no Projeto de Engenharia, no Memorial Descritivo, nas planilhas orçamentárias e no Termo de Referência.</w:t>
      </w:r>
    </w:p>
    <w:p w14:paraId="046629C9" w14:textId="77777777"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3.1.1 – As propostas deverão evidenciar coerência técnica e econômica, compatibilidade entre valores unitários, métodos executivos, materiais empregados e quantitativos previstos, observando, como referência, os parâmetros oficiais adotados pela Administração, notadamente aqueles constantes do Sistema Nacional de Pesquisa de Custos e Índices da Construção Civil – SINAPI, composições próprias, cotações e demais referências técnicas constantes do orçamento de engenharia, vedada a apresentação de composições inexequíveis ou dissociadas da realidade de mercado.</w:t>
      </w:r>
    </w:p>
    <w:p w14:paraId="4B66BF8B" w14:textId="77777777"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3.2 – O objeto da contratação caracteriza-se como obra de engenharia, envolvendo a implantação de sistema de microdrenagem/drenagem pluvial, com execução de tubulações em concreto, caixas coletoras/bocas de lobo, meio-fio, bueiro tubular, escavação, preparo de fundo de vala, reaterro, regularização e compactação de subleito, carga, transporte e demais serviços complementares necessários à plena execução do objeto. Trata-se de intervenção com métodos construtivos padronizados, resultados objetivamente mensuráveis e exigência de responsabilidade técnica legalmente habilitada, o que justifica a imposição de requisitos técnicos, operacionais e profissionais compatíveis com o porte, o risco e a relevância social do empreendimento.</w:t>
      </w:r>
    </w:p>
    <w:p w14:paraId="054C0841" w14:textId="77777777"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3.3 – Todos os encargos tributários, trabalhistas, previdenciários, ambientais e operacionais decorrentes da execução da obra serão de inteira responsabilidade da contratada, incluindo taxas, licenças, registros, autorizações e demais exigências eventualmente aplicáveis junto aos órgãos municipais, estaduais e federais. Compete também à contratada custear integralmente o transporte de materiais, insumos, equipamentos, ferramentas e mão de obra necessários à execução do objeto, sem qualquer ônus adicional ao Município.</w:t>
      </w:r>
    </w:p>
    <w:p w14:paraId="0B0A6859" w14:textId="77777777"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3.4 – A execução dos serviços ficará sujeita à fiscalização contínua pela Administração Municipal, que verificará, dentre outros aspectos:</w:t>
      </w:r>
    </w:p>
    <w:p w14:paraId="43AB5B35" w14:textId="77777777"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a) o cumprimento das normas de segurança do trabalho, incluindo o uso obrigatório de Equipamentos de Proteção Individual (EPIs) e a adoção de procedimentos adequados de prevenção de acidentes;</w:t>
      </w:r>
    </w:p>
    <w:p w14:paraId="0F460A3B" w14:textId="679921FE"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 xml:space="preserve">b) a conformidade dos materiais, equipamentos e serviços executados com as especificações técnicas estabelecidas nos projetos, memoriais descritivos, planilhas orçamentárias e nas normas técnicas aplicáveis, especialmente ABNT, </w:t>
      </w:r>
      <w:r>
        <w:rPr>
          <w:rFonts w:eastAsia="Arial Unicode MS"/>
          <w:color w:val="000000" w:themeColor="text1"/>
          <w:sz w:val="20"/>
        </w:rPr>
        <w:t xml:space="preserve">INMETRO, </w:t>
      </w:r>
      <w:r w:rsidRPr="00C353F3">
        <w:rPr>
          <w:rFonts w:eastAsia="Arial Unicode MS"/>
          <w:color w:val="000000" w:themeColor="text1"/>
          <w:sz w:val="20"/>
        </w:rPr>
        <w:t>DNIT, DAER, ANA e demais regulamentos pertinentes a obras de drenagem e infraestrutura urbana; e</w:t>
      </w:r>
    </w:p>
    <w:p w14:paraId="50A4B85F" w14:textId="77777777"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c) a adoção de critérios de sustentabilidade ambiental, social e econômica, incluindo o correto manejo de resíduos, a mitigação de impactos, a destinação adequada de materiais excedentes, a proteção das áreas de intervenção e a observância de boas práticas ambientais durante toda a execução da obra.</w:t>
      </w:r>
    </w:p>
    <w:p w14:paraId="30FF863C" w14:textId="77777777"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3.5 – O prazo de vigência contratual será de 12 (doze) meses, abrangendo o período necessário à execução integral da obra, à realização das medições, ao recebimento provisório, ao recebimento definitivo e à solução de eventuais pendências técnico-administrativas, não se confundindo com os prazos específicos de cada etapa física prevista no cronograma. Eventual prorrogação somente poderá ocorrer nas hipóteses legalmente admitidas, mediante justificativa técnica formal e prévia autorização da Administração.</w:t>
      </w:r>
    </w:p>
    <w:p w14:paraId="4850329A" w14:textId="77777777"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 xml:space="preserve">3.6 – A vistoria técnica no local da obra </w:t>
      </w:r>
      <w:r w:rsidRPr="00602B39">
        <w:rPr>
          <w:rFonts w:eastAsia="Arial Unicode MS"/>
          <w:b/>
          <w:bCs/>
          <w:color w:val="000000" w:themeColor="text1"/>
          <w:sz w:val="20"/>
        </w:rPr>
        <w:t>será facultativa,</w:t>
      </w:r>
      <w:r w:rsidRPr="00C353F3">
        <w:rPr>
          <w:rFonts w:eastAsia="Arial Unicode MS"/>
          <w:color w:val="000000" w:themeColor="text1"/>
          <w:sz w:val="20"/>
        </w:rPr>
        <w:t xml:space="preserve"> cabendo às licitantes avaliar a conveniência de sua realização para pleno conhecimento das condições locais de execução. A facultatividade visa preservar a competitividade do certame e evitar restrições indevidas, não sendo admitidas, </w:t>
      </w:r>
      <w:r w:rsidRPr="00C353F3">
        <w:rPr>
          <w:rFonts w:eastAsia="Arial Unicode MS"/>
          <w:color w:val="000000" w:themeColor="text1"/>
          <w:sz w:val="20"/>
        </w:rPr>
        <w:lastRenderedPageBreak/>
        <w:t>posteriormente, alegações de desconhecimento das condições do local como fundamento para pleitos de reequilíbrio econômico-financeiro, atrasos ou aditivos contratuais indevidos.</w:t>
      </w:r>
    </w:p>
    <w:p w14:paraId="17AE9B87" w14:textId="77777777"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3.7 – A execução dos serviços não gerará, em nenhuma hipótese, vínculo empregatício entre os empregados ou prepostos da empresa contratada e a Administração Pública, sendo vedada qualquer relação que caracterize pessoalidade ou subordinação direta, competindo exclusivamente à contratada o cumprimento das obrigações trabalhistas, previdenciárias e correlatas.</w:t>
      </w:r>
    </w:p>
    <w:p w14:paraId="022AE3E0" w14:textId="77777777"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3.8 – Para a execução da obra pretendida, os licitantes deverão comprovar atuação em ramo de atividade compatível com o objeto da licitação, bem como apresentar, a título de habilitação e qualificação técnica, nos termos da Lei nº 14.133/2021, a seguinte documentação:</w:t>
      </w:r>
    </w:p>
    <w:p w14:paraId="14404166" w14:textId="77777777"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3.8.1. HABILITAÇÃO JURÍDICA:</w:t>
      </w:r>
    </w:p>
    <w:p w14:paraId="707D0F94" w14:textId="77777777"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a) No caso de empresário individual: inscrição no Registro Público de Empresas Mercantis;</w:t>
      </w:r>
    </w:p>
    <w:p w14:paraId="026D5D36" w14:textId="77777777"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b) Em se tratando de microempreendedor individual – MEI: Certificado da Condição de Microempreendedor Individual – CCMEI;</w:t>
      </w:r>
    </w:p>
    <w:p w14:paraId="11698156" w14:textId="77777777"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c) No caso de sociedade empresária ou empresa individual de responsabilidade limitada: ato constitutivo, estatuto ou contrato social em vigor;</w:t>
      </w:r>
    </w:p>
    <w:p w14:paraId="0D49FCD9" w14:textId="77777777"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d) Inscrição no Registro Público de Empresas Mercantis onde opera, com averbação no registro onde tem sede a matriz, no caso de ser o participante sucursal, filial ou agência;</w:t>
      </w:r>
    </w:p>
    <w:p w14:paraId="452C4306" w14:textId="77777777"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e) No caso de sociedade simples: inscrição do ato constitutivo no Registro Civil das Pessoas Jurídicas;</w:t>
      </w:r>
    </w:p>
    <w:p w14:paraId="736230E2" w14:textId="77777777"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f) No caso de cooperativa: ata de fundação e estatuto social em vigor, com a ata da assembleia que o aprovou;</w:t>
      </w:r>
    </w:p>
    <w:p w14:paraId="5389EFE1" w14:textId="77777777"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g) No caso de empresa ou sociedade estrangeira em funcionamento no País: decreto de autorização.</w:t>
      </w:r>
    </w:p>
    <w:p w14:paraId="21F477B5" w14:textId="77777777"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3.8.2. HABILITAÇÃO FISCAL, SOCIAL E TRABALHISTA:</w:t>
      </w:r>
    </w:p>
    <w:p w14:paraId="52BF5BAB" w14:textId="77777777"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a) Prova de inscrição no Cadastro Nacional de Pessoa Jurídica (CNPJ);</w:t>
      </w:r>
    </w:p>
    <w:p w14:paraId="54BF724F" w14:textId="77777777"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b) Prova de inscrição no cadastro de contribuintes municipal e, se possuir, estadual, relativo ao domicílio ou sede do licitante, pertinente ao seu ramo de atividade e compatível com o objeto da licitação;</w:t>
      </w:r>
    </w:p>
    <w:p w14:paraId="0F7711FE" w14:textId="77777777"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c) Certidão Negativa de Débitos Relativos aos Tributos Federais e à Dívida Ativa da União;</w:t>
      </w:r>
    </w:p>
    <w:p w14:paraId="43D1A22D" w14:textId="77777777"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d) Certidão Negativa de Débitos com a Fazenda Estadual;</w:t>
      </w:r>
    </w:p>
    <w:p w14:paraId="3C3F29BF" w14:textId="77777777"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e) Certidão Negativa de Débitos com a Fazenda Municipal;</w:t>
      </w:r>
    </w:p>
    <w:p w14:paraId="28181BD0" w14:textId="77777777"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f) Certidão de Regularidade junto ao Fundo de Garantia por Tempo de Serviço (FGTS);</w:t>
      </w:r>
    </w:p>
    <w:p w14:paraId="6A5EB702" w14:textId="77777777"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g) Certidão Negativa de Débitos Trabalhistas (CNDT).</w:t>
      </w:r>
    </w:p>
    <w:p w14:paraId="5FA0EB58" w14:textId="77777777"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3.8.3. HABILITAÇÃO ECONÔMICO-FINANCEIRA:</w:t>
      </w:r>
    </w:p>
    <w:p w14:paraId="1F0BBAB0" w14:textId="754533DF"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a) Certidão negativa em matéria falimentar, concordatária, recuperação judicial e extrajudicial, expedida pelo distribuidor da sede da pessoa jurídica, em prazo não superior a 90 (noventa) dias da data designada para a apresentação do documento;</w:t>
      </w:r>
    </w:p>
    <w:p w14:paraId="2005A68A" w14:textId="77777777"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b) Demonstrações contábeis do último exercício, devendo o licitante apresentar, já calculados, os índices econômico-financeiros exigidos no Edital, mediante a aplicação das fórmulas nele dispostas.</w:t>
      </w:r>
    </w:p>
    <w:p w14:paraId="1798E377" w14:textId="77777777"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3.8.4. CERTIFICADO DE REGISTRO (PESSOA JURÍDICA): comprovação de registro da empresa no Conselho Regional de Engenharia e Agronomia – CREA ou no Conselho de Arquitetura e Urbanismo – CAU, conforme atribuição legal compatível com o objeto.</w:t>
      </w:r>
    </w:p>
    <w:p w14:paraId="402A9EC6" w14:textId="77777777"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3.8.5. CERTIFICADO DE REGISTRO (PESSOA FÍSICA): comprovação de registro no CREA ou no CAU dos profissionais técnicos responsáveis pela condução dos serviços contratados, devendo constar, no mínimo, profissional legalmente habilitado com atribuição compatível para execução de obras de drenagem pluvial e infraestrutura urbana, preferencialmente Engenheiro Civil.</w:t>
      </w:r>
    </w:p>
    <w:p w14:paraId="010F91EB" w14:textId="77777777"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3.8.6. CAPACIDADE OPERACIONAL (PESSOA JURÍDICA): apresentação de atestado(s) de capacidade técnica, emitido(s) por pessoa jurídica de direito público ou privado, que comprove(m) experiência da empresa ou consórcio licitante em atividades compatíveis com o objeto licitado, especialmente execução de obras de drenagem pluvial, microdrenagem urbana, assentamento de tubulações em concreto, caixas coletoras/bocas de lobo, bueiros, escavação, reaterro, regularização de subleito ou serviços correlatos de infraestrutura urbana.</w:t>
      </w:r>
    </w:p>
    <w:p w14:paraId="1A74B30F" w14:textId="77777777"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3.8.7. CAPACIDADE PROFISSIONAL (PESSOA FÍSICA): apresentação de Certidão de Acervo Técnico – CAT do responsável técnico da licitante, devidamente registrada no CREA ou CAU, que comprove a execução de obra ou serviço de características semelhantes ao objeto licitado.</w:t>
      </w:r>
    </w:p>
    <w:p w14:paraId="25A1C49F" w14:textId="77777777"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3.8.8. VÍNCULO PROFISSIONAL: comprovação de vínculo de cada profissional técnico que participará da condução dos serviços contratados, observando-se que:</w:t>
      </w:r>
    </w:p>
    <w:p w14:paraId="0727EE29" w14:textId="77777777" w:rsidR="00A814C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a) a comprovação do vínculo poderá ser feita mediante cópia da Carteira de Trabalho e Previdência Social, ficha de registro de empregados, contrato de prestação de serviços, contrato social, ato constitutivo ou declaração de contratação futura acompanhada da anuência do profissional</w:t>
      </w:r>
    </w:p>
    <w:p w14:paraId="025B7AD2" w14:textId="11D72EB7"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lastRenderedPageBreak/>
        <w:t>b) os profissionais indicados deverão participar da execução dos serviços até a conclusão final do contrato, admitindo-se substituição apenas por profissionais de qualificação técnica equivalente ou superior, mediante justificativa e aprovação da fiscalização; e</w:t>
      </w:r>
    </w:p>
    <w:p w14:paraId="6F1E152A" w14:textId="77777777"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c) não será admitida a comprovação de vínculo de um mesmo profissional com mais de uma licitante, sob pena de inabilitação de todas as empresas envolvidas.</w:t>
      </w:r>
    </w:p>
    <w:p w14:paraId="6917D201" w14:textId="26E832F8" w:rsidR="00C353F3" w:rsidRPr="009E0D8C" w:rsidRDefault="00C353F3" w:rsidP="00C353F3">
      <w:pPr>
        <w:spacing w:after="0" w:line="240" w:lineRule="auto"/>
        <w:jc w:val="both"/>
        <w:rPr>
          <w:rFonts w:eastAsia="Arial Unicode MS"/>
          <w:b/>
          <w:bCs/>
          <w:color w:val="000000" w:themeColor="text1"/>
          <w:sz w:val="20"/>
        </w:rPr>
      </w:pPr>
      <w:r w:rsidRPr="009E0D8C">
        <w:rPr>
          <w:rFonts w:eastAsia="Arial Unicode MS"/>
          <w:b/>
          <w:bCs/>
          <w:color w:val="000000" w:themeColor="text1"/>
          <w:sz w:val="20"/>
        </w:rPr>
        <w:t xml:space="preserve">3.9 – Em razão da complexidade técnica da obra, de sua execução contínua, do impacto social direto na mobilidade urbana e rural do Município e das exigências de controle, acompanhamento, segurança e qualidade inerentes às obras de drenagem e infraestrutura urbana, </w:t>
      </w:r>
      <w:r w:rsidRPr="009F3EEB">
        <w:rPr>
          <w:rFonts w:eastAsia="Arial Unicode MS"/>
          <w:b/>
          <w:bCs/>
          <w:color w:val="000000" w:themeColor="text1"/>
          <w:sz w:val="20"/>
          <w:u w:val="single"/>
        </w:rPr>
        <w:t xml:space="preserve">o responsável técnico deverá comprovar disponibilidade mínima de até </w:t>
      </w:r>
      <w:r w:rsidR="009E0D8C" w:rsidRPr="009F3EEB">
        <w:rPr>
          <w:rFonts w:eastAsia="Arial Unicode MS"/>
          <w:b/>
          <w:bCs/>
          <w:color w:val="000000" w:themeColor="text1"/>
          <w:sz w:val="20"/>
          <w:u w:val="single"/>
        </w:rPr>
        <w:t>2</w:t>
      </w:r>
      <w:r w:rsidRPr="009F3EEB">
        <w:rPr>
          <w:rFonts w:eastAsia="Arial Unicode MS"/>
          <w:b/>
          <w:bCs/>
          <w:color w:val="000000" w:themeColor="text1"/>
          <w:sz w:val="20"/>
          <w:u w:val="single"/>
        </w:rPr>
        <w:t>0 (</w:t>
      </w:r>
      <w:r w:rsidR="009E0D8C" w:rsidRPr="009F3EEB">
        <w:rPr>
          <w:rFonts w:eastAsia="Arial Unicode MS"/>
          <w:b/>
          <w:bCs/>
          <w:color w:val="000000" w:themeColor="text1"/>
          <w:sz w:val="20"/>
          <w:u w:val="single"/>
        </w:rPr>
        <w:t>vinte</w:t>
      </w:r>
      <w:r w:rsidRPr="009F3EEB">
        <w:rPr>
          <w:rFonts w:eastAsia="Arial Unicode MS"/>
          <w:b/>
          <w:bCs/>
          <w:color w:val="000000" w:themeColor="text1"/>
          <w:sz w:val="20"/>
          <w:u w:val="single"/>
        </w:rPr>
        <w:t>) horas semanais dedicadas ao acompanhamento da obra</w:t>
      </w:r>
      <w:r w:rsidRPr="009E0D8C">
        <w:rPr>
          <w:rFonts w:eastAsia="Arial Unicode MS"/>
          <w:b/>
          <w:bCs/>
          <w:color w:val="000000" w:themeColor="text1"/>
          <w:sz w:val="20"/>
        </w:rPr>
        <w:t>, durante todo o período de execução contratual.</w:t>
      </w:r>
    </w:p>
    <w:p w14:paraId="256BB47A" w14:textId="77777777"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3.9.1 – A exigência de disponibilidade mínima tem por finalidade assegurar acompanhamento técnico efetivo, adequado controle da execução, mitigação de riscos construtivos e correção tempestiva de eventuais não conformidades, não configurando ingerência na organização interna da contratada. O descumprimento da disponibilidade mínima poderá caracterizar inexecução contratual, sujeitando a contratada às sanções cabíveis.</w:t>
      </w:r>
    </w:p>
    <w:p w14:paraId="43A3BE6F" w14:textId="77777777"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3.9.2 – Os profissionais indicados deverão participar efetivamente da execução da obra até sua conclusão, admitindo-se substituição apenas por profissionais de qualificação equivalente ou superior, mediante justificativa e aprovação da fiscalização.</w:t>
      </w:r>
    </w:p>
    <w:p w14:paraId="12FF39DA" w14:textId="77777777"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3.10 – Das obrigações da empresa contratada:</w:t>
      </w:r>
    </w:p>
    <w:p w14:paraId="1502FFAD" w14:textId="77777777"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a) Executar os serviços de implantação de sistema de microdrenagem/drenagem pluvial na Rua 4 de Julho, Rodovia VRS-835 e ruas adjacentes dos bairros Cidade Baixa e Morro Bonito, conforme projetos aprovados, memorial descritivo, planilhas orçamentárias, cronograma físico-financeiro e demais documentos técnicos;</w:t>
      </w:r>
    </w:p>
    <w:p w14:paraId="2CE5BD26" w14:textId="77777777"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b) Executar tubulações em concreto, caixas coletoras/bocas de lobo, meio-fio, bueiro tubular, escavações, preparo de fundo de vala, reaterro, regularização e compactação de subleito, carga, transporte e demais serviços complementares necessários;</w:t>
      </w:r>
    </w:p>
    <w:p w14:paraId="116E6F9E" w14:textId="77777777"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c) Empregar materiais de qualidade e observar rigorosamente as normas técnicas aplicáveis;</w:t>
      </w:r>
    </w:p>
    <w:p w14:paraId="663C2AD2" w14:textId="77777777"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d) Disponibilizar mão de obra qualificada e equipamentos adequados;</w:t>
      </w:r>
    </w:p>
    <w:p w14:paraId="1839DDC3" w14:textId="77777777"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e) Apresentar relatórios periódicos de progresso, medições, registros fotográficos e documentos de controle de qualidade, quando solicitados pela fiscalização;</w:t>
      </w:r>
    </w:p>
    <w:p w14:paraId="540169F1" w14:textId="77777777"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f) Garantir limpeza, organização do canteiro, segurança da área de intervenção e mitigação de impactos ambientais;</w:t>
      </w:r>
    </w:p>
    <w:p w14:paraId="168F013F" w14:textId="77777777"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g) Assumir integral responsabilidade pela boa execução dos serviços e por danos eventualmente causados ao Município ou a terceiros;</w:t>
      </w:r>
    </w:p>
    <w:p w14:paraId="44885E33" w14:textId="77777777"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h) Prestar todas as informações e esclarecimentos solicitados pela Administração;</w:t>
      </w:r>
    </w:p>
    <w:p w14:paraId="196B0AD3" w14:textId="77777777"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i) Manter quadro de pessoal suficiente para atendimento contínuo da obra;</w:t>
      </w:r>
    </w:p>
    <w:p w14:paraId="025989EB" w14:textId="77777777"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j) Executar os serviços conforme o contrato e seus anexos;</w:t>
      </w:r>
    </w:p>
    <w:p w14:paraId="4360D6E2" w14:textId="77777777"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k) Arcar com todos os custos de materiais, mão de obra, equipamentos, transporte, encargos e demais despesas necessárias até o recebimento definitivo do objeto;</w:t>
      </w:r>
    </w:p>
    <w:p w14:paraId="7A08C855" w14:textId="77777777"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l) Adotar critérios de sustentabilidade ambiental, econômica e social;</w:t>
      </w:r>
    </w:p>
    <w:p w14:paraId="46C8CD9F" w14:textId="77777777"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m) Providenciar as ARTs/RRTs necessárias à execução da obra, bem como o Cadastro Nacional de Obras – CNO, quando aplicável, junto aos órgãos competentes;</w:t>
      </w:r>
    </w:p>
    <w:p w14:paraId="2FC4CC81" w14:textId="77777777"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n) Executar fielmente os serviços descritos no Projeto de Engenharia e no Memorial Descritivo;</w:t>
      </w:r>
    </w:p>
    <w:p w14:paraId="3D4287C3" w14:textId="77777777"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o) Acatar determinações de paralisação da obra quando constatadas irregularidades de segurança, saúde do trabalho, risco à população ou desconformidade técnica relevante;</w:t>
      </w:r>
    </w:p>
    <w:p w14:paraId="259E296E" w14:textId="27305B3B"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 xml:space="preserve">p) Apresentar, em até 10 (dez) dias úteis após a contratação, o </w:t>
      </w:r>
      <w:r w:rsidR="009F3EEB" w:rsidRPr="009F3EEB">
        <w:rPr>
          <w:rFonts w:eastAsia="Arial Unicode MS"/>
          <w:color w:val="000000" w:themeColor="text1"/>
          <w:sz w:val="20"/>
        </w:rPr>
        <w:t>Plano Executivo de Obra</w:t>
      </w:r>
      <w:r w:rsidR="009F3EEB">
        <w:rPr>
          <w:rFonts w:eastAsia="Arial Unicode MS"/>
          <w:color w:val="000000" w:themeColor="text1"/>
          <w:sz w:val="20"/>
        </w:rPr>
        <w:t xml:space="preserve"> </w:t>
      </w:r>
      <w:r w:rsidRPr="00C353F3">
        <w:rPr>
          <w:rFonts w:eastAsia="Arial Unicode MS"/>
          <w:color w:val="000000" w:themeColor="text1"/>
          <w:sz w:val="20"/>
        </w:rPr>
        <w:t>consolidado da frente de obra, como condição para emissão da Ordem de Início;</w:t>
      </w:r>
    </w:p>
    <w:p w14:paraId="332404CF" w14:textId="77777777"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q) Refazer, sem ônus ao Município, serviços executados com vícios, defeitos ou em desconformidade com os projetos e especificações técnicas; e</w:t>
      </w:r>
    </w:p>
    <w:p w14:paraId="38648C05" w14:textId="77777777"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r) Responder integralmente por danos causados ao contratante ou a terceiros durante a execução.</w:t>
      </w:r>
    </w:p>
    <w:p w14:paraId="68DB6E0E" w14:textId="77777777"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3.11 – Das obrigações do Município:</w:t>
      </w:r>
    </w:p>
    <w:p w14:paraId="13480161" w14:textId="77777777"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a) Disponibilizar os projetos, memoriais, planilhas e informações técnicas necessárias;</w:t>
      </w:r>
    </w:p>
    <w:p w14:paraId="09353EED" w14:textId="77777777"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b) Assegurar acesso às áreas de execução, quando dependente de providência administrativa municipal;</w:t>
      </w:r>
    </w:p>
    <w:p w14:paraId="6E08B1B8" w14:textId="77777777"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c) Fiscalizar a execução contratual por meio dos servidores e profissionais designados;</w:t>
      </w:r>
    </w:p>
    <w:p w14:paraId="5D09DEEF" w14:textId="77777777"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d) Efetuar os pagamentos conforme medições regularmente atestadas e condições contratuais;</w:t>
      </w:r>
    </w:p>
    <w:p w14:paraId="30F6CA6B" w14:textId="77777777"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lastRenderedPageBreak/>
        <w:t>e) Realizar o acompanhamento da execução física e financeira da obra, inclusive para fins de atendimento às exigências do Convênio FPE nº 2014/2026; e</w:t>
      </w:r>
    </w:p>
    <w:p w14:paraId="14EE5BC6" w14:textId="77777777" w:rsidR="00C353F3" w:rsidRPr="00C353F3"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f) Adotar as providências administrativas necessárias ao registro, monitoramento, prestação de contas e comprovação da execução do objeto junto aos sistemas e órgãos competentes.</w:t>
      </w:r>
    </w:p>
    <w:p w14:paraId="7D309440" w14:textId="100687EF" w:rsidR="00AC3C00" w:rsidRDefault="00C353F3" w:rsidP="00C353F3">
      <w:pPr>
        <w:spacing w:after="0" w:line="240" w:lineRule="auto"/>
        <w:jc w:val="both"/>
        <w:rPr>
          <w:rFonts w:eastAsia="Arial Unicode MS"/>
          <w:color w:val="000000" w:themeColor="text1"/>
          <w:sz w:val="20"/>
        </w:rPr>
      </w:pPr>
      <w:r w:rsidRPr="00C353F3">
        <w:rPr>
          <w:rFonts w:eastAsia="Arial Unicode MS"/>
          <w:color w:val="000000" w:themeColor="text1"/>
          <w:sz w:val="20"/>
        </w:rPr>
        <w:t>3.12 – Informações complementares, critérios específicos, exigências adicionais, condições de execução, critérios de medição e pagamento e demais disposições contratuais serão detalhados no Termo de Referência e no Edital, os quais integrarão o conjunto de documentos que regerão a contratação.</w:t>
      </w:r>
    </w:p>
    <w:p w14:paraId="789C9028" w14:textId="77777777" w:rsidR="000175DE" w:rsidRPr="00EF52E1" w:rsidRDefault="000175DE" w:rsidP="00E16BA6">
      <w:pPr>
        <w:spacing w:after="0" w:line="240" w:lineRule="auto"/>
        <w:jc w:val="both"/>
        <w:rPr>
          <w:rFonts w:eastAsia="Arial Unicode MS"/>
          <w:bCs/>
          <w:color w:val="000000" w:themeColor="text1"/>
          <w:sz w:val="20"/>
        </w:rPr>
      </w:pPr>
    </w:p>
    <w:p w14:paraId="5077A9A5" w14:textId="77777777" w:rsidR="006E786C" w:rsidRPr="00EF52E1" w:rsidRDefault="00F640AA" w:rsidP="00E16BA6">
      <w:pPr>
        <w:spacing w:after="0" w:line="240" w:lineRule="auto"/>
        <w:jc w:val="both"/>
        <w:rPr>
          <w:rFonts w:eastAsia="Arial Unicode MS"/>
          <w:b/>
          <w:color w:val="000000" w:themeColor="text1"/>
          <w:sz w:val="20"/>
        </w:rPr>
      </w:pPr>
      <w:r w:rsidRPr="00EF52E1">
        <w:rPr>
          <w:rFonts w:eastAsia="Arial Unicode MS"/>
          <w:b/>
          <w:color w:val="000000" w:themeColor="text1"/>
          <w:sz w:val="20"/>
        </w:rPr>
        <w:t>4</w:t>
      </w:r>
      <w:r w:rsidR="006E786C" w:rsidRPr="00EF52E1">
        <w:rPr>
          <w:rFonts w:eastAsia="Arial Unicode MS" w:hint="eastAsia"/>
          <w:b/>
          <w:color w:val="000000" w:themeColor="text1"/>
          <w:sz w:val="20"/>
        </w:rPr>
        <w:t xml:space="preserve"> - LEVANTAMENTO DO MERCADO:</w:t>
      </w:r>
    </w:p>
    <w:p w14:paraId="63DAD82C" w14:textId="77777777" w:rsidR="00B46783" w:rsidRPr="00B46783" w:rsidRDefault="00B46783" w:rsidP="00B46783">
      <w:pPr>
        <w:spacing w:after="0" w:line="240" w:lineRule="auto"/>
        <w:jc w:val="both"/>
        <w:rPr>
          <w:rFonts w:eastAsia="Arial Unicode MS"/>
          <w:color w:val="000000" w:themeColor="text1"/>
          <w:sz w:val="20"/>
        </w:rPr>
      </w:pPr>
      <w:r w:rsidRPr="00B46783">
        <w:rPr>
          <w:rFonts w:eastAsia="Arial Unicode MS"/>
          <w:color w:val="000000" w:themeColor="text1"/>
          <w:sz w:val="20"/>
        </w:rPr>
        <w:t>4.1 – O levantamento de mercado foi desenvolvido com o objetivo de identificar, analisar e comparar as principais soluções disponíveis para atendimento da necessidade pública relacionada à implantação de sistema de microdrenagem/drenagem pluvial na Rua 4 de Julho, Rodovia VRS-835 e ruas adjacentes, nos bairros Cidade Baixa e Morro Bonito, considerando tanto a contratação de empresa especializada quanto a eventual execução direta pela Administração Municipal, com utilização de estrutura própria.</w:t>
      </w:r>
    </w:p>
    <w:p w14:paraId="7989990E" w14:textId="77777777" w:rsidR="00B46783" w:rsidRPr="00B46783" w:rsidRDefault="00B46783" w:rsidP="00B46783">
      <w:pPr>
        <w:spacing w:after="0" w:line="240" w:lineRule="auto"/>
        <w:jc w:val="both"/>
        <w:rPr>
          <w:rFonts w:eastAsia="Arial Unicode MS"/>
          <w:color w:val="000000" w:themeColor="text1"/>
          <w:sz w:val="20"/>
        </w:rPr>
      </w:pPr>
      <w:r w:rsidRPr="00B46783">
        <w:rPr>
          <w:rFonts w:eastAsia="Arial Unicode MS"/>
          <w:color w:val="000000" w:themeColor="text1"/>
          <w:sz w:val="20"/>
        </w:rPr>
        <w:t>4.2 – A análise contemplou, inicialmente, as seguintes alternativas para atendimento da demanda:</w:t>
      </w:r>
    </w:p>
    <w:p w14:paraId="02E502C9" w14:textId="0A1CECC8" w:rsidR="00B46783" w:rsidRPr="00B46783" w:rsidRDefault="00B46783" w:rsidP="00B46783">
      <w:pPr>
        <w:spacing w:after="0" w:line="240" w:lineRule="auto"/>
        <w:jc w:val="both"/>
        <w:rPr>
          <w:rFonts w:eastAsia="Arial Unicode MS"/>
          <w:color w:val="000000" w:themeColor="text1"/>
          <w:sz w:val="20"/>
        </w:rPr>
      </w:pPr>
      <w:r w:rsidRPr="00B46783">
        <w:rPr>
          <w:rFonts w:eastAsia="Arial Unicode MS"/>
          <w:color w:val="000000" w:themeColor="text1"/>
          <w:sz w:val="20"/>
        </w:rPr>
        <w:t>a) Contratação de empresa especializada para execução integral da obra: solução que transfere à contratada a responsabilidade pela mobilização de equipes, equipamentos, materiais, execução técnica, controles, ARTs/RRTs de execução e cumprimento do cronograma, conforme projeto de engenharia, memorial descritivo, planilhas orçamentárias e demais especificações;</w:t>
      </w:r>
    </w:p>
    <w:p w14:paraId="2C816609" w14:textId="12B458DA" w:rsidR="00B46783" w:rsidRPr="00B46783" w:rsidRDefault="00B46783" w:rsidP="00B46783">
      <w:pPr>
        <w:spacing w:after="0" w:line="240" w:lineRule="auto"/>
        <w:jc w:val="both"/>
        <w:rPr>
          <w:rFonts w:eastAsia="Arial Unicode MS"/>
          <w:color w:val="000000" w:themeColor="text1"/>
          <w:sz w:val="20"/>
        </w:rPr>
      </w:pPr>
      <w:r w:rsidRPr="00B46783">
        <w:rPr>
          <w:rFonts w:eastAsia="Arial Unicode MS"/>
          <w:color w:val="000000" w:themeColor="text1"/>
          <w:sz w:val="20"/>
        </w:rPr>
        <w:t>b) Execução direta pela Prefeitura, com meios próprios: alternativa que envolveria a utilização de servidores, máquinas, equipamentos e estrutura operacional municipal para a execução dos serviços, exigindo disponibilidade de equipe técnica e operacional suficiente, aquisição direta de materiais, mobilização permanente de maquinário, controle de qualidade, responsabilidade técnica, capacidade de execução simultânea das frentes de obra e gestão direta dos riscos construtivos;</w:t>
      </w:r>
    </w:p>
    <w:p w14:paraId="1BB8E31E" w14:textId="2BC14C68" w:rsidR="00B46783" w:rsidRPr="00B46783" w:rsidRDefault="00B46783" w:rsidP="00B46783">
      <w:pPr>
        <w:spacing w:after="0" w:line="240" w:lineRule="auto"/>
        <w:jc w:val="both"/>
        <w:rPr>
          <w:rFonts w:eastAsia="Arial Unicode MS"/>
          <w:color w:val="000000" w:themeColor="text1"/>
          <w:sz w:val="20"/>
        </w:rPr>
      </w:pPr>
      <w:r w:rsidRPr="00B46783">
        <w:rPr>
          <w:rFonts w:eastAsia="Arial Unicode MS"/>
          <w:color w:val="000000" w:themeColor="text1"/>
          <w:sz w:val="20"/>
        </w:rPr>
        <w:t>c) Execução mista, com parte dos serviços por meios próprios e parte mediante contratação: alternativa em que a Administração executaria determinados serviços preliminares ou complementares e contrataria empresa para etapas mais técnicas, como fornecimento e assentamento de tubulações, caixas coletoras, bueiros e demais dispositivos de drenagem.</w:t>
      </w:r>
    </w:p>
    <w:p w14:paraId="21283B49" w14:textId="319D07E0" w:rsidR="00B46783" w:rsidRPr="00B46783" w:rsidRDefault="00B46783" w:rsidP="00B46783">
      <w:pPr>
        <w:spacing w:after="0" w:line="240" w:lineRule="auto"/>
        <w:jc w:val="both"/>
        <w:rPr>
          <w:rFonts w:eastAsia="Arial Unicode MS"/>
          <w:color w:val="000000" w:themeColor="text1"/>
          <w:sz w:val="20"/>
        </w:rPr>
      </w:pPr>
      <w:r w:rsidRPr="00B46783">
        <w:rPr>
          <w:rFonts w:eastAsia="Arial Unicode MS"/>
          <w:color w:val="000000" w:themeColor="text1"/>
          <w:sz w:val="20"/>
        </w:rPr>
        <w:t>4.3 – Considerando a natureza da intervenção, foram também avaliadas as soluções técnicas usualmente disponíveis para obras de drenagem urbana, especialmente:</w:t>
      </w:r>
    </w:p>
    <w:p w14:paraId="1F7733AB" w14:textId="77777777" w:rsidR="00B46783" w:rsidRPr="00B46783" w:rsidRDefault="00B46783" w:rsidP="00B46783">
      <w:pPr>
        <w:spacing w:after="0" w:line="240" w:lineRule="auto"/>
        <w:jc w:val="both"/>
        <w:rPr>
          <w:rFonts w:eastAsia="Arial Unicode MS"/>
          <w:color w:val="000000" w:themeColor="text1"/>
          <w:sz w:val="20"/>
        </w:rPr>
      </w:pPr>
      <w:r w:rsidRPr="00B46783">
        <w:rPr>
          <w:rFonts w:eastAsia="Arial Unicode MS"/>
          <w:color w:val="000000" w:themeColor="text1"/>
          <w:sz w:val="20"/>
        </w:rPr>
        <w:t>a) Rede de microdrenagem com tubos de concreto, caixas coletoras/bocas de lobo, meio-fio e dispositivos complementares: solução convencional, amplamente empregada em áreas urbanas, destinada à captação e condução subterrânea das águas pluviais, com boa durabilidade, disponibilidade de insumos, facilidade de manutenção e compatibilidade com vias existentes;</w:t>
      </w:r>
    </w:p>
    <w:p w14:paraId="347D6AFD" w14:textId="7043EAE6" w:rsidR="00B46783" w:rsidRPr="00B46783" w:rsidRDefault="00B46783" w:rsidP="00B46783">
      <w:pPr>
        <w:spacing w:after="0" w:line="240" w:lineRule="auto"/>
        <w:jc w:val="both"/>
        <w:rPr>
          <w:rFonts w:eastAsia="Arial Unicode MS"/>
          <w:color w:val="000000" w:themeColor="text1"/>
          <w:sz w:val="20"/>
        </w:rPr>
      </w:pPr>
      <w:r w:rsidRPr="00B46783">
        <w:rPr>
          <w:rFonts w:eastAsia="Arial Unicode MS"/>
          <w:color w:val="000000" w:themeColor="text1"/>
          <w:sz w:val="20"/>
        </w:rPr>
        <w:t>b) Drenagem superficial por sarjetas, valetas ou canaletas abertas: solução de menor complexidade, porém limitada para áreas urbanizadas, por gerar maior exposição a obstruções, interferências em acessos, riscos à segurança e menor eficiência em pontos de maior contribuição hídrica;</w:t>
      </w:r>
    </w:p>
    <w:p w14:paraId="6707C249" w14:textId="7897612D" w:rsidR="00B46783" w:rsidRPr="00B46783" w:rsidRDefault="00B46783" w:rsidP="00B46783">
      <w:pPr>
        <w:spacing w:after="0" w:line="240" w:lineRule="auto"/>
        <w:jc w:val="both"/>
        <w:rPr>
          <w:rFonts w:eastAsia="Arial Unicode MS"/>
          <w:color w:val="000000" w:themeColor="text1"/>
          <w:sz w:val="20"/>
        </w:rPr>
      </w:pPr>
      <w:r w:rsidRPr="00B46783">
        <w:rPr>
          <w:rFonts w:eastAsia="Arial Unicode MS"/>
          <w:color w:val="000000" w:themeColor="text1"/>
          <w:sz w:val="20"/>
        </w:rPr>
        <w:t>c) Soluções de macrodrenagem ou galerias de grande porte: indicadas para volumes expressivos de vazão ou intervenções em cursos d’água e bacias de maior porte, com custo elevado, maior complexidade técnica e maior impacto executivo;</w:t>
      </w:r>
    </w:p>
    <w:p w14:paraId="30F2A0A6" w14:textId="77777777" w:rsidR="00B46783" w:rsidRDefault="00B46783" w:rsidP="00B46783">
      <w:pPr>
        <w:spacing w:after="0" w:line="240" w:lineRule="auto"/>
        <w:jc w:val="both"/>
        <w:rPr>
          <w:rFonts w:eastAsia="Arial Unicode MS"/>
          <w:color w:val="000000" w:themeColor="text1"/>
          <w:sz w:val="20"/>
        </w:rPr>
      </w:pPr>
      <w:r w:rsidRPr="00B46783">
        <w:rPr>
          <w:rFonts w:eastAsia="Arial Unicode MS"/>
          <w:color w:val="000000" w:themeColor="text1"/>
          <w:sz w:val="20"/>
        </w:rPr>
        <w:t>d) Soluções compensatórias ou sustentáveis de drenagem urbana, como pavimentos permeáveis, jardins de chuva, trincheiras de infiltração e reservatórios de detenção: medidas complementares relevantes, mas dependentes de condições específicas de solo, disponibilidade de áreas, manutenção contínua e compatibilidade com a infraestrutura existente.</w:t>
      </w:r>
    </w:p>
    <w:p w14:paraId="02CA3D38" w14:textId="6709CC0E" w:rsidR="005E5775" w:rsidRDefault="005E5775" w:rsidP="00B46783">
      <w:pPr>
        <w:spacing w:after="0" w:line="240" w:lineRule="auto"/>
        <w:jc w:val="both"/>
        <w:rPr>
          <w:rFonts w:eastAsia="Arial Unicode MS"/>
          <w:b/>
          <w:bCs/>
          <w:color w:val="000000" w:themeColor="text1"/>
          <w:sz w:val="20"/>
        </w:rPr>
      </w:pPr>
      <w:r w:rsidRPr="00EF52E1">
        <w:rPr>
          <w:rFonts w:eastAsia="Arial Unicode MS"/>
          <w:b/>
          <w:bCs/>
          <w:color w:val="000000" w:themeColor="text1"/>
          <w:sz w:val="20"/>
        </w:rPr>
        <w:t xml:space="preserve">4.4 – </w:t>
      </w:r>
      <w:r w:rsidR="00090D5F" w:rsidRPr="00EF52E1">
        <w:rPr>
          <w:rFonts w:eastAsia="Arial Unicode MS"/>
          <w:b/>
          <w:bCs/>
          <w:color w:val="000000" w:themeColor="text1"/>
          <w:sz w:val="20"/>
        </w:rPr>
        <w:t>QUADRO COMPARATIVO DAS ALTERNATIVAS TÉCNICAS: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80"/>
        <w:gridCol w:w="2410"/>
        <w:gridCol w:w="2551"/>
        <w:gridCol w:w="2120"/>
      </w:tblGrid>
      <w:tr w:rsidR="00B46783" w:rsidRPr="00B46783" w14:paraId="3DF3D418" w14:textId="77777777" w:rsidTr="00B65696">
        <w:trPr>
          <w:trHeight w:val="420"/>
          <w:tblHeader/>
          <w:tblCellSpacing w:w="15" w:type="dxa"/>
        </w:trPr>
        <w:tc>
          <w:tcPr>
            <w:tcW w:w="1935" w:type="dxa"/>
            <w:vAlign w:val="center"/>
            <w:hideMark/>
          </w:tcPr>
          <w:p w14:paraId="50FBAF16" w14:textId="77777777" w:rsidR="00B46783" w:rsidRPr="00B46783" w:rsidRDefault="00B46783" w:rsidP="00B46783">
            <w:pPr>
              <w:spacing w:after="0" w:line="240" w:lineRule="auto"/>
              <w:jc w:val="center"/>
              <w:rPr>
                <w:rFonts w:eastAsia="Arial Unicode MS"/>
                <w:b/>
                <w:bCs/>
                <w:color w:val="000000" w:themeColor="text1"/>
                <w:sz w:val="16"/>
                <w:szCs w:val="16"/>
              </w:rPr>
            </w:pPr>
            <w:r w:rsidRPr="00B46783">
              <w:rPr>
                <w:rFonts w:eastAsia="Arial Unicode MS"/>
                <w:b/>
                <w:bCs/>
                <w:color w:val="000000" w:themeColor="text1"/>
                <w:sz w:val="16"/>
                <w:szCs w:val="16"/>
              </w:rPr>
              <w:t>Critério</w:t>
            </w:r>
          </w:p>
        </w:tc>
        <w:tc>
          <w:tcPr>
            <w:tcW w:w="2380" w:type="dxa"/>
            <w:vAlign w:val="center"/>
            <w:hideMark/>
          </w:tcPr>
          <w:p w14:paraId="6278D215" w14:textId="77777777" w:rsidR="00B46783" w:rsidRPr="00B46783" w:rsidRDefault="00B46783" w:rsidP="00B46783">
            <w:pPr>
              <w:spacing w:after="0" w:line="240" w:lineRule="auto"/>
              <w:jc w:val="center"/>
              <w:rPr>
                <w:rFonts w:eastAsia="Arial Unicode MS"/>
                <w:b/>
                <w:bCs/>
                <w:color w:val="000000" w:themeColor="text1"/>
                <w:sz w:val="16"/>
                <w:szCs w:val="16"/>
              </w:rPr>
            </w:pPr>
            <w:r w:rsidRPr="00B46783">
              <w:rPr>
                <w:rFonts w:eastAsia="Arial Unicode MS"/>
                <w:b/>
                <w:bCs/>
                <w:color w:val="000000" w:themeColor="text1"/>
                <w:sz w:val="16"/>
                <w:szCs w:val="16"/>
              </w:rPr>
              <w:t>Contratação de empresa especializada</w:t>
            </w:r>
          </w:p>
        </w:tc>
        <w:tc>
          <w:tcPr>
            <w:tcW w:w="2521" w:type="dxa"/>
            <w:vAlign w:val="center"/>
            <w:hideMark/>
          </w:tcPr>
          <w:p w14:paraId="50204978" w14:textId="77777777" w:rsidR="00B46783" w:rsidRPr="00B46783" w:rsidRDefault="00B46783" w:rsidP="00B46783">
            <w:pPr>
              <w:spacing w:after="0" w:line="240" w:lineRule="auto"/>
              <w:jc w:val="center"/>
              <w:rPr>
                <w:rFonts w:eastAsia="Arial Unicode MS"/>
                <w:b/>
                <w:bCs/>
                <w:color w:val="000000" w:themeColor="text1"/>
                <w:sz w:val="16"/>
                <w:szCs w:val="16"/>
              </w:rPr>
            </w:pPr>
            <w:r w:rsidRPr="00B46783">
              <w:rPr>
                <w:rFonts w:eastAsia="Arial Unicode MS"/>
                <w:b/>
                <w:bCs/>
                <w:color w:val="000000" w:themeColor="text1"/>
                <w:sz w:val="16"/>
                <w:szCs w:val="16"/>
              </w:rPr>
              <w:t>Execução direta pela Prefeitura</w:t>
            </w:r>
          </w:p>
        </w:tc>
        <w:tc>
          <w:tcPr>
            <w:tcW w:w="2075" w:type="dxa"/>
            <w:vAlign w:val="center"/>
            <w:hideMark/>
          </w:tcPr>
          <w:p w14:paraId="01AF5245" w14:textId="77777777" w:rsidR="00B46783" w:rsidRPr="00B46783" w:rsidRDefault="00B46783" w:rsidP="00B46783">
            <w:pPr>
              <w:spacing w:after="0" w:line="240" w:lineRule="auto"/>
              <w:jc w:val="center"/>
              <w:rPr>
                <w:rFonts w:eastAsia="Arial Unicode MS"/>
                <w:b/>
                <w:bCs/>
                <w:color w:val="000000" w:themeColor="text1"/>
                <w:sz w:val="16"/>
                <w:szCs w:val="16"/>
              </w:rPr>
            </w:pPr>
            <w:r w:rsidRPr="00B46783">
              <w:rPr>
                <w:rFonts w:eastAsia="Arial Unicode MS"/>
                <w:b/>
                <w:bCs/>
                <w:color w:val="000000" w:themeColor="text1"/>
                <w:sz w:val="16"/>
                <w:szCs w:val="16"/>
              </w:rPr>
              <w:t>Execução mista</w:t>
            </w:r>
          </w:p>
        </w:tc>
      </w:tr>
      <w:tr w:rsidR="00B46783" w:rsidRPr="00B46783" w14:paraId="4BC66A80" w14:textId="77777777" w:rsidTr="00B65696">
        <w:trPr>
          <w:trHeight w:val="511"/>
          <w:tblCellSpacing w:w="15" w:type="dxa"/>
        </w:trPr>
        <w:tc>
          <w:tcPr>
            <w:tcW w:w="1935" w:type="dxa"/>
            <w:vAlign w:val="center"/>
            <w:hideMark/>
          </w:tcPr>
          <w:p w14:paraId="4E1C6AF2"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Capacidade técnica imediata</w:t>
            </w:r>
          </w:p>
        </w:tc>
        <w:tc>
          <w:tcPr>
            <w:tcW w:w="2380" w:type="dxa"/>
            <w:vAlign w:val="center"/>
            <w:hideMark/>
          </w:tcPr>
          <w:p w14:paraId="333FA8AC"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Alta</w:t>
            </w:r>
          </w:p>
        </w:tc>
        <w:tc>
          <w:tcPr>
            <w:tcW w:w="2521" w:type="dxa"/>
            <w:vAlign w:val="center"/>
            <w:hideMark/>
          </w:tcPr>
          <w:p w14:paraId="2C369166"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Limitada/condicionada à estrutura disponível</w:t>
            </w:r>
          </w:p>
        </w:tc>
        <w:tc>
          <w:tcPr>
            <w:tcW w:w="2075" w:type="dxa"/>
            <w:vAlign w:val="center"/>
            <w:hideMark/>
          </w:tcPr>
          <w:p w14:paraId="4474B166"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Média</w:t>
            </w:r>
          </w:p>
        </w:tc>
      </w:tr>
      <w:tr w:rsidR="00B46783" w:rsidRPr="00B46783" w14:paraId="1420E6BF" w14:textId="77777777" w:rsidTr="00B65696">
        <w:trPr>
          <w:tblCellSpacing w:w="15" w:type="dxa"/>
        </w:trPr>
        <w:tc>
          <w:tcPr>
            <w:tcW w:w="1935" w:type="dxa"/>
            <w:vAlign w:val="center"/>
            <w:hideMark/>
          </w:tcPr>
          <w:p w14:paraId="15F07F2D"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Disponibilidade de equipamentos</w:t>
            </w:r>
          </w:p>
        </w:tc>
        <w:tc>
          <w:tcPr>
            <w:tcW w:w="2380" w:type="dxa"/>
            <w:vAlign w:val="center"/>
            <w:hideMark/>
          </w:tcPr>
          <w:p w14:paraId="464BB08C"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Alta, sob responsabilidade da contratada</w:t>
            </w:r>
          </w:p>
        </w:tc>
        <w:tc>
          <w:tcPr>
            <w:tcW w:w="2521" w:type="dxa"/>
            <w:vAlign w:val="center"/>
            <w:hideMark/>
          </w:tcPr>
          <w:p w14:paraId="60C0C479"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Condicionada à frota municipal</w:t>
            </w:r>
          </w:p>
        </w:tc>
        <w:tc>
          <w:tcPr>
            <w:tcW w:w="2075" w:type="dxa"/>
            <w:vAlign w:val="center"/>
            <w:hideMark/>
          </w:tcPr>
          <w:p w14:paraId="5E3E3916"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Parcial</w:t>
            </w:r>
          </w:p>
        </w:tc>
      </w:tr>
      <w:tr w:rsidR="00B46783" w:rsidRPr="00B46783" w14:paraId="69C48651" w14:textId="77777777" w:rsidTr="00B65696">
        <w:trPr>
          <w:tblCellSpacing w:w="15" w:type="dxa"/>
        </w:trPr>
        <w:tc>
          <w:tcPr>
            <w:tcW w:w="1935" w:type="dxa"/>
            <w:vAlign w:val="center"/>
            <w:hideMark/>
          </w:tcPr>
          <w:p w14:paraId="4D40FA7D"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Disponibilidade de mão de obra</w:t>
            </w:r>
          </w:p>
        </w:tc>
        <w:tc>
          <w:tcPr>
            <w:tcW w:w="2380" w:type="dxa"/>
            <w:vAlign w:val="center"/>
            <w:hideMark/>
          </w:tcPr>
          <w:p w14:paraId="50D663BA"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Alta, sob responsabilidade da contratada</w:t>
            </w:r>
          </w:p>
        </w:tc>
        <w:tc>
          <w:tcPr>
            <w:tcW w:w="2521" w:type="dxa"/>
            <w:vAlign w:val="center"/>
            <w:hideMark/>
          </w:tcPr>
          <w:p w14:paraId="4BBCBA00"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Condicionada ao quadro municipal</w:t>
            </w:r>
          </w:p>
        </w:tc>
        <w:tc>
          <w:tcPr>
            <w:tcW w:w="2075" w:type="dxa"/>
            <w:vAlign w:val="center"/>
            <w:hideMark/>
          </w:tcPr>
          <w:p w14:paraId="22386D44"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Parcial</w:t>
            </w:r>
          </w:p>
        </w:tc>
      </w:tr>
      <w:tr w:rsidR="00B46783" w:rsidRPr="00B46783" w14:paraId="5831832D" w14:textId="77777777" w:rsidTr="00B65696">
        <w:trPr>
          <w:tblCellSpacing w:w="15" w:type="dxa"/>
        </w:trPr>
        <w:tc>
          <w:tcPr>
            <w:tcW w:w="1935" w:type="dxa"/>
            <w:vAlign w:val="center"/>
            <w:hideMark/>
          </w:tcPr>
          <w:p w14:paraId="3361CF9B"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Controle de prazo</w:t>
            </w:r>
          </w:p>
        </w:tc>
        <w:tc>
          <w:tcPr>
            <w:tcW w:w="2380" w:type="dxa"/>
            <w:vAlign w:val="center"/>
            <w:hideMark/>
          </w:tcPr>
          <w:p w14:paraId="4A6642A7"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Maior previsibilidade contratual</w:t>
            </w:r>
          </w:p>
        </w:tc>
        <w:tc>
          <w:tcPr>
            <w:tcW w:w="2521" w:type="dxa"/>
            <w:vAlign w:val="center"/>
            <w:hideMark/>
          </w:tcPr>
          <w:p w14:paraId="5017D63C"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Maior risco de atrasos por demandas rotineiras</w:t>
            </w:r>
          </w:p>
        </w:tc>
        <w:tc>
          <w:tcPr>
            <w:tcW w:w="2075" w:type="dxa"/>
            <w:vAlign w:val="center"/>
            <w:hideMark/>
          </w:tcPr>
          <w:p w14:paraId="3D82A645"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Médio</w:t>
            </w:r>
          </w:p>
        </w:tc>
      </w:tr>
      <w:tr w:rsidR="00B46783" w:rsidRPr="00B46783" w14:paraId="01628B63" w14:textId="77777777" w:rsidTr="00B65696">
        <w:trPr>
          <w:tblCellSpacing w:w="15" w:type="dxa"/>
        </w:trPr>
        <w:tc>
          <w:tcPr>
            <w:tcW w:w="1935" w:type="dxa"/>
            <w:vAlign w:val="center"/>
            <w:hideMark/>
          </w:tcPr>
          <w:p w14:paraId="7E823494"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lastRenderedPageBreak/>
              <w:t>Responsabilidade técnica</w:t>
            </w:r>
          </w:p>
        </w:tc>
        <w:tc>
          <w:tcPr>
            <w:tcW w:w="2380" w:type="dxa"/>
            <w:vAlign w:val="center"/>
            <w:hideMark/>
          </w:tcPr>
          <w:p w14:paraId="64280CCC"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Concentrada na contratada, com ART/RRT</w:t>
            </w:r>
          </w:p>
        </w:tc>
        <w:tc>
          <w:tcPr>
            <w:tcW w:w="2521" w:type="dxa"/>
            <w:vAlign w:val="center"/>
            <w:hideMark/>
          </w:tcPr>
          <w:p w14:paraId="6F7FD1D6"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Assumida diretamente pelo Município</w:t>
            </w:r>
          </w:p>
        </w:tc>
        <w:tc>
          <w:tcPr>
            <w:tcW w:w="2075" w:type="dxa"/>
            <w:vAlign w:val="center"/>
            <w:hideMark/>
          </w:tcPr>
          <w:p w14:paraId="15A1F5E2"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Compartilhada</w:t>
            </w:r>
          </w:p>
        </w:tc>
      </w:tr>
      <w:tr w:rsidR="00B46783" w:rsidRPr="00B46783" w14:paraId="7F968A45" w14:textId="77777777" w:rsidTr="00B65696">
        <w:trPr>
          <w:tblCellSpacing w:w="15" w:type="dxa"/>
        </w:trPr>
        <w:tc>
          <w:tcPr>
            <w:tcW w:w="1935" w:type="dxa"/>
            <w:vAlign w:val="center"/>
            <w:hideMark/>
          </w:tcPr>
          <w:p w14:paraId="3C8A15DA"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Aquisição e gestão de materiais</w:t>
            </w:r>
          </w:p>
        </w:tc>
        <w:tc>
          <w:tcPr>
            <w:tcW w:w="2380" w:type="dxa"/>
            <w:vAlign w:val="center"/>
            <w:hideMark/>
          </w:tcPr>
          <w:p w14:paraId="18753194"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Responsabilidade da contratada</w:t>
            </w:r>
          </w:p>
        </w:tc>
        <w:tc>
          <w:tcPr>
            <w:tcW w:w="2521" w:type="dxa"/>
            <w:vAlign w:val="center"/>
            <w:hideMark/>
          </w:tcPr>
          <w:p w14:paraId="62FBB07D"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Responsabilidade direta do Município</w:t>
            </w:r>
          </w:p>
        </w:tc>
        <w:tc>
          <w:tcPr>
            <w:tcW w:w="2075" w:type="dxa"/>
            <w:vAlign w:val="center"/>
            <w:hideMark/>
          </w:tcPr>
          <w:p w14:paraId="6CAE8E50"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Compartilhada</w:t>
            </w:r>
          </w:p>
        </w:tc>
      </w:tr>
      <w:tr w:rsidR="00B46783" w:rsidRPr="00B46783" w14:paraId="061E05C3" w14:textId="77777777" w:rsidTr="00B65696">
        <w:trPr>
          <w:trHeight w:val="364"/>
          <w:tblCellSpacing w:w="15" w:type="dxa"/>
        </w:trPr>
        <w:tc>
          <w:tcPr>
            <w:tcW w:w="1935" w:type="dxa"/>
            <w:vAlign w:val="center"/>
            <w:hideMark/>
          </w:tcPr>
          <w:p w14:paraId="4D4378F8"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Risco operacional</w:t>
            </w:r>
          </w:p>
        </w:tc>
        <w:tc>
          <w:tcPr>
            <w:tcW w:w="2380" w:type="dxa"/>
            <w:vAlign w:val="center"/>
            <w:hideMark/>
          </w:tcPr>
          <w:p w14:paraId="30849E55"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Transferido em grande parte à contratada</w:t>
            </w:r>
          </w:p>
        </w:tc>
        <w:tc>
          <w:tcPr>
            <w:tcW w:w="2521" w:type="dxa"/>
            <w:vAlign w:val="center"/>
            <w:hideMark/>
          </w:tcPr>
          <w:p w14:paraId="6ABAED5B"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Concentrado no Município</w:t>
            </w:r>
          </w:p>
        </w:tc>
        <w:tc>
          <w:tcPr>
            <w:tcW w:w="2075" w:type="dxa"/>
            <w:vAlign w:val="center"/>
            <w:hideMark/>
          </w:tcPr>
          <w:p w14:paraId="2030AB08"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Compartilhado</w:t>
            </w:r>
          </w:p>
        </w:tc>
      </w:tr>
      <w:tr w:rsidR="00B46783" w:rsidRPr="00B46783" w14:paraId="07B63745" w14:textId="77777777" w:rsidTr="00B65696">
        <w:trPr>
          <w:tblCellSpacing w:w="15" w:type="dxa"/>
        </w:trPr>
        <w:tc>
          <w:tcPr>
            <w:tcW w:w="1935" w:type="dxa"/>
            <w:vAlign w:val="center"/>
            <w:hideMark/>
          </w:tcPr>
          <w:p w14:paraId="48CFB1A0"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Medição e prestação de contas</w:t>
            </w:r>
          </w:p>
        </w:tc>
        <w:tc>
          <w:tcPr>
            <w:tcW w:w="2380" w:type="dxa"/>
            <w:vAlign w:val="center"/>
            <w:hideMark/>
          </w:tcPr>
          <w:p w14:paraId="62DE3245"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Mais objetiva, por contrato e medições</w:t>
            </w:r>
          </w:p>
        </w:tc>
        <w:tc>
          <w:tcPr>
            <w:tcW w:w="2521" w:type="dxa"/>
            <w:vAlign w:val="center"/>
            <w:hideMark/>
          </w:tcPr>
          <w:p w14:paraId="013B7788"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Mais fragmentada, com múltiplas aquisições e controles</w:t>
            </w:r>
          </w:p>
        </w:tc>
        <w:tc>
          <w:tcPr>
            <w:tcW w:w="2075" w:type="dxa"/>
            <w:vAlign w:val="center"/>
            <w:hideMark/>
          </w:tcPr>
          <w:p w14:paraId="6165568D"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Mais complexa</w:t>
            </w:r>
          </w:p>
        </w:tc>
      </w:tr>
      <w:tr w:rsidR="00B46783" w:rsidRPr="00B46783" w14:paraId="34F0AE2C" w14:textId="77777777" w:rsidTr="00B65696">
        <w:trPr>
          <w:trHeight w:val="410"/>
          <w:tblCellSpacing w:w="15" w:type="dxa"/>
        </w:trPr>
        <w:tc>
          <w:tcPr>
            <w:tcW w:w="1935" w:type="dxa"/>
            <w:vAlign w:val="center"/>
            <w:hideMark/>
          </w:tcPr>
          <w:p w14:paraId="7472FB0D"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Compatibilidade com convênio</w:t>
            </w:r>
          </w:p>
        </w:tc>
        <w:tc>
          <w:tcPr>
            <w:tcW w:w="2380" w:type="dxa"/>
            <w:vAlign w:val="center"/>
            <w:hideMark/>
          </w:tcPr>
          <w:p w14:paraId="7A160945"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Alta</w:t>
            </w:r>
          </w:p>
        </w:tc>
        <w:tc>
          <w:tcPr>
            <w:tcW w:w="2521" w:type="dxa"/>
            <w:vAlign w:val="center"/>
            <w:hideMark/>
          </w:tcPr>
          <w:p w14:paraId="3A6E9D78"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Possível, mas operacionalmente mais complexa</w:t>
            </w:r>
          </w:p>
        </w:tc>
        <w:tc>
          <w:tcPr>
            <w:tcW w:w="2075" w:type="dxa"/>
            <w:vAlign w:val="center"/>
            <w:hideMark/>
          </w:tcPr>
          <w:p w14:paraId="409BD2BF"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Possível, porém com maior dificuldade de controle</w:t>
            </w:r>
          </w:p>
        </w:tc>
      </w:tr>
      <w:tr w:rsidR="00B46783" w:rsidRPr="00B46783" w14:paraId="22CBD924" w14:textId="77777777" w:rsidTr="00B65696">
        <w:trPr>
          <w:trHeight w:val="26"/>
          <w:tblCellSpacing w:w="15" w:type="dxa"/>
        </w:trPr>
        <w:tc>
          <w:tcPr>
            <w:tcW w:w="1935" w:type="dxa"/>
            <w:vAlign w:val="center"/>
            <w:hideMark/>
          </w:tcPr>
          <w:p w14:paraId="10569E16"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Viabilidade global</w:t>
            </w:r>
          </w:p>
        </w:tc>
        <w:tc>
          <w:tcPr>
            <w:tcW w:w="2380" w:type="dxa"/>
            <w:vAlign w:val="center"/>
            <w:hideMark/>
          </w:tcPr>
          <w:p w14:paraId="65FB6C22"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Alta</w:t>
            </w:r>
          </w:p>
        </w:tc>
        <w:tc>
          <w:tcPr>
            <w:tcW w:w="2521" w:type="dxa"/>
            <w:vAlign w:val="center"/>
            <w:hideMark/>
          </w:tcPr>
          <w:p w14:paraId="797052C1"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Baixa/média</w:t>
            </w:r>
          </w:p>
        </w:tc>
        <w:tc>
          <w:tcPr>
            <w:tcW w:w="2075" w:type="dxa"/>
            <w:vAlign w:val="center"/>
            <w:hideMark/>
          </w:tcPr>
          <w:p w14:paraId="6523A05C"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Média</w:t>
            </w:r>
          </w:p>
        </w:tc>
      </w:tr>
    </w:tbl>
    <w:p w14:paraId="289A1BD0" w14:textId="77777777" w:rsidR="00B46783" w:rsidRDefault="00B46783" w:rsidP="005E5775">
      <w:pPr>
        <w:spacing w:after="0" w:line="240" w:lineRule="auto"/>
        <w:jc w:val="both"/>
        <w:rPr>
          <w:rFonts w:eastAsia="Arial Unicode MS"/>
          <w:b/>
          <w:bCs/>
          <w:iCs w:val="0"/>
          <w:color w:val="000000" w:themeColor="text1"/>
          <w:sz w:val="20"/>
        </w:rPr>
      </w:pPr>
    </w:p>
    <w:p w14:paraId="5619D1F1" w14:textId="1883DA50" w:rsidR="00B46783" w:rsidRDefault="00B46783" w:rsidP="005E5775">
      <w:pPr>
        <w:spacing w:after="0" w:line="240" w:lineRule="auto"/>
        <w:jc w:val="both"/>
        <w:rPr>
          <w:rFonts w:eastAsia="Arial Unicode MS"/>
          <w:color w:val="000000" w:themeColor="text1"/>
          <w:sz w:val="20"/>
        </w:rPr>
      </w:pPr>
      <w:r w:rsidRPr="00B46783">
        <w:rPr>
          <w:rFonts w:eastAsia="Arial Unicode MS"/>
          <w:color w:val="000000" w:themeColor="text1"/>
          <w:sz w:val="20"/>
        </w:rPr>
        <w:t>4.5 – QUADRO COMPARATIVO DAS SOLUÇÕES TÉCNICAS DE DRENAGEM:</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38"/>
        <w:gridCol w:w="1323"/>
        <w:gridCol w:w="1451"/>
        <w:gridCol w:w="2045"/>
        <w:gridCol w:w="2404"/>
      </w:tblGrid>
      <w:tr w:rsidR="00B46783" w:rsidRPr="00B46783" w14:paraId="06242464" w14:textId="77777777" w:rsidTr="00B65696">
        <w:trPr>
          <w:tblHeader/>
          <w:tblCellSpacing w:w="15" w:type="dxa"/>
        </w:trPr>
        <w:tc>
          <w:tcPr>
            <w:tcW w:w="1793" w:type="dxa"/>
            <w:vAlign w:val="center"/>
            <w:hideMark/>
          </w:tcPr>
          <w:p w14:paraId="75ED5AF8" w14:textId="77777777" w:rsidR="00B46783" w:rsidRPr="00B46783" w:rsidRDefault="00B46783" w:rsidP="005E1C0C">
            <w:pPr>
              <w:spacing w:after="0" w:line="240" w:lineRule="auto"/>
              <w:jc w:val="center"/>
              <w:rPr>
                <w:rFonts w:eastAsia="Arial Unicode MS"/>
                <w:b/>
                <w:bCs/>
                <w:color w:val="000000" w:themeColor="text1"/>
                <w:sz w:val="16"/>
                <w:szCs w:val="16"/>
              </w:rPr>
            </w:pPr>
            <w:r w:rsidRPr="00B46783">
              <w:rPr>
                <w:rFonts w:eastAsia="Arial Unicode MS"/>
                <w:b/>
                <w:bCs/>
                <w:color w:val="000000" w:themeColor="text1"/>
                <w:sz w:val="16"/>
                <w:szCs w:val="16"/>
              </w:rPr>
              <w:t>Critério</w:t>
            </w:r>
          </w:p>
        </w:tc>
        <w:tc>
          <w:tcPr>
            <w:tcW w:w="1293" w:type="dxa"/>
            <w:vAlign w:val="center"/>
            <w:hideMark/>
          </w:tcPr>
          <w:p w14:paraId="2DC7CA51" w14:textId="77777777" w:rsidR="00B46783" w:rsidRPr="00B46783" w:rsidRDefault="00B46783" w:rsidP="005E1C0C">
            <w:pPr>
              <w:spacing w:after="0" w:line="240" w:lineRule="auto"/>
              <w:jc w:val="center"/>
              <w:rPr>
                <w:rFonts w:eastAsia="Arial Unicode MS"/>
                <w:b/>
                <w:bCs/>
                <w:color w:val="000000" w:themeColor="text1"/>
                <w:sz w:val="16"/>
                <w:szCs w:val="16"/>
              </w:rPr>
            </w:pPr>
            <w:r w:rsidRPr="00B46783">
              <w:rPr>
                <w:rFonts w:eastAsia="Arial Unicode MS"/>
                <w:b/>
                <w:bCs/>
                <w:color w:val="000000" w:themeColor="text1"/>
                <w:sz w:val="16"/>
                <w:szCs w:val="16"/>
              </w:rPr>
              <w:t>Rede de microdrenagem com tubos de concreto</w:t>
            </w:r>
          </w:p>
        </w:tc>
        <w:tc>
          <w:tcPr>
            <w:tcW w:w="1421" w:type="dxa"/>
            <w:vAlign w:val="center"/>
            <w:hideMark/>
          </w:tcPr>
          <w:p w14:paraId="64A94064" w14:textId="77777777" w:rsidR="00B46783" w:rsidRPr="00B46783" w:rsidRDefault="00B46783" w:rsidP="005E1C0C">
            <w:pPr>
              <w:spacing w:after="0" w:line="240" w:lineRule="auto"/>
              <w:jc w:val="center"/>
              <w:rPr>
                <w:rFonts w:eastAsia="Arial Unicode MS"/>
                <w:b/>
                <w:bCs/>
                <w:color w:val="000000" w:themeColor="text1"/>
                <w:sz w:val="16"/>
                <w:szCs w:val="16"/>
              </w:rPr>
            </w:pPr>
            <w:r w:rsidRPr="00B46783">
              <w:rPr>
                <w:rFonts w:eastAsia="Arial Unicode MS"/>
                <w:b/>
                <w:bCs/>
                <w:color w:val="000000" w:themeColor="text1"/>
                <w:sz w:val="16"/>
                <w:szCs w:val="16"/>
              </w:rPr>
              <w:t>Drenagem superficial aberta</w:t>
            </w:r>
          </w:p>
        </w:tc>
        <w:tc>
          <w:tcPr>
            <w:tcW w:w="2015" w:type="dxa"/>
            <w:vAlign w:val="center"/>
            <w:hideMark/>
          </w:tcPr>
          <w:p w14:paraId="4C183AA8" w14:textId="77777777" w:rsidR="00B46783" w:rsidRPr="00B46783" w:rsidRDefault="00B46783" w:rsidP="005E1C0C">
            <w:pPr>
              <w:spacing w:after="0" w:line="240" w:lineRule="auto"/>
              <w:jc w:val="center"/>
              <w:rPr>
                <w:rFonts w:eastAsia="Arial Unicode MS"/>
                <w:b/>
                <w:bCs/>
                <w:color w:val="000000" w:themeColor="text1"/>
                <w:sz w:val="16"/>
                <w:szCs w:val="16"/>
              </w:rPr>
            </w:pPr>
            <w:r w:rsidRPr="00B46783">
              <w:rPr>
                <w:rFonts w:eastAsia="Arial Unicode MS"/>
                <w:b/>
                <w:bCs/>
                <w:color w:val="000000" w:themeColor="text1"/>
                <w:sz w:val="16"/>
                <w:szCs w:val="16"/>
              </w:rPr>
              <w:t>Macrodrenagem/galerias de grande porte</w:t>
            </w:r>
          </w:p>
        </w:tc>
        <w:tc>
          <w:tcPr>
            <w:tcW w:w="2359" w:type="dxa"/>
            <w:vAlign w:val="center"/>
            <w:hideMark/>
          </w:tcPr>
          <w:p w14:paraId="588F224F" w14:textId="77777777" w:rsidR="00B46783" w:rsidRPr="00B46783" w:rsidRDefault="00B46783" w:rsidP="005E1C0C">
            <w:pPr>
              <w:spacing w:after="0" w:line="240" w:lineRule="auto"/>
              <w:jc w:val="center"/>
              <w:rPr>
                <w:rFonts w:eastAsia="Arial Unicode MS"/>
                <w:b/>
                <w:bCs/>
                <w:color w:val="000000" w:themeColor="text1"/>
                <w:sz w:val="16"/>
                <w:szCs w:val="16"/>
              </w:rPr>
            </w:pPr>
            <w:r w:rsidRPr="00B46783">
              <w:rPr>
                <w:rFonts w:eastAsia="Arial Unicode MS"/>
                <w:b/>
                <w:bCs/>
                <w:color w:val="000000" w:themeColor="text1"/>
                <w:sz w:val="16"/>
                <w:szCs w:val="16"/>
              </w:rPr>
              <w:t>Soluções compensatórias/sustentáveis</w:t>
            </w:r>
          </w:p>
        </w:tc>
      </w:tr>
      <w:tr w:rsidR="00B46783" w:rsidRPr="00B46783" w14:paraId="4CD78EE6" w14:textId="77777777" w:rsidTr="00B65696">
        <w:trPr>
          <w:tblCellSpacing w:w="15" w:type="dxa"/>
        </w:trPr>
        <w:tc>
          <w:tcPr>
            <w:tcW w:w="1793" w:type="dxa"/>
            <w:vAlign w:val="center"/>
            <w:hideMark/>
          </w:tcPr>
          <w:p w14:paraId="3394D530"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Custo inicial</w:t>
            </w:r>
          </w:p>
        </w:tc>
        <w:tc>
          <w:tcPr>
            <w:tcW w:w="1293" w:type="dxa"/>
            <w:vAlign w:val="center"/>
            <w:hideMark/>
          </w:tcPr>
          <w:p w14:paraId="6FC36980"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Médio</w:t>
            </w:r>
          </w:p>
        </w:tc>
        <w:tc>
          <w:tcPr>
            <w:tcW w:w="1421" w:type="dxa"/>
            <w:vAlign w:val="center"/>
            <w:hideMark/>
          </w:tcPr>
          <w:p w14:paraId="36B35640"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Baixo a médio</w:t>
            </w:r>
          </w:p>
        </w:tc>
        <w:tc>
          <w:tcPr>
            <w:tcW w:w="2015" w:type="dxa"/>
            <w:vAlign w:val="center"/>
            <w:hideMark/>
          </w:tcPr>
          <w:p w14:paraId="1900ADBE"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Alto</w:t>
            </w:r>
          </w:p>
        </w:tc>
        <w:tc>
          <w:tcPr>
            <w:tcW w:w="2359" w:type="dxa"/>
            <w:vAlign w:val="center"/>
            <w:hideMark/>
          </w:tcPr>
          <w:p w14:paraId="4A16195B"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Médio a alto</w:t>
            </w:r>
          </w:p>
        </w:tc>
      </w:tr>
      <w:tr w:rsidR="00B46783" w:rsidRPr="00B46783" w14:paraId="2CAB2188" w14:textId="77777777" w:rsidTr="00B65696">
        <w:trPr>
          <w:tblCellSpacing w:w="15" w:type="dxa"/>
        </w:trPr>
        <w:tc>
          <w:tcPr>
            <w:tcW w:w="1793" w:type="dxa"/>
            <w:vAlign w:val="center"/>
            <w:hideMark/>
          </w:tcPr>
          <w:p w14:paraId="0491FB67"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Capacidade de condução</w:t>
            </w:r>
          </w:p>
        </w:tc>
        <w:tc>
          <w:tcPr>
            <w:tcW w:w="1293" w:type="dxa"/>
            <w:vAlign w:val="center"/>
            <w:hideMark/>
          </w:tcPr>
          <w:p w14:paraId="6F665CD5"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Alta</w:t>
            </w:r>
          </w:p>
        </w:tc>
        <w:tc>
          <w:tcPr>
            <w:tcW w:w="1421" w:type="dxa"/>
            <w:vAlign w:val="center"/>
            <w:hideMark/>
          </w:tcPr>
          <w:p w14:paraId="45043CFB"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Média</w:t>
            </w:r>
          </w:p>
        </w:tc>
        <w:tc>
          <w:tcPr>
            <w:tcW w:w="2015" w:type="dxa"/>
            <w:vAlign w:val="center"/>
            <w:hideMark/>
          </w:tcPr>
          <w:p w14:paraId="4EA44EB6"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Muito alta</w:t>
            </w:r>
          </w:p>
        </w:tc>
        <w:tc>
          <w:tcPr>
            <w:tcW w:w="2359" w:type="dxa"/>
            <w:vAlign w:val="center"/>
            <w:hideMark/>
          </w:tcPr>
          <w:p w14:paraId="106C7AAE"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Variável</w:t>
            </w:r>
          </w:p>
        </w:tc>
      </w:tr>
      <w:tr w:rsidR="00B46783" w:rsidRPr="00B46783" w14:paraId="5B9AE39A" w14:textId="77777777" w:rsidTr="00B65696">
        <w:trPr>
          <w:tblCellSpacing w:w="15" w:type="dxa"/>
        </w:trPr>
        <w:tc>
          <w:tcPr>
            <w:tcW w:w="1793" w:type="dxa"/>
            <w:vAlign w:val="center"/>
            <w:hideMark/>
          </w:tcPr>
          <w:p w14:paraId="3C321A59"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Compatibilidade com vias urbanas</w:t>
            </w:r>
          </w:p>
        </w:tc>
        <w:tc>
          <w:tcPr>
            <w:tcW w:w="1293" w:type="dxa"/>
            <w:vAlign w:val="center"/>
            <w:hideMark/>
          </w:tcPr>
          <w:p w14:paraId="6929AE28"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Alta</w:t>
            </w:r>
          </w:p>
        </w:tc>
        <w:tc>
          <w:tcPr>
            <w:tcW w:w="1421" w:type="dxa"/>
            <w:vAlign w:val="center"/>
            <w:hideMark/>
          </w:tcPr>
          <w:p w14:paraId="7F0B2EF6"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Média</w:t>
            </w:r>
          </w:p>
        </w:tc>
        <w:tc>
          <w:tcPr>
            <w:tcW w:w="2015" w:type="dxa"/>
            <w:vAlign w:val="center"/>
            <w:hideMark/>
          </w:tcPr>
          <w:p w14:paraId="6B158BED"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Média</w:t>
            </w:r>
          </w:p>
        </w:tc>
        <w:tc>
          <w:tcPr>
            <w:tcW w:w="2359" w:type="dxa"/>
            <w:vAlign w:val="center"/>
            <w:hideMark/>
          </w:tcPr>
          <w:p w14:paraId="34A5E6FA"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Variável</w:t>
            </w:r>
          </w:p>
        </w:tc>
      </w:tr>
      <w:tr w:rsidR="00B46783" w:rsidRPr="00B46783" w14:paraId="648F74DF" w14:textId="77777777" w:rsidTr="00B65696">
        <w:trPr>
          <w:trHeight w:val="202"/>
          <w:tblCellSpacing w:w="15" w:type="dxa"/>
        </w:trPr>
        <w:tc>
          <w:tcPr>
            <w:tcW w:w="1793" w:type="dxa"/>
            <w:vAlign w:val="center"/>
            <w:hideMark/>
          </w:tcPr>
          <w:p w14:paraId="601A8287"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Segurança viária</w:t>
            </w:r>
          </w:p>
        </w:tc>
        <w:tc>
          <w:tcPr>
            <w:tcW w:w="1293" w:type="dxa"/>
            <w:vAlign w:val="center"/>
            <w:hideMark/>
          </w:tcPr>
          <w:p w14:paraId="740E7159"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Alta</w:t>
            </w:r>
          </w:p>
        </w:tc>
        <w:tc>
          <w:tcPr>
            <w:tcW w:w="1421" w:type="dxa"/>
            <w:vAlign w:val="center"/>
            <w:hideMark/>
          </w:tcPr>
          <w:p w14:paraId="691F4A48"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Média/baixa</w:t>
            </w:r>
          </w:p>
        </w:tc>
        <w:tc>
          <w:tcPr>
            <w:tcW w:w="2015" w:type="dxa"/>
            <w:vAlign w:val="center"/>
            <w:hideMark/>
          </w:tcPr>
          <w:p w14:paraId="70719C2C"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Alta</w:t>
            </w:r>
          </w:p>
        </w:tc>
        <w:tc>
          <w:tcPr>
            <w:tcW w:w="2359" w:type="dxa"/>
            <w:vAlign w:val="center"/>
            <w:hideMark/>
          </w:tcPr>
          <w:p w14:paraId="51813307"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Alta, quando complementar</w:t>
            </w:r>
          </w:p>
        </w:tc>
      </w:tr>
      <w:tr w:rsidR="00B46783" w:rsidRPr="00B46783" w14:paraId="0A05B678" w14:textId="77777777" w:rsidTr="00B65696">
        <w:trPr>
          <w:trHeight w:val="26"/>
          <w:tblCellSpacing w:w="15" w:type="dxa"/>
        </w:trPr>
        <w:tc>
          <w:tcPr>
            <w:tcW w:w="1793" w:type="dxa"/>
            <w:vAlign w:val="center"/>
            <w:hideMark/>
          </w:tcPr>
          <w:p w14:paraId="6E838D57"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Durabilidade</w:t>
            </w:r>
          </w:p>
        </w:tc>
        <w:tc>
          <w:tcPr>
            <w:tcW w:w="1293" w:type="dxa"/>
            <w:vAlign w:val="center"/>
            <w:hideMark/>
          </w:tcPr>
          <w:p w14:paraId="47D225E3"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Alta</w:t>
            </w:r>
          </w:p>
        </w:tc>
        <w:tc>
          <w:tcPr>
            <w:tcW w:w="1421" w:type="dxa"/>
            <w:vAlign w:val="center"/>
            <w:hideMark/>
          </w:tcPr>
          <w:p w14:paraId="640442DD"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Média</w:t>
            </w:r>
          </w:p>
        </w:tc>
        <w:tc>
          <w:tcPr>
            <w:tcW w:w="2015" w:type="dxa"/>
            <w:vAlign w:val="center"/>
            <w:hideMark/>
          </w:tcPr>
          <w:p w14:paraId="12860A7B"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Alta</w:t>
            </w:r>
          </w:p>
        </w:tc>
        <w:tc>
          <w:tcPr>
            <w:tcW w:w="2359" w:type="dxa"/>
            <w:vAlign w:val="center"/>
            <w:hideMark/>
          </w:tcPr>
          <w:p w14:paraId="3B4CBD44"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Variável</w:t>
            </w:r>
          </w:p>
        </w:tc>
      </w:tr>
      <w:tr w:rsidR="00B46783" w:rsidRPr="00B46783" w14:paraId="13A88697" w14:textId="77777777" w:rsidTr="00B65696">
        <w:trPr>
          <w:trHeight w:val="226"/>
          <w:tblCellSpacing w:w="15" w:type="dxa"/>
        </w:trPr>
        <w:tc>
          <w:tcPr>
            <w:tcW w:w="1793" w:type="dxa"/>
            <w:vAlign w:val="center"/>
            <w:hideMark/>
          </w:tcPr>
          <w:p w14:paraId="1835C821"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Manutenção</w:t>
            </w:r>
          </w:p>
        </w:tc>
        <w:tc>
          <w:tcPr>
            <w:tcW w:w="1293" w:type="dxa"/>
            <w:vAlign w:val="center"/>
            <w:hideMark/>
          </w:tcPr>
          <w:p w14:paraId="624B45BF"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Média</w:t>
            </w:r>
          </w:p>
        </w:tc>
        <w:tc>
          <w:tcPr>
            <w:tcW w:w="1421" w:type="dxa"/>
            <w:vAlign w:val="center"/>
            <w:hideMark/>
          </w:tcPr>
          <w:p w14:paraId="7CBF8D38"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Alta</w:t>
            </w:r>
          </w:p>
        </w:tc>
        <w:tc>
          <w:tcPr>
            <w:tcW w:w="2015" w:type="dxa"/>
            <w:vAlign w:val="center"/>
            <w:hideMark/>
          </w:tcPr>
          <w:p w14:paraId="5B999F91"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Média/alta</w:t>
            </w:r>
          </w:p>
        </w:tc>
        <w:tc>
          <w:tcPr>
            <w:tcW w:w="2359" w:type="dxa"/>
            <w:vAlign w:val="center"/>
            <w:hideMark/>
          </w:tcPr>
          <w:p w14:paraId="2F8B7231"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Alta e contínua</w:t>
            </w:r>
          </w:p>
        </w:tc>
      </w:tr>
      <w:tr w:rsidR="00B46783" w:rsidRPr="00B46783" w14:paraId="082C8FDD" w14:textId="77777777" w:rsidTr="00B65696">
        <w:trPr>
          <w:trHeight w:val="301"/>
          <w:tblCellSpacing w:w="15" w:type="dxa"/>
        </w:trPr>
        <w:tc>
          <w:tcPr>
            <w:tcW w:w="1793" w:type="dxa"/>
            <w:vAlign w:val="center"/>
            <w:hideMark/>
          </w:tcPr>
          <w:p w14:paraId="433FF897"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Interferência no tráfego e acessos</w:t>
            </w:r>
          </w:p>
        </w:tc>
        <w:tc>
          <w:tcPr>
            <w:tcW w:w="1293" w:type="dxa"/>
            <w:vAlign w:val="center"/>
            <w:hideMark/>
          </w:tcPr>
          <w:p w14:paraId="0830995E"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Baixa após execução</w:t>
            </w:r>
          </w:p>
        </w:tc>
        <w:tc>
          <w:tcPr>
            <w:tcW w:w="1421" w:type="dxa"/>
            <w:vAlign w:val="center"/>
            <w:hideMark/>
          </w:tcPr>
          <w:p w14:paraId="4B785CD3"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Média/alta</w:t>
            </w:r>
          </w:p>
        </w:tc>
        <w:tc>
          <w:tcPr>
            <w:tcW w:w="2015" w:type="dxa"/>
            <w:vAlign w:val="center"/>
            <w:hideMark/>
          </w:tcPr>
          <w:p w14:paraId="638DF4E6"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Alta durante execução</w:t>
            </w:r>
          </w:p>
        </w:tc>
        <w:tc>
          <w:tcPr>
            <w:tcW w:w="2359" w:type="dxa"/>
            <w:vAlign w:val="center"/>
            <w:hideMark/>
          </w:tcPr>
          <w:p w14:paraId="57F90B1F"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Variável</w:t>
            </w:r>
          </w:p>
        </w:tc>
      </w:tr>
      <w:tr w:rsidR="00B46783" w:rsidRPr="00B46783" w14:paraId="4C585D64" w14:textId="77777777" w:rsidTr="00B65696">
        <w:trPr>
          <w:trHeight w:val="395"/>
          <w:tblCellSpacing w:w="15" w:type="dxa"/>
        </w:trPr>
        <w:tc>
          <w:tcPr>
            <w:tcW w:w="1793" w:type="dxa"/>
            <w:vAlign w:val="center"/>
            <w:hideMark/>
          </w:tcPr>
          <w:p w14:paraId="3097BE78"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Disponibilidade de materiais e mão de obra</w:t>
            </w:r>
          </w:p>
        </w:tc>
        <w:tc>
          <w:tcPr>
            <w:tcW w:w="1293" w:type="dxa"/>
            <w:vAlign w:val="center"/>
            <w:hideMark/>
          </w:tcPr>
          <w:p w14:paraId="4872C960"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Alta</w:t>
            </w:r>
          </w:p>
        </w:tc>
        <w:tc>
          <w:tcPr>
            <w:tcW w:w="1421" w:type="dxa"/>
            <w:vAlign w:val="center"/>
            <w:hideMark/>
          </w:tcPr>
          <w:p w14:paraId="76A44229"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Alta</w:t>
            </w:r>
          </w:p>
        </w:tc>
        <w:tc>
          <w:tcPr>
            <w:tcW w:w="2015" w:type="dxa"/>
            <w:vAlign w:val="center"/>
            <w:hideMark/>
          </w:tcPr>
          <w:p w14:paraId="168B1A61"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Média</w:t>
            </w:r>
          </w:p>
        </w:tc>
        <w:tc>
          <w:tcPr>
            <w:tcW w:w="2359" w:type="dxa"/>
            <w:vAlign w:val="center"/>
            <w:hideMark/>
          </w:tcPr>
          <w:p w14:paraId="717FBBE6"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Média</w:t>
            </w:r>
          </w:p>
        </w:tc>
      </w:tr>
      <w:tr w:rsidR="00B46783" w:rsidRPr="00B46783" w14:paraId="6D05C3D7" w14:textId="77777777" w:rsidTr="00B65696">
        <w:trPr>
          <w:trHeight w:val="256"/>
          <w:tblCellSpacing w:w="15" w:type="dxa"/>
        </w:trPr>
        <w:tc>
          <w:tcPr>
            <w:tcW w:w="1793" w:type="dxa"/>
            <w:vAlign w:val="center"/>
            <w:hideMark/>
          </w:tcPr>
          <w:p w14:paraId="7503A276"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Adequação ao projeto aprovado</w:t>
            </w:r>
          </w:p>
        </w:tc>
        <w:tc>
          <w:tcPr>
            <w:tcW w:w="1293" w:type="dxa"/>
            <w:vAlign w:val="center"/>
            <w:hideMark/>
          </w:tcPr>
          <w:p w14:paraId="277C809B"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Alta</w:t>
            </w:r>
          </w:p>
        </w:tc>
        <w:tc>
          <w:tcPr>
            <w:tcW w:w="1421" w:type="dxa"/>
            <w:vAlign w:val="center"/>
            <w:hideMark/>
          </w:tcPr>
          <w:p w14:paraId="6E5E77F9"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Parcial</w:t>
            </w:r>
          </w:p>
        </w:tc>
        <w:tc>
          <w:tcPr>
            <w:tcW w:w="2015" w:type="dxa"/>
            <w:vAlign w:val="center"/>
            <w:hideMark/>
          </w:tcPr>
          <w:p w14:paraId="392D781B"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Desproporcional</w:t>
            </w:r>
          </w:p>
        </w:tc>
        <w:tc>
          <w:tcPr>
            <w:tcW w:w="2359" w:type="dxa"/>
            <w:vAlign w:val="center"/>
            <w:hideMark/>
          </w:tcPr>
          <w:p w14:paraId="206565F9" w14:textId="77777777" w:rsidR="00B46783" w:rsidRPr="00B46783" w:rsidRDefault="00B46783" w:rsidP="00B46783">
            <w:pPr>
              <w:spacing w:after="0" w:line="240" w:lineRule="auto"/>
              <w:jc w:val="both"/>
              <w:rPr>
                <w:rFonts w:eastAsia="Arial Unicode MS"/>
                <w:color w:val="000000" w:themeColor="text1"/>
                <w:sz w:val="16"/>
                <w:szCs w:val="16"/>
              </w:rPr>
            </w:pPr>
            <w:r w:rsidRPr="00B46783">
              <w:rPr>
                <w:rFonts w:eastAsia="Arial Unicode MS"/>
                <w:color w:val="000000" w:themeColor="text1"/>
                <w:sz w:val="16"/>
                <w:szCs w:val="16"/>
              </w:rPr>
              <w:t>Complementar/parcial</w:t>
            </w:r>
          </w:p>
        </w:tc>
      </w:tr>
    </w:tbl>
    <w:p w14:paraId="4F8B3612" w14:textId="5CD83B1C" w:rsidR="00B46783" w:rsidRPr="00B46783" w:rsidRDefault="00B46783" w:rsidP="00B46783">
      <w:pPr>
        <w:spacing w:after="0" w:line="240" w:lineRule="auto"/>
        <w:jc w:val="both"/>
        <w:rPr>
          <w:rFonts w:eastAsia="Arial Unicode MS"/>
          <w:color w:val="000000" w:themeColor="text1"/>
          <w:sz w:val="20"/>
        </w:rPr>
      </w:pPr>
      <w:r w:rsidRPr="00B46783">
        <w:rPr>
          <w:rFonts w:eastAsia="Arial Unicode MS"/>
          <w:color w:val="000000" w:themeColor="text1"/>
          <w:sz w:val="20"/>
        </w:rPr>
        <w:t>4.6 – A alternativa de execução direta pela Prefeitura foi considerada sob a perspectiva da economicidade aparente, uma vez que poderia, em tese, aproveitar maquinário e servidores municipais. Contudo, no caso concreto, tal solução apresenta limitações relevantes, pois a obra exige execução integrada de diferentes etapas técnicas, fornecimento e assentamento de tubulações de concreto, construção de caixas coletoras/bocas de lobo, bueiro tubular, reaterro, compactação, transporte, controle de qualidade, acompanhamento técnico permanente, responsabilidade técnica específica e cumprimento de cronograma compatível com o Convênio FPE nº 2014/2026.</w:t>
      </w:r>
    </w:p>
    <w:p w14:paraId="4255ECB0" w14:textId="6E6083DA" w:rsidR="00B46783" w:rsidRPr="00B46783" w:rsidRDefault="00B46783" w:rsidP="00B46783">
      <w:pPr>
        <w:spacing w:after="0" w:line="240" w:lineRule="auto"/>
        <w:jc w:val="both"/>
        <w:rPr>
          <w:rFonts w:eastAsia="Arial Unicode MS"/>
          <w:color w:val="000000" w:themeColor="text1"/>
          <w:sz w:val="20"/>
        </w:rPr>
      </w:pPr>
      <w:r w:rsidRPr="00B46783">
        <w:rPr>
          <w:rFonts w:eastAsia="Arial Unicode MS"/>
          <w:color w:val="000000" w:themeColor="text1"/>
          <w:sz w:val="20"/>
        </w:rPr>
        <w:t>4.7 – A execução direta também demandaria sucessivas aquisições de materiais, mobilização de equipamentos, controle individualizado de insumos, mão de obra e serviços, além de maior esforço administrativo para medição, comprovação, registro e prestação de contas. Tais fatores ampliariam os riscos de atraso, fragmentação da execução, dificuldade de controle físico-financeiro e eventual descontinuidade das frentes de trabalho, especialmente diante da necessidade de manter a estrutura municipal disponível para as demais demandas ordinárias de manutenção urbana e rural.</w:t>
      </w:r>
    </w:p>
    <w:p w14:paraId="641C9EC1" w14:textId="07AF2481" w:rsidR="00B46783" w:rsidRPr="00B46783" w:rsidRDefault="00B46783" w:rsidP="00B46783">
      <w:pPr>
        <w:spacing w:after="0" w:line="240" w:lineRule="auto"/>
        <w:jc w:val="both"/>
        <w:rPr>
          <w:rFonts w:eastAsia="Arial Unicode MS"/>
          <w:color w:val="000000" w:themeColor="text1"/>
          <w:sz w:val="20"/>
        </w:rPr>
      </w:pPr>
      <w:r w:rsidRPr="00B46783">
        <w:rPr>
          <w:rFonts w:eastAsia="Arial Unicode MS"/>
          <w:color w:val="000000" w:themeColor="text1"/>
          <w:sz w:val="20"/>
        </w:rPr>
        <w:t>4.8 – A execução mista, embora possível em determinados contextos, igualmente não se mostra a alternativa mais eficiente para o caso, pois poderia gerar sobreposição de responsabilidades, dificuldades de compatibilização entre serviços executados pelo Município e pela contratada, aumento do risco de inconformidades técnicas e maior complexidade na apuração de responsabilidades por eventuais vícios, atrasos ou falhas executivas.</w:t>
      </w:r>
    </w:p>
    <w:p w14:paraId="4E8849F6" w14:textId="65182853" w:rsidR="00B46783" w:rsidRPr="00B46783" w:rsidRDefault="00B46783" w:rsidP="00B46783">
      <w:pPr>
        <w:spacing w:after="0" w:line="240" w:lineRule="auto"/>
        <w:jc w:val="both"/>
        <w:rPr>
          <w:rFonts w:eastAsia="Arial Unicode MS"/>
          <w:color w:val="000000" w:themeColor="text1"/>
          <w:sz w:val="20"/>
        </w:rPr>
      </w:pPr>
      <w:r w:rsidRPr="00B46783">
        <w:rPr>
          <w:rFonts w:eastAsia="Arial Unicode MS"/>
          <w:color w:val="000000" w:themeColor="text1"/>
          <w:sz w:val="20"/>
        </w:rPr>
        <w:t>4.9 – A partir da análise comparativa, verifica-se que a contratação de empresa especializada para execução integral da obra representa a solução mais adequada, por concentrar a responsabilidade executiva, permitir maior controle contratual, assegurar disponibilidade de equipamentos e mão de obra, facilitar a medição por etapas, reduzir riscos operacionais e conferir maior segurança à prestação de contas vinculada ao convênio.</w:t>
      </w:r>
    </w:p>
    <w:p w14:paraId="1B45CE27" w14:textId="6ACFF295" w:rsidR="00B46783" w:rsidRPr="00B46783" w:rsidRDefault="00B46783" w:rsidP="00B46783">
      <w:pPr>
        <w:spacing w:after="0" w:line="240" w:lineRule="auto"/>
        <w:jc w:val="both"/>
        <w:rPr>
          <w:rFonts w:eastAsia="Arial Unicode MS"/>
          <w:color w:val="000000" w:themeColor="text1"/>
          <w:sz w:val="20"/>
        </w:rPr>
      </w:pPr>
      <w:r w:rsidRPr="00B46783">
        <w:rPr>
          <w:rFonts w:eastAsia="Arial Unicode MS"/>
          <w:color w:val="000000" w:themeColor="text1"/>
          <w:sz w:val="20"/>
        </w:rPr>
        <w:lastRenderedPageBreak/>
        <w:t>4.10 – Quanto à solução técnica, a implantação de rede de microdrenagem/drenagem pluvial com tubulações em concreto, caixas coletoras/bocas de lobo, meio-fio, bueiro tubular e dispositivos complementares apresenta a melhor relação entre eficiência hidráulica, viabilidade executiva, custo global, durabilidade e compatibilidade com a realidade urbana dos bairros Cidade Baixa e Morro Bonito, destacando-se pelos seguintes fatores:</w:t>
      </w:r>
    </w:p>
    <w:p w14:paraId="5862B1DA" w14:textId="469A36B0" w:rsidR="00B46783" w:rsidRPr="00B46783" w:rsidRDefault="00B46783" w:rsidP="00B46783">
      <w:pPr>
        <w:spacing w:after="0" w:line="240" w:lineRule="auto"/>
        <w:jc w:val="both"/>
        <w:rPr>
          <w:rFonts w:eastAsia="Arial Unicode MS"/>
          <w:color w:val="000000" w:themeColor="text1"/>
          <w:sz w:val="20"/>
        </w:rPr>
      </w:pPr>
      <w:r w:rsidRPr="00B46783">
        <w:rPr>
          <w:rFonts w:eastAsia="Arial Unicode MS"/>
          <w:color w:val="000000" w:themeColor="text1"/>
          <w:sz w:val="20"/>
        </w:rPr>
        <w:t>I – adequada capacidade de captação e condução das águas pluviais, reduzindo o escoamento superficial desordenado, alagamentos, erosões e danos às vias públicas;</w:t>
      </w:r>
    </w:p>
    <w:p w14:paraId="0DF82F83" w14:textId="2530E1D2" w:rsidR="00B46783" w:rsidRPr="00B46783" w:rsidRDefault="00B46783" w:rsidP="00B46783">
      <w:pPr>
        <w:spacing w:after="0" w:line="240" w:lineRule="auto"/>
        <w:jc w:val="both"/>
        <w:rPr>
          <w:rFonts w:eastAsia="Arial Unicode MS"/>
          <w:color w:val="000000" w:themeColor="text1"/>
          <w:sz w:val="20"/>
        </w:rPr>
      </w:pPr>
      <w:r w:rsidRPr="00B46783">
        <w:rPr>
          <w:rFonts w:eastAsia="Arial Unicode MS"/>
          <w:color w:val="000000" w:themeColor="text1"/>
          <w:sz w:val="20"/>
        </w:rPr>
        <w:t>II – compatibilidade com as características das vias contempladas, incluindo a Rua 4 de Julho, Rodovia VRS-835 e ruas adjacentes do bairro Morro Bonito;</w:t>
      </w:r>
    </w:p>
    <w:p w14:paraId="08B9864C" w14:textId="5F53EDA2" w:rsidR="00B46783" w:rsidRPr="00B46783" w:rsidRDefault="00B46783" w:rsidP="00B46783">
      <w:pPr>
        <w:spacing w:after="0" w:line="240" w:lineRule="auto"/>
        <w:jc w:val="both"/>
        <w:rPr>
          <w:rFonts w:eastAsia="Arial Unicode MS"/>
          <w:color w:val="000000" w:themeColor="text1"/>
          <w:sz w:val="20"/>
        </w:rPr>
      </w:pPr>
      <w:r w:rsidRPr="00B46783">
        <w:rPr>
          <w:rFonts w:eastAsia="Arial Unicode MS"/>
          <w:color w:val="000000" w:themeColor="text1"/>
          <w:sz w:val="20"/>
        </w:rPr>
        <w:t>III – ampla disponibilidade regional de tubos de concreto, materiais, equipamentos e mão de obra especializada;</w:t>
      </w:r>
    </w:p>
    <w:p w14:paraId="508AFD68" w14:textId="31D05078" w:rsidR="00B46783" w:rsidRPr="00B46783" w:rsidRDefault="00B46783" w:rsidP="00B46783">
      <w:pPr>
        <w:spacing w:after="0" w:line="240" w:lineRule="auto"/>
        <w:jc w:val="both"/>
        <w:rPr>
          <w:rFonts w:eastAsia="Arial Unicode MS"/>
          <w:color w:val="000000" w:themeColor="text1"/>
          <w:sz w:val="20"/>
        </w:rPr>
      </w:pPr>
      <w:r w:rsidRPr="00B46783">
        <w:rPr>
          <w:rFonts w:eastAsia="Arial Unicode MS"/>
          <w:color w:val="000000" w:themeColor="text1"/>
          <w:sz w:val="20"/>
        </w:rPr>
        <w:t>IV – facilidade de fiscalização, medição e controle da execução, em razão da padronização dos serviços e dos quantitativos previstos em projeto;</w:t>
      </w:r>
    </w:p>
    <w:p w14:paraId="4B358DEA" w14:textId="1FABE5A9" w:rsidR="00B46783" w:rsidRPr="00B46783" w:rsidRDefault="00B46783" w:rsidP="00B46783">
      <w:pPr>
        <w:spacing w:after="0" w:line="240" w:lineRule="auto"/>
        <w:jc w:val="both"/>
        <w:rPr>
          <w:rFonts w:eastAsia="Arial Unicode MS"/>
          <w:color w:val="000000" w:themeColor="text1"/>
          <w:sz w:val="20"/>
        </w:rPr>
      </w:pPr>
      <w:r w:rsidRPr="00B46783">
        <w:rPr>
          <w:rFonts w:eastAsia="Arial Unicode MS"/>
          <w:color w:val="000000" w:themeColor="text1"/>
          <w:sz w:val="20"/>
        </w:rPr>
        <w:t>V – aderência ao projeto de engenharia, ao memorial descritivo, à planilha orçamentária, ao cronograma físico-financeiro e ao objeto aprovado no Convênio FPE nº 2014/2026.</w:t>
      </w:r>
    </w:p>
    <w:p w14:paraId="620B86C7" w14:textId="2096449C" w:rsidR="00B46783" w:rsidRPr="00B46783" w:rsidRDefault="00B46783" w:rsidP="00B46783">
      <w:pPr>
        <w:spacing w:after="0" w:line="240" w:lineRule="auto"/>
        <w:jc w:val="both"/>
        <w:rPr>
          <w:rFonts w:eastAsia="Arial Unicode MS"/>
          <w:color w:val="000000" w:themeColor="text1"/>
          <w:sz w:val="20"/>
        </w:rPr>
      </w:pPr>
      <w:r w:rsidRPr="00B46783">
        <w:rPr>
          <w:rFonts w:eastAsia="Arial Unicode MS"/>
          <w:color w:val="000000" w:themeColor="text1"/>
          <w:sz w:val="20"/>
        </w:rPr>
        <w:t>4.11 – As demais alternativas técnicas foram afastadas ou consideradas insuficientes pelos seguintes fundamentos:</w:t>
      </w:r>
    </w:p>
    <w:p w14:paraId="4864C162" w14:textId="3FD2E1B3" w:rsidR="00B46783" w:rsidRPr="00B46783" w:rsidRDefault="00B46783" w:rsidP="00B46783">
      <w:pPr>
        <w:spacing w:after="0" w:line="240" w:lineRule="auto"/>
        <w:jc w:val="both"/>
        <w:rPr>
          <w:rFonts w:eastAsia="Arial Unicode MS"/>
          <w:color w:val="000000" w:themeColor="text1"/>
          <w:sz w:val="20"/>
        </w:rPr>
      </w:pPr>
      <w:r w:rsidRPr="00B46783">
        <w:rPr>
          <w:rFonts w:eastAsia="Arial Unicode MS"/>
          <w:color w:val="000000" w:themeColor="text1"/>
          <w:sz w:val="20"/>
        </w:rPr>
        <w:t>a) a drenagem superficial aberta, embora possa ser útil em situações pontuais, não se mostra suficiente para solucionar o problema de escoamento pluvial em vias urbanas consolidadas, podendo gerar riscos à segurança, interferências em acessos e maior necessidade de manutenção;</w:t>
      </w:r>
    </w:p>
    <w:p w14:paraId="423E1809" w14:textId="18295F61" w:rsidR="00B46783" w:rsidRPr="00B46783" w:rsidRDefault="00B46783" w:rsidP="00B46783">
      <w:pPr>
        <w:spacing w:after="0" w:line="240" w:lineRule="auto"/>
        <w:jc w:val="both"/>
        <w:rPr>
          <w:rFonts w:eastAsia="Arial Unicode MS"/>
          <w:color w:val="000000" w:themeColor="text1"/>
          <w:sz w:val="20"/>
        </w:rPr>
      </w:pPr>
      <w:r w:rsidRPr="00B46783">
        <w:rPr>
          <w:rFonts w:eastAsia="Arial Unicode MS"/>
          <w:color w:val="000000" w:themeColor="text1"/>
          <w:sz w:val="20"/>
        </w:rPr>
        <w:t>b) soluções de macrodrenagem, canais ou galerias de grande porte apresentam custo e complexidade superiores, sendo desproporcionais ao escopo do projeto aprovado, que se volta à implantação de microdrenagem urbana e dispositivos localizados de captação e condução;</w:t>
      </w:r>
    </w:p>
    <w:p w14:paraId="4BAC3535" w14:textId="063CCD6E" w:rsidR="00B46783" w:rsidRPr="00B46783" w:rsidRDefault="00B46783" w:rsidP="00B46783">
      <w:pPr>
        <w:spacing w:after="0" w:line="240" w:lineRule="auto"/>
        <w:jc w:val="both"/>
        <w:rPr>
          <w:rFonts w:eastAsia="Arial Unicode MS"/>
          <w:color w:val="000000" w:themeColor="text1"/>
          <w:sz w:val="20"/>
        </w:rPr>
      </w:pPr>
      <w:r w:rsidRPr="00B46783">
        <w:rPr>
          <w:rFonts w:eastAsia="Arial Unicode MS"/>
          <w:color w:val="000000" w:themeColor="text1"/>
          <w:sz w:val="20"/>
        </w:rPr>
        <w:t>c) soluções compensatórias ou sustentáveis, embora tecnicamente relevantes como medidas complementares em políticas de drenagem urbana, não substituem, no caso concreto, a necessidade de implantação de rede de microdrenagem convencional, diante das características das vias, da ocupação urbana existente, dos pontos de contribuição hídrica e do objeto previamente aprovado no convênio.</w:t>
      </w:r>
    </w:p>
    <w:p w14:paraId="217B365B" w14:textId="65A1A97C" w:rsidR="00B46783" w:rsidRPr="00B46783" w:rsidRDefault="00B46783" w:rsidP="00B46783">
      <w:pPr>
        <w:spacing w:after="0" w:line="240" w:lineRule="auto"/>
        <w:jc w:val="both"/>
        <w:rPr>
          <w:rFonts w:eastAsia="Arial Unicode MS"/>
          <w:color w:val="000000" w:themeColor="text1"/>
          <w:sz w:val="20"/>
        </w:rPr>
      </w:pPr>
      <w:r w:rsidRPr="00B46783">
        <w:rPr>
          <w:rFonts w:eastAsia="Arial Unicode MS"/>
          <w:color w:val="000000" w:themeColor="text1"/>
          <w:sz w:val="20"/>
        </w:rPr>
        <w:t>4.12 – Definida a solução técnica e executiva mais adequada, passa-se à análise do mercado fornecedor, o qual se apresenta estruturado e competitivo, sendo caracterizado pela presença de empresas especializadas em obras de drenagem pluvial, infraestrutura urbana, movimentação de solo, assentamento de tubulações, execução de caixas coletoras, bueiros, meio-fio e demais serviços correlatos.</w:t>
      </w:r>
    </w:p>
    <w:p w14:paraId="6AE91136" w14:textId="05EFE08D" w:rsidR="00B46783" w:rsidRPr="00B46783" w:rsidRDefault="00B46783" w:rsidP="00B46783">
      <w:pPr>
        <w:spacing w:after="0" w:line="240" w:lineRule="auto"/>
        <w:jc w:val="both"/>
        <w:rPr>
          <w:rFonts w:eastAsia="Arial Unicode MS"/>
          <w:color w:val="000000" w:themeColor="text1"/>
          <w:sz w:val="20"/>
        </w:rPr>
      </w:pPr>
      <w:r w:rsidRPr="00B46783">
        <w:rPr>
          <w:rFonts w:eastAsia="Arial Unicode MS"/>
          <w:color w:val="000000" w:themeColor="text1"/>
          <w:sz w:val="20"/>
        </w:rPr>
        <w:t>4.13 – A cadeia produtiva relacionada à execução de obras de drenagem urbana encontra-se disponível no mercado regional, abrangendo fornecedores de tubos de concreto, agregados, materiais de construção, equipamentos de escavação, transporte, compactação, mão de obra qualificada e profissionais habilitados, o que assegura competitividade adequada e reduz riscos de restrição de mercado ou formação de preços incompatíveis.</w:t>
      </w:r>
    </w:p>
    <w:p w14:paraId="49E0FD7A" w14:textId="0A46280D" w:rsidR="00B46783" w:rsidRDefault="00B46783" w:rsidP="00B46783">
      <w:pPr>
        <w:spacing w:after="0" w:line="240" w:lineRule="auto"/>
        <w:jc w:val="both"/>
        <w:rPr>
          <w:rFonts w:eastAsia="Arial Unicode MS"/>
          <w:color w:val="000000" w:themeColor="text1"/>
          <w:sz w:val="20"/>
        </w:rPr>
      </w:pPr>
      <w:r w:rsidRPr="00B46783">
        <w:rPr>
          <w:rFonts w:eastAsia="Arial Unicode MS"/>
          <w:color w:val="000000" w:themeColor="text1"/>
          <w:sz w:val="20"/>
        </w:rPr>
        <w:t>4.14 – Diante do exposto, conclui-se que a contratação de empresa especializada para execução integral da obra, mediante implantação de rede de microdrenagem/drenagem pluvial, apresenta maturidade tecnológica, disponibilidade no mercado, adequada competitividade e plena viabilidade técnica e econômica, atendendo de forma eficiente ao interesse público e aos princípios que regem as contratações públicas, notadamente a economicidade, a eficiência, a segurança da infraestrutura urbana e a seleção da proposta mais vantajosa, nos termos da Lei nº 14.133/2021.</w:t>
      </w:r>
    </w:p>
    <w:p w14:paraId="6D558158" w14:textId="77777777" w:rsidR="00B46783" w:rsidRPr="00EF52E1" w:rsidRDefault="00B46783" w:rsidP="005E5775">
      <w:pPr>
        <w:spacing w:after="0" w:line="240" w:lineRule="auto"/>
        <w:jc w:val="both"/>
        <w:rPr>
          <w:rFonts w:eastAsia="Arial Unicode MS"/>
          <w:color w:val="000000" w:themeColor="text1"/>
          <w:sz w:val="20"/>
        </w:rPr>
      </w:pPr>
    </w:p>
    <w:p w14:paraId="54122700" w14:textId="77777777" w:rsidR="006E786C" w:rsidRPr="00EF52E1" w:rsidRDefault="00F640AA" w:rsidP="00E16BA6">
      <w:pPr>
        <w:spacing w:after="0" w:line="240" w:lineRule="auto"/>
        <w:jc w:val="both"/>
        <w:rPr>
          <w:rFonts w:eastAsia="Arial Unicode MS"/>
          <w:b/>
          <w:color w:val="000000" w:themeColor="text1"/>
          <w:sz w:val="20"/>
        </w:rPr>
      </w:pPr>
      <w:r w:rsidRPr="00EF52E1">
        <w:rPr>
          <w:rFonts w:eastAsia="Arial Unicode MS"/>
          <w:b/>
          <w:color w:val="000000" w:themeColor="text1"/>
          <w:sz w:val="20"/>
        </w:rPr>
        <w:t>5</w:t>
      </w:r>
      <w:r w:rsidR="006E786C" w:rsidRPr="00EF52E1">
        <w:rPr>
          <w:rFonts w:eastAsia="Arial Unicode MS" w:hint="eastAsia"/>
          <w:b/>
          <w:color w:val="000000" w:themeColor="text1"/>
          <w:sz w:val="20"/>
        </w:rPr>
        <w:t xml:space="preserve"> – DESCRIÇÃO DA SOLUÇÃO COMO UM TODO:</w:t>
      </w:r>
    </w:p>
    <w:p w14:paraId="5D75C28E" w14:textId="77777777" w:rsidR="00B46783" w:rsidRPr="00B46783" w:rsidRDefault="00B46783" w:rsidP="00B46783">
      <w:pPr>
        <w:spacing w:after="0" w:line="240" w:lineRule="auto"/>
        <w:jc w:val="both"/>
        <w:rPr>
          <w:rFonts w:eastAsia="Arial Unicode MS"/>
          <w:color w:val="000000" w:themeColor="text1"/>
          <w:sz w:val="20"/>
        </w:rPr>
      </w:pPr>
      <w:r w:rsidRPr="00B46783">
        <w:rPr>
          <w:rFonts w:eastAsia="Arial Unicode MS"/>
          <w:color w:val="000000" w:themeColor="text1"/>
          <w:sz w:val="20"/>
        </w:rPr>
        <w:t>5.1 – A solução proposta consiste na contratação de empresa especializada para a execução de obra de infraestrutura urbana, compreendendo a implantação de sistema de microdrenagem/drenagem pluvial na Rua 4 de Julho, Rodovia VRS-835 e ruas adjacentes localizadas nos bairros Cidade Baixa e Morro Bonito, no Município de Paverama/RS, incluindo, de forma integrada e indissociável, os serviços de escavação, preparo de fundo de vala, assentamento de tubulações em concreto, execução de caixas coletoras/bocas de lobo, bueiro tubular, meio-fio, reaterro, regularização e compactação de subleito, carga, transporte e demais serviços complementares necessários à plena funcionalidade, segurança, durabilidade e eficiência hidráulica da infraestrutura executada.</w:t>
      </w:r>
    </w:p>
    <w:p w14:paraId="10CA7985" w14:textId="5E864747" w:rsidR="00B46783" w:rsidRPr="00B46783" w:rsidRDefault="00B46783" w:rsidP="00B46783">
      <w:pPr>
        <w:spacing w:after="0" w:line="240" w:lineRule="auto"/>
        <w:jc w:val="both"/>
        <w:rPr>
          <w:rFonts w:eastAsia="Arial Unicode MS"/>
          <w:color w:val="000000" w:themeColor="text1"/>
          <w:sz w:val="20"/>
        </w:rPr>
      </w:pPr>
      <w:r w:rsidRPr="00B46783">
        <w:rPr>
          <w:rFonts w:eastAsia="Arial Unicode MS"/>
          <w:color w:val="000000" w:themeColor="text1"/>
          <w:sz w:val="20"/>
        </w:rPr>
        <w:t xml:space="preserve">5.2 – A execução da solução terá início após a emissão da Ordem de Início de Obra, ocasião em que a contratada deverá promover a mobilização completa de sua estrutura operacional, incluindo equipe técnica, equipamentos, instalações provisórias, sinalização da área de intervenção, logística de </w:t>
      </w:r>
      <w:r w:rsidRPr="00B46783">
        <w:rPr>
          <w:rFonts w:eastAsia="Arial Unicode MS"/>
          <w:color w:val="000000" w:themeColor="text1"/>
          <w:sz w:val="20"/>
        </w:rPr>
        <w:lastRenderedPageBreak/>
        <w:t>materiais e demais providências necessárias, dando início aos serviços conforme planejamento executivo aprovado pela fiscalização municipal.</w:t>
      </w:r>
    </w:p>
    <w:p w14:paraId="41A97F5B" w14:textId="606968A0" w:rsidR="00B46783" w:rsidRPr="00B46783" w:rsidRDefault="00B46783" w:rsidP="00B46783">
      <w:pPr>
        <w:spacing w:after="0" w:line="240" w:lineRule="auto"/>
        <w:jc w:val="both"/>
        <w:rPr>
          <w:rFonts w:eastAsia="Arial Unicode MS"/>
          <w:color w:val="000000" w:themeColor="text1"/>
          <w:sz w:val="20"/>
        </w:rPr>
      </w:pPr>
      <w:r w:rsidRPr="00B46783">
        <w:rPr>
          <w:rFonts w:eastAsia="Arial Unicode MS"/>
          <w:color w:val="000000" w:themeColor="text1"/>
          <w:sz w:val="20"/>
        </w:rPr>
        <w:t>5.3 – A execução deverá ocorrer de forma contínua, coordenada e tecnicamente sequencial, respeitando a lógica construtiva das etapas de drenagem, iniciando-se, sempre que tecnicamente aplicável, pelos pontos de jusante em direção à montante, a fim de assegurar o adequado escoamento das águas pluviais e a compatibilidade entre os serviços. Deverão ser observadas as cotas, declividades, alinhamentos, profundidades, diâmetros, especificações dos materiais, condições de assentamento, reaterro, compactação e demais parâmetros constantes nos projetos de engenharia, memorial descritivo, planilhas orçamentárias e normas técnicas aplicáveis.</w:t>
      </w:r>
    </w:p>
    <w:p w14:paraId="5233C191" w14:textId="46DFA94D" w:rsidR="00B46783" w:rsidRPr="00B46783" w:rsidRDefault="00B46783" w:rsidP="00B46783">
      <w:pPr>
        <w:spacing w:after="0" w:line="240" w:lineRule="auto"/>
        <w:jc w:val="both"/>
        <w:rPr>
          <w:rFonts w:eastAsia="Arial Unicode MS"/>
          <w:color w:val="000000" w:themeColor="text1"/>
          <w:sz w:val="20"/>
        </w:rPr>
      </w:pPr>
      <w:r w:rsidRPr="00B46783">
        <w:rPr>
          <w:rFonts w:eastAsia="Arial Unicode MS"/>
          <w:color w:val="000000" w:themeColor="text1"/>
          <w:sz w:val="20"/>
        </w:rPr>
        <w:t>5.4 – A solução contempla a adoção de controles técnicos durante a execução, incluindo verificações de locação, profundidade, declividade, preparo do fundo de vala, assentamento das tubulações, execução das caixas coletoras, reaterro, compactação, regularização do subleito, conformidade dos materiais empregados e acabamento dos dispositivos executados. Sempre que necessário, a fiscalização poderá exigir ensaios, registros fotográficos, relatórios técnicos ou demais comprovações de conformidade como condição para validação das etapas executadas.</w:t>
      </w:r>
    </w:p>
    <w:p w14:paraId="562159A3" w14:textId="0D6ECD63" w:rsidR="00B46783" w:rsidRPr="00B46783" w:rsidRDefault="00B46783" w:rsidP="00B46783">
      <w:pPr>
        <w:spacing w:after="0" w:line="240" w:lineRule="auto"/>
        <w:jc w:val="both"/>
        <w:rPr>
          <w:rFonts w:eastAsia="Arial Unicode MS"/>
          <w:color w:val="000000" w:themeColor="text1"/>
          <w:sz w:val="20"/>
        </w:rPr>
      </w:pPr>
      <w:r w:rsidRPr="00B46783">
        <w:rPr>
          <w:rFonts w:eastAsia="Arial Unicode MS"/>
          <w:color w:val="000000" w:themeColor="text1"/>
          <w:sz w:val="20"/>
        </w:rPr>
        <w:t>5.5 – O acompanhamento da execução será realizado de forma contínua pela fiscalização municipal, com atuação preventiva e corretiva, cabendo ao engenheiro fiscal monitorar as frentes de trabalho, verificar a conformidade dos serviços com os projetos e especificações, registrar ocorrências em diário de obra, determinar a correção imediata de não conformidades e validar cada etapa antes da liberação da etapa subsequente, especialmente nos serviços de escavação, assentamento das tubulações, execução das caixas coletoras/bocas de lobo, bueiro tubular, reaterro e compactação.</w:t>
      </w:r>
    </w:p>
    <w:p w14:paraId="24C2C560" w14:textId="6EC9FD58" w:rsidR="00B46783" w:rsidRPr="00B46783" w:rsidRDefault="00B46783" w:rsidP="00B46783">
      <w:pPr>
        <w:spacing w:after="0" w:line="240" w:lineRule="auto"/>
        <w:jc w:val="both"/>
        <w:rPr>
          <w:rFonts w:eastAsia="Arial Unicode MS"/>
          <w:color w:val="000000" w:themeColor="text1"/>
          <w:sz w:val="20"/>
        </w:rPr>
      </w:pPr>
      <w:r w:rsidRPr="00B46783">
        <w:rPr>
          <w:rFonts w:eastAsia="Arial Unicode MS"/>
          <w:color w:val="000000" w:themeColor="text1"/>
          <w:sz w:val="20"/>
        </w:rPr>
        <w:t>5.6 – Durante toda a execução contratual, a contratada deverá assegurar o pleno conhecimento das condições locais, operacionais e técnicas da obra, não sendo admitidos pleitos de reequilíbrio econômico-financeiro ou justificativas de inadimplemento baseados em fatos previsíveis, condições inerentes ao objeto ou insuficiente análise prévia dos documentos técnicos. Eventuais pleitos serão analisados de forma criteriosa pela fiscalização, com base em elementos técnicos, registros de execução e legislação aplicável.</w:t>
      </w:r>
    </w:p>
    <w:p w14:paraId="1D4DD0F7" w14:textId="56090384" w:rsidR="00B46783" w:rsidRPr="00B46783" w:rsidRDefault="00B46783" w:rsidP="00B46783">
      <w:pPr>
        <w:spacing w:after="0" w:line="240" w:lineRule="auto"/>
        <w:jc w:val="both"/>
        <w:rPr>
          <w:rFonts w:eastAsia="Arial Unicode MS"/>
          <w:color w:val="000000" w:themeColor="text1"/>
          <w:sz w:val="20"/>
        </w:rPr>
      </w:pPr>
      <w:r w:rsidRPr="00B46783">
        <w:rPr>
          <w:rFonts w:eastAsia="Arial Unicode MS"/>
          <w:color w:val="000000" w:themeColor="text1"/>
          <w:sz w:val="20"/>
        </w:rPr>
        <w:t>5.7 – Como mecanismo de proteção ao interesse público e de mitigação dos riscos inerentes à execução da obra, será exigida garantia contratual, nos termos da Lei nº 14.133/2021, destinada a assegurar o fiel cumprimento das obrigações assumidas, a adequada execução dos serviços, a recomposição de eventuais prejuízos decorrentes de inadimplemento e a responsabilização da contratada por falhas na execução.</w:t>
      </w:r>
    </w:p>
    <w:p w14:paraId="01FF2D8B" w14:textId="32D8C42F" w:rsidR="00B46783" w:rsidRPr="00B46783" w:rsidRDefault="00B46783" w:rsidP="00B46783">
      <w:pPr>
        <w:spacing w:after="0" w:line="240" w:lineRule="auto"/>
        <w:jc w:val="both"/>
        <w:rPr>
          <w:rFonts w:eastAsia="Arial Unicode MS"/>
          <w:color w:val="000000" w:themeColor="text1"/>
          <w:sz w:val="20"/>
        </w:rPr>
      </w:pPr>
      <w:r w:rsidRPr="00B46783">
        <w:rPr>
          <w:rFonts w:eastAsia="Arial Unicode MS"/>
          <w:color w:val="000000" w:themeColor="text1"/>
          <w:sz w:val="20"/>
        </w:rPr>
        <w:t>5.8 – Sem prejuízo da garantia contratual, a solução também pressupõe a incidência da garantia legal relativa à solidez e segurança da obra, nos termos do art. 618 do Código Civil, respondendo a contratada, durante o prazo legal, pelos vícios e defeitos construtivos que comprometam a estabilidade, segurança, funcionalidade hidráulica e durabilidade da infraestrutura executada.</w:t>
      </w:r>
    </w:p>
    <w:p w14:paraId="7711F83E" w14:textId="40EB01C3" w:rsidR="00B46783" w:rsidRPr="00B46783" w:rsidRDefault="00B46783" w:rsidP="00B46783">
      <w:pPr>
        <w:spacing w:after="0" w:line="240" w:lineRule="auto"/>
        <w:jc w:val="both"/>
        <w:rPr>
          <w:rFonts w:eastAsia="Arial Unicode MS"/>
          <w:color w:val="000000" w:themeColor="text1"/>
          <w:sz w:val="20"/>
        </w:rPr>
      </w:pPr>
      <w:r w:rsidRPr="00B46783">
        <w:rPr>
          <w:rFonts w:eastAsia="Arial Unicode MS"/>
          <w:color w:val="000000" w:themeColor="text1"/>
          <w:sz w:val="20"/>
        </w:rPr>
        <w:t>5.9 – Concluídos os serviços, será realizado o recebimento provisório do objeto, mediante inspeção técnica detalhada pela fiscalização, que verificará a conformidade dos serviços com os projetos e especificações, a qualidade dos materiais empregados, os controles técnicos realizados, a regularidade geométrica e funcional dos dispositivos de drenagem, o adequado escoamento das águas pluviais, a recomposição das áreas afetadas e a inexistência de falhas aparentes.</w:t>
      </w:r>
    </w:p>
    <w:p w14:paraId="0A320E2A" w14:textId="12AF62A5" w:rsidR="00B46783" w:rsidRPr="00B46783" w:rsidRDefault="00B46783" w:rsidP="00B46783">
      <w:pPr>
        <w:spacing w:after="0" w:line="240" w:lineRule="auto"/>
        <w:jc w:val="both"/>
        <w:rPr>
          <w:rFonts w:eastAsia="Arial Unicode MS"/>
          <w:color w:val="000000" w:themeColor="text1"/>
          <w:sz w:val="20"/>
        </w:rPr>
      </w:pPr>
      <w:r w:rsidRPr="00B46783">
        <w:rPr>
          <w:rFonts w:eastAsia="Arial Unicode MS"/>
          <w:color w:val="000000" w:themeColor="text1"/>
          <w:sz w:val="20"/>
        </w:rPr>
        <w:t>5.10 – O recebimento definitivo ocorrerá no prazo máximo de até 90 (noventa) dias após o recebimento provisório, período no qual será observado o comportamento da infraestrutura executada, especialmente quanto ao funcionamento do sistema de microdrenagem/drenagem pluvial, à estabilidade dos reaterros, à integridade das caixas coletoras, bocas de lobo, tubulações, meio-fio e bueiro tubular, bem como à inexistência de vícios construtivos relevantes. A formalização do recebimento definitivo ficará condicionada ao atendimento integral das obrigações contratuais.</w:t>
      </w:r>
    </w:p>
    <w:p w14:paraId="74EB3D28" w14:textId="3D562931" w:rsidR="00ED0FB6" w:rsidRDefault="00B46783" w:rsidP="00B46783">
      <w:pPr>
        <w:spacing w:after="0" w:line="240" w:lineRule="auto"/>
        <w:jc w:val="both"/>
        <w:rPr>
          <w:rFonts w:eastAsia="Arial Unicode MS"/>
          <w:color w:val="000000" w:themeColor="text1"/>
          <w:sz w:val="20"/>
        </w:rPr>
      </w:pPr>
      <w:r w:rsidRPr="00B46783">
        <w:rPr>
          <w:rFonts w:eastAsia="Arial Unicode MS"/>
          <w:color w:val="000000" w:themeColor="text1"/>
          <w:sz w:val="20"/>
        </w:rPr>
        <w:t>5.11 – A solução será considerada integralmente concluída somente após o recebimento definitivo, com a validação de que todos os serviços foram executados conforme os parâmetros técnicos aprovados, assegurando eficiência hidráulica, segurança viária, conservação da infraestrutura urbana, adequada aplicação dos recursos públicos e atendimento ao interesse público, em consonância com as diretrizes da Lei nº 14.133/2021 e do Convênio FPE nº 2014/2026.</w:t>
      </w:r>
    </w:p>
    <w:p w14:paraId="49148CA2" w14:textId="77777777" w:rsidR="00B46783" w:rsidRDefault="00B46783" w:rsidP="00B46783">
      <w:pPr>
        <w:spacing w:after="0" w:line="240" w:lineRule="auto"/>
        <w:jc w:val="both"/>
        <w:rPr>
          <w:rFonts w:eastAsia="Arial Unicode MS"/>
          <w:b/>
          <w:color w:val="000000" w:themeColor="text1"/>
          <w:sz w:val="20"/>
        </w:rPr>
      </w:pPr>
    </w:p>
    <w:p w14:paraId="5F506869" w14:textId="0FBA30B5" w:rsidR="006E786C" w:rsidRPr="00EF52E1" w:rsidRDefault="00652924" w:rsidP="00E16BA6">
      <w:pPr>
        <w:spacing w:after="0" w:line="240" w:lineRule="auto"/>
        <w:jc w:val="both"/>
        <w:rPr>
          <w:rFonts w:eastAsia="Arial Unicode MS"/>
          <w:b/>
          <w:color w:val="000000" w:themeColor="text1"/>
          <w:sz w:val="20"/>
        </w:rPr>
      </w:pPr>
      <w:r w:rsidRPr="00EF52E1">
        <w:rPr>
          <w:rFonts w:eastAsia="Arial Unicode MS"/>
          <w:b/>
          <w:color w:val="000000" w:themeColor="text1"/>
          <w:sz w:val="20"/>
        </w:rPr>
        <w:t>6</w:t>
      </w:r>
      <w:r w:rsidR="006E786C" w:rsidRPr="00EF52E1">
        <w:rPr>
          <w:rFonts w:eastAsia="Arial Unicode MS" w:hint="eastAsia"/>
          <w:b/>
          <w:color w:val="000000" w:themeColor="text1"/>
          <w:sz w:val="20"/>
        </w:rPr>
        <w:t xml:space="preserve"> - ESTIMATIVA DAS QUANTIDADES A SEREM CONTRATADAS: </w:t>
      </w:r>
    </w:p>
    <w:p w14:paraId="722255E4" w14:textId="6D680E62" w:rsidR="003A340B" w:rsidRPr="003A340B" w:rsidRDefault="003A340B" w:rsidP="003A340B">
      <w:pPr>
        <w:spacing w:after="0" w:line="240" w:lineRule="auto"/>
        <w:jc w:val="both"/>
        <w:rPr>
          <w:rFonts w:eastAsia="Arial Unicode MS"/>
          <w:color w:val="000000" w:themeColor="text1"/>
          <w:sz w:val="20"/>
        </w:rPr>
      </w:pPr>
      <w:r w:rsidRPr="003A340B">
        <w:rPr>
          <w:rFonts w:eastAsia="Arial Unicode MS"/>
          <w:color w:val="000000" w:themeColor="text1"/>
          <w:sz w:val="20"/>
        </w:rPr>
        <w:t xml:space="preserve">6.1 – As quantidades estimadas para a execução da obra foram definidas a partir de levantamento técnico detalhado, fundamentado nos projetos de engenharia, levantamento planialtimétrico, Memorial Descritivo, Planilha Orçamentária, Cronograma Físico-Financeiro, composições de custos e demais </w:t>
      </w:r>
      <w:r w:rsidRPr="003A340B">
        <w:rPr>
          <w:rFonts w:eastAsia="Arial Unicode MS"/>
          <w:color w:val="000000" w:themeColor="text1"/>
          <w:sz w:val="20"/>
        </w:rPr>
        <w:lastRenderedPageBreak/>
        <w:t>documentos técnicos que integram o processo, assegurando padronização, confiabilidade e aderência às práticas consolidadas da engenharia de drenagem urbana.</w:t>
      </w:r>
    </w:p>
    <w:p w14:paraId="2A46073D" w14:textId="77777777" w:rsidR="003A340B" w:rsidRPr="003A340B" w:rsidRDefault="003A340B" w:rsidP="003A340B">
      <w:pPr>
        <w:spacing w:after="0" w:line="240" w:lineRule="auto"/>
        <w:jc w:val="both"/>
        <w:rPr>
          <w:rFonts w:eastAsia="Arial Unicode MS"/>
          <w:color w:val="000000" w:themeColor="text1"/>
          <w:sz w:val="20"/>
        </w:rPr>
      </w:pPr>
      <w:r w:rsidRPr="003A340B">
        <w:rPr>
          <w:rFonts w:eastAsia="Arial Unicode MS"/>
          <w:color w:val="000000" w:themeColor="text1"/>
          <w:sz w:val="20"/>
        </w:rPr>
        <w:t>6.2 – A partir desses elementos, os quantitativos foram estruturados considerando as características geométricas, topográficas, hidráulicas e funcionais das vias contempladas, abrangendo a Rua 4 de Julho, Rodovia VRS-835, Rua José da Silva, Rua Sem Denominação “A”, Rua João Pereira de Aguiar, Rua Aldo Bilhar de Azevedo e Rua Marcírio Davi de Azevedo, localizadas nos bairros Cidade Baixa e Morro Bonito, conforme definido nos documentos técnicos do projeto.</w:t>
      </w:r>
    </w:p>
    <w:p w14:paraId="48BC14AB" w14:textId="4BFCB984" w:rsidR="003A340B" w:rsidRPr="003A340B" w:rsidRDefault="003A340B" w:rsidP="003A340B">
      <w:pPr>
        <w:spacing w:after="0" w:line="240" w:lineRule="auto"/>
        <w:jc w:val="both"/>
        <w:rPr>
          <w:rFonts w:eastAsia="Arial Unicode MS"/>
          <w:color w:val="000000" w:themeColor="text1"/>
          <w:sz w:val="20"/>
        </w:rPr>
      </w:pPr>
      <w:r w:rsidRPr="003A340B">
        <w:rPr>
          <w:rFonts w:eastAsia="Arial Unicode MS"/>
          <w:color w:val="000000" w:themeColor="text1"/>
          <w:sz w:val="20"/>
        </w:rPr>
        <w:t>6.3 – Os quantitativos globais da solução estão diretamente vinculados à extensão efetiva de intervenção, às condições locais de escoamento, às cotas e declividades projetadas, aos diâmetros das tubulações, à localização dos dispositivos de captação, aos volumes de escavação e reaterro, às necessidades de regularização e compactação e aos demais serviços complementares previstos. Tais quantitativos compreendem, especialmente, execução de tubulações em concreto, caixas coletoras/bocas de lobo, bueiro tubular, meio-fio, escavação, preparo de fundo de vala, reaterro, carga, transporte, regularização e compactação de subleito.</w:t>
      </w:r>
    </w:p>
    <w:p w14:paraId="138B15C5" w14:textId="3965D6CB" w:rsidR="003A340B" w:rsidRPr="003A340B" w:rsidRDefault="003A340B" w:rsidP="003A340B">
      <w:pPr>
        <w:spacing w:after="0" w:line="240" w:lineRule="auto"/>
        <w:jc w:val="both"/>
        <w:rPr>
          <w:rFonts w:eastAsia="Arial Unicode MS"/>
          <w:color w:val="000000" w:themeColor="text1"/>
          <w:sz w:val="20"/>
        </w:rPr>
      </w:pPr>
      <w:r w:rsidRPr="003A340B">
        <w:rPr>
          <w:rFonts w:eastAsia="Arial Unicode MS"/>
          <w:color w:val="000000" w:themeColor="text1"/>
          <w:sz w:val="20"/>
        </w:rPr>
        <w:t>6.4 – A solução técnica adotada exige a utilização de materiais com padrão mínimo de qualidade previamente definido no Memorial Descritivo e nas especificações técnicas, destacando-se o emprego de tubos de concreto para redes coletoras de águas pluviais, em diferentes diâmetros, caixas coletoras/bocas de lobo em alvenaria ou solução tecnicamente equivalente prevista em projeto, peças e dispositivos de concreto, meio-fio pré-moldado, materiais adequados para reaterro e regularização, além de insumos, equipamentos e ferramentas necessários à execução segura e eficiente da obra.</w:t>
      </w:r>
    </w:p>
    <w:p w14:paraId="72920701" w14:textId="12EDFB6C" w:rsidR="003A340B" w:rsidRPr="003A340B" w:rsidRDefault="003A340B" w:rsidP="003A340B">
      <w:pPr>
        <w:spacing w:after="0" w:line="240" w:lineRule="auto"/>
        <w:jc w:val="both"/>
        <w:rPr>
          <w:rFonts w:eastAsia="Arial Unicode MS"/>
          <w:color w:val="000000" w:themeColor="text1"/>
          <w:sz w:val="20"/>
        </w:rPr>
      </w:pPr>
      <w:r w:rsidRPr="003A340B">
        <w:rPr>
          <w:rFonts w:eastAsia="Arial Unicode MS"/>
          <w:color w:val="000000" w:themeColor="text1"/>
          <w:sz w:val="20"/>
        </w:rPr>
        <w:t>6.5 – A definição desses materiais e dos respectivos parâmetros técnicos não possui caráter meramente descritivo, constituindo elemento essencial para garantir o desempenho da solução, uma vez que a qualidade dos insumos, associada à correta execução das etapas construtivas, impacta diretamente na durabilidade, funcionalidade hidráulica, segurança e estabilidade da infraestrutura executada. Tal abordagem visa mitigar riscos recorrentes em obras públicas, notadamente aqueles decorrentes da utilização de materiais inadequados, execução deficiente, falhas de declividade, assentamento inadequado das tubulações, compactação insuficiente ou obstruções futuras no sistema de drenagem.</w:t>
      </w:r>
    </w:p>
    <w:p w14:paraId="60850C3B" w14:textId="4ED31143" w:rsidR="003A340B" w:rsidRPr="003A340B" w:rsidRDefault="003A340B" w:rsidP="003A340B">
      <w:pPr>
        <w:spacing w:after="0" w:line="240" w:lineRule="auto"/>
        <w:jc w:val="both"/>
        <w:rPr>
          <w:rFonts w:eastAsia="Arial Unicode MS"/>
          <w:color w:val="000000" w:themeColor="text1"/>
          <w:sz w:val="20"/>
        </w:rPr>
      </w:pPr>
      <w:r w:rsidRPr="003A340B">
        <w:rPr>
          <w:rFonts w:eastAsia="Arial Unicode MS"/>
          <w:color w:val="000000" w:themeColor="text1"/>
          <w:sz w:val="20"/>
        </w:rPr>
        <w:t>6.6 – O prazo estimado para execução da obra observará o cronograma físico-financeiro aprovado e as condições do Convênio FPE nº 2014/2026, considerando-se a vigência contratual de 12 (doze) meses para abranger a execução integral dos serviços, medições, recebimentos e eventuais providências técnico-administrativas. Eventual prorrogação somente poderá ocorrer mediante justificativa técnica formal, especialmente em razão de fatores climáticos, interferências supervenientes, condições operacionais devidamente comprovadas ou hipóteses legalmente admitidas.</w:t>
      </w:r>
    </w:p>
    <w:p w14:paraId="67CB3558" w14:textId="6B331570" w:rsidR="00982FDC" w:rsidRDefault="003A340B" w:rsidP="003A340B">
      <w:pPr>
        <w:spacing w:after="0" w:line="240" w:lineRule="auto"/>
        <w:jc w:val="both"/>
        <w:rPr>
          <w:rFonts w:eastAsia="Arial Unicode MS"/>
          <w:color w:val="000000" w:themeColor="text1"/>
          <w:sz w:val="20"/>
        </w:rPr>
      </w:pPr>
      <w:r w:rsidRPr="003A340B">
        <w:rPr>
          <w:rFonts w:eastAsia="Arial Unicode MS"/>
          <w:color w:val="000000" w:themeColor="text1"/>
          <w:sz w:val="20"/>
        </w:rPr>
        <w:t>6.7 – Todos os quantitativos encontram-se devidamente detalhados e justificados na memória de cálculo, nas planilhas de quantidades, na planilha orçamentária, no memorial descritivo e nos projetos de engenharia, elaborados a partir de levantamentos técnicos e parâmetros de projeto, assegurando plena rastreabilidade, coerência e compatibilidade entre os documentos que instruem o processo, em conformidade com as exigências da fase preparatória previstas na Lei nº 14.133/2021.</w:t>
      </w:r>
    </w:p>
    <w:p w14:paraId="6AEBBCFD" w14:textId="77777777" w:rsidR="003A340B" w:rsidRPr="00EF52E1" w:rsidRDefault="003A340B" w:rsidP="003A340B">
      <w:pPr>
        <w:spacing w:after="0" w:line="240" w:lineRule="auto"/>
        <w:jc w:val="both"/>
        <w:rPr>
          <w:rFonts w:eastAsia="Arial Unicode MS"/>
          <w:bCs/>
          <w:color w:val="000000" w:themeColor="text1"/>
          <w:sz w:val="20"/>
        </w:rPr>
      </w:pPr>
    </w:p>
    <w:p w14:paraId="79CA53DF" w14:textId="77777777" w:rsidR="006E786C" w:rsidRPr="00EF52E1" w:rsidRDefault="00652924" w:rsidP="00E16BA6">
      <w:pPr>
        <w:spacing w:after="0" w:line="240" w:lineRule="auto"/>
        <w:jc w:val="both"/>
        <w:rPr>
          <w:rFonts w:eastAsia="Arial Unicode MS"/>
          <w:b/>
          <w:color w:val="000000" w:themeColor="text1"/>
          <w:sz w:val="20"/>
        </w:rPr>
      </w:pPr>
      <w:r w:rsidRPr="00EF52E1">
        <w:rPr>
          <w:rFonts w:eastAsia="Arial Unicode MS"/>
          <w:b/>
          <w:color w:val="000000" w:themeColor="text1"/>
          <w:sz w:val="20"/>
        </w:rPr>
        <w:t>7</w:t>
      </w:r>
      <w:r w:rsidR="006E786C" w:rsidRPr="00EF52E1">
        <w:rPr>
          <w:rFonts w:eastAsia="Arial Unicode MS" w:hint="eastAsia"/>
          <w:b/>
          <w:color w:val="000000" w:themeColor="text1"/>
          <w:sz w:val="20"/>
        </w:rPr>
        <w:t xml:space="preserve"> – ESTIMATIVA DO VALOR DA CONTRATAÇÃO:</w:t>
      </w:r>
    </w:p>
    <w:p w14:paraId="609B675F" w14:textId="124A0591" w:rsidR="003A340B" w:rsidRPr="003A340B" w:rsidRDefault="003A340B" w:rsidP="003A340B">
      <w:pPr>
        <w:spacing w:after="0" w:line="240" w:lineRule="auto"/>
        <w:jc w:val="both"/>
        <w:rPr>
          <w:rFonts w:eastAsia="Arial Unicode MS"/>
          <w:color w:val="000000" w:themeColor="text1"/>
          <w:sz w:val="20"/>
        </w:rPr>
      </w:pPr>
      <w:r w:rsidRPr="003A340B">
        <w:rPr>
          <w:rFonts w:eastAsia="Arial Unicode MS"/>
          <w:color w:val="000000" w:themeColor="text1"/>
          <w:sz w:val="20"/>
        </w:rPr>
        <w:t>7.1 – A estimativa do valor da contratação foi elaborada com base em Projeto de Engenharia completo, devidamente desenvolvido por profissional técnico habilitado, contemplando o detalhamento dos serviços necessários à execução da obra de infraestrutura urbana voltada à implantação de sistema de microdrenagem/drenagem pluvial na Rua 4 de Julho, Rodovia VRS-835 e ruas adjacentes dos bairros Cidade Baixa e Morro Bonito, no Município de Paverama/RS. O orçamento foi estruturado a partir de composições unitárias de custos, coeficientes técnicos, insumos, cotações e parâmetros constantes nos sistemas referenciais oficiais e nas planilhas técnicas que instruem o processo.</w:t>
      </w:r>
    </w:p>
    <w:p w14:paraId="6804C2B3" w14:textId="3CC4576E" w:rsidR="003A340B" w:rsidRPr="003A340B" w:rsidRDefault="003A340B" w:rsidP="003A340B">
      <w:pPr>
        <w:spacing w:after="0" w:line="240" w:lineRule="auto"/>
        <w:jc w:val="both"/>
        <w:rPr>
          <w:rFonts w:eastAsia="Arial Unicode MS"/>
          <w:color w:val="000000" w:themeColor="text1"/>
          <w:sz w:val="20"/>
        </w:rPr>
      </w:pPr>
      <w:r w:rsidRPr="003A340B">
        <w:rPr>
          <w:rFonts w:eastAsia="Arial Unicode MS"/>
          <w:color w:val="000000" w:themeColor="text1"/>
          <w:sz w:val="20"/>
        </w:rPr>
        <w:t>7.1.1 – Para fins de formação do preço global, foi aplicada composição de Benefícios e Despesas Indiretas (BDI) incidente sobre os custos diretos da obra, contemplando despesas indiretas, encargos financeiros, riscos, tributos e margem operacional, conforme demonstrado na Planilha Orçamentária que integra o presente estudo.</w:t>
      </w:r>
    </w:p>
    <w:p w14:paraId="4DA20FF1" w14:textId="535AE2F0" w:rsidR="003A340B" w:rsidRPr="003A340B" w:rsidRDefault="003A340B" w:rsidP="003A340B">
      <w:pPr>
        <w:spacing w:after="0" w:line="240" w:lineRule="auto"/>
        <w:jc w:val="both"/>
        <w:rPr>
          <w:rFonts w:eastAsia="Arial Unicode MS"/>
          <w:color w:val="000000" w:themeColor="text1"/>
          <w:sz w:val="20"/>
        </w:rPr>
      </w:pPr>
      <w:r w:rsidRPr="003A340B">
        <w:rPr>
          <w:rFonts w:eastAsia="Arial Unicode MS"/>
          <w:color w:val="000000" w:themeColor="text1"/>
          <w:sz w:val="20"/>
        </w:rPr>
        <w:t xml:space="preserve">7.2 – A metodologia adotada assegura que os valores estimados reflitam, com fidedignidade, os custos praticados no mercado para obras de engenharia de natureza e complexidade equivalentes, garantindo padronização, rastreabilidade e aderência aos referenciais técnicos oficiais. A utilização de sistemas públicos de custos, composições técnicas e cotações específicas, aliada à elaboração de projeto de </w:t>
      </w:r>
      <w:r w:rsidRPr="003A340B">
        <w:rPr>
          <w:rFonts w:eastAsia="Arial Unicode MS"/>
          <w:color w:val="000000" w:themeColor="text1"/>
          <w:sz w:val="20"/>
        </w:rPr>
        <w:lastRenderedPageBreak/>
        <w:t>engenharia detalhado, confere segurança técnica e jurídica à estimativa, mitigando riscos de distorções, sobrepreço ou subavaliação do objeto.</w:t>
      </w:r>
    </w:p>
    <w:p w14:paraId="0DA6500F" w14:textId="60C0F211" w:rsidR="003A340B" w:rsidRPr="003A340B" w:rsidRDefault="003A340B" w:rsidP="003A340B">
      <w:pPr>
        <w:spacing w:after="0" w:line="240" w:lineRule="auto"/>
        <w:jc w:val="both"/>
        <w:rPr>
          <w:rFonts w:eastAsia="Arial Unicode MS"/>
          <w:color w:val="000000" w:themeColor="text1"/>
          <w:sz w:val="20"/>
        </w:rPr>
      </w:pPr>
      <w:r w:rsidRPr="003A340B">
        <w:rPr>
          <w:rFonts w:eastAsia="Arial Unicode MS"/>
          <w:color w:val="000000" w:themeColor="text1"/>
          <w:sz w:val="20"/>
        </w:rPr>
        <w:t>7.3 – O orçamento estimativo encontra-se devidamente detalhado em Planilha Orçamentária, composições de custos, memórias de cálculo e demais documentos técnicos, os quais discriminam, de forma pormenorizada, todos os serviços previstos, seus respectivos quantitativos, unidades de medida, preços unitários, insumos e encargos incidentes. Tais documentos permitem a verificação da formação dos preços, assegurando transparência, controle e compatibilidade com os métodos construtivos definidos no projeto.</w:t>
      </w:r>
    </w:p>
    <w:p w14:paraId="5ACCD1A3" w14:textId="6513710E" w:rsidR="003A340B" w:rsidRPr="003A340B" w:rsidRDefault="003A340B" w:rsidP="003A340B">
      <w:pPr>
        <w:spacing w:after="0" w:line="240" w:lineRule="auto"/>
        <w:jc w:val="both"/>
        <w:rPr>
          <w:rFonts w:eastAsia="Arial Unicode MS"/>
          <w:color w:val="000000" w:themeColor="text1"/>
          <w:sz w:val="20"/>
        </w:rPr>
      </w:pPr>
      <w:r w:rsidRPr="003A340B">
        <w:rPr>
          <w:rFonts w:eastAsia="Arial Unicode MS"/>
          <w:color w:val="000000" w:themeColor="text1"/>
          <w:sz w:val="20"/>
        </w:rPr>
        <w:t>7.4 – Conforme apurado na Planilha Orçamentária, o valor total estimado para a execução da obra é de R$ 2.470.882,57 (dois milhões, quatrocentos e setenta mil, oitocentos e oitenta e dois reais e cinquenta e sete centavos), compreendendo a totalidade dos serviços previstos para a implantação do sistema de microdrenagem/drenagem pluvial.</w:t>
      </w:r>
    </w:p>
    <w:p w14:paraId="70047179" w14:textId="35E52218" w:rsidR="003A340B" w:rsidRPr="003A340B" w:rsidRDefault="003A340B" w:rsidP="003A340B">
      <w:pPr>
        <w:spacing w:after="0" w:line="240" w:lineRule="auto"/>
        <w:jc w:val="both"/>
        <w:rPr>
          <w:rFonts w:eastAsia="Arial Unicode MS"/>
          <w:color w:val="000000" w:themeColor="text1"/>
          <w:sz w:val="20"/>
        </w:rPr>
      </w:pPr>
      <w:r w:rsidRPr="003A340B">
        <w:rPr>
          <w:rFonts w:eastAsia="Arial Unicode MS"/>
          <w:color w:val="000000" w:themeColor="text1"/>
          <w:sz w:val="20"/>
        </w:rPr>
        <w:t>7.5 – Destaca-se que o orçamento considera a execução integral do objeto, incluindo todas as etapas necessárias à adequada implantação da infraestrutura de drenagem urbana, tais como escavação, preparo de fundo de vala, assentamento de tubulações em concreto, execução de caixas coletoras/bocas de lobo, bueiro tubular, meio-fio, reaterro, regularização e compactação de subleito, carga, transporte e demais serviços complementares, em conformidade com os padrões técnicos exigidos pelos documentos de engenharia e normas aplicáveis.</w:t>
      </w:r>
    </w:p>
    <w:p w14:paraId="1A027B90" w14:textId="3259BDCC" w:rsidR="003A340B" w:rsidRPr="003A340B" w:rsidRDefault="003A340B" w:rsidP="003A340B">
      <w:pPr>
        <w:spacing w:after="0" w:line="240" w:lineRule="auto"/>
        <w:jc w:val="both"/>
        <w:rPr>
          <w:rFonts w:eastAsia="Arial Unicode MS"/>
          <w:color w:val="000000" w:themeColor="text1"/>
          <w:sz w:val="20"/>
        </w:rPr>
      </w:pPr>
      <w:r w:rsidRPr="003A340B">
        <w:rPr>
          <w:rFonts w:eastAsia="Arial Unicode MS"/>
          <w:color w:val="000000" w:themeColor="text1"/>
          <w:sz w:val="20"/>
        </w:rPr>
        <w:t>7.6 – A adoção da metodologia baseada em composições de custos, associada à aplicação de BDI compatível com a natureza da obra, assegura que o valor estimado represente o custo da execução indireta do objeto, observando os princípios da economicidade, eficiência, planejamento e seleção da proposta mais vantajosa, previstos na Lei nº 14.133/2021.</w:t>
      </w:r>
    </w:p>
    <w:p w14:paraId="5BDBDD2B" w14:textId="6C4B0F36" w:rsidR="00CE6B9C" w:rsidRDefault="003A340B" w:rsidP="003A340B">
      <w:pPr>
        <w:spacing w:after="0" w:line="240" w:lineRule="auto"/>
        <w:jc w:val="both"/>
        <w:rPr>
          <w:rFonts w:eastAsia="Arial Unicode MS"/>
          <w:color w:val="000000" w:themeColor="text1"/>
          <w:sz w:val="20"/>
        </w:rPr>
      </w:pPr>
      <w:r w:rsidRPr="003A340B">
        <w:rPr>
          <w:rFonts w:eastAsia="Arial Unicode MS"/>
          <w:color w:val="000000" w:themeColor="text1"/>
          <w:sz w:val="20"/>
        </w:rPr>
        <w:t>7.7 – A Planilha Orçamentária, as composições de custos, as memórias de cálculo, o memorial descritivo, o cronograma físico-financeiro e os demais documentos técnicos que fundamentam a estimativa de valor encontram-se devidamente anexados aos autos processuais, constituindo elementos essenciais da fase preparatória, aptos a subsidiar a análise de conformidade, o controle interno e externo e a adequada instrução do procedimento licitatório.</w:t>
      </w:r>
    </w:p>
    <w:p w14:paraId="7F60E4B7" w14:textId="77777777" w:rsidR="003A340B" w:rsidRPr="00EF52E1" w:rsidRDefault="003A340B" w:rsidP="00E16BA6">
      <w:pPr>
        <w:spacing w:after="0" w:line="240" w:lineRule="auto"/>
        <w:jc w:val="both"/>
        <w:rPr>
          <w:rFonts w:eastAsia="Arial Unicode MS"/>
          <w:b/>
          <w:color w:val="000000" w:themeColor="text1"/>
          <w:sz w:val="20"/>
        </w:rPr>
      </w:pPr>
    </w:p>
    <w:p w14:paraId="696DD5F0" w14:textId="4F012543" w:rsidR="006E786C" w:rsidRPr="00EF52E1" w:rsidRDefault="00652924" w:rsidP="00E16BA6">
      <w:pPr>
        <w:spacing w:after="0" w:line="240" w:lineRule="auto"/>
        <w:jc w:val="both"/>
        <w:rPr>
          <w:rFonts w:eastAsia="Arial Unicode MS"/>
          <w:b/>
          <w:color w:val="000000" w:themeColor="text1"/>
          <w:sz w:val="20"/>
        </w:rPr>
      </w:pPr>
      <w:r w:rsidRPr="00EF52E1">
        <w:rPr>
          <w:rFonts w:eastAsia="Arial Unicode MS"/>
          <w:b/>
          <w:color w:val="000000" w:themeColor="text1"/>
          <w:sz w:val="20"/>
        </w:rPr>
        <w:t>8</w:t>
      </w:r>
      <w:r w:rsidR="006E786C" w:rsidRPr="00EF52E1">
        <w:rPr>
          <w:rFonts w:eastAsia="Arial Unicode MS" w:hint="eastAsia"/>
          <w:b/>
          <w:color w:val="000000" w:themeColor="text1"/>
          <w:sz w:val="20"/>
        </w:rPr>
        <w:t xml:space="preserve"> – JUSTIFICATIVA PARA O PARCELAMENTO OU NÃO DA SOLUÇÃO:</w:t>
      </w:r>
    </w:p>
    <w:p w14:paraId="6B08B613" w14:textId="37D31519" w:rsidR="00AA3210" w:rsidRPr="00AA3210" w:rsidRDefault="00AA3210" w:rsidP="00AA3210">
      <w:pPr>
        <w:spacing w:after="0" w:line="240" w:lineRule="auto"/>
        <w:jc w:val="both"/>
        <w:rPr>
          <w:rFonts w:eastAsia="Arial Unicode MS"/>
          <w:color w:val="000000" w:themeColor="text1"/>
          <w:sz w:val="20"/>
        </w:rPr>
      </w:pPr>
      <w:r w:rsidRPr="00AA3210">
        <w:rPr>
          <w:rFonts w:eastAsia="Arial Unicode MS"/>
          <w:color w:val="000000" w:themeColor="text1"/>
          <w:sz w:val="20"/>
        </w:rPr>
        <w:t>8.1 – Nos termos do art. 47 da Lei Federal nº 14.133/2021, as licitações devem observar o princípio do parcelamento sempre que tecnicamente viável e economicamente vantajoso, considerando-se, conforme o §1º do referido dispositivo, aspectos como a responsabilidade técnica, os custos administrativos decorrentes da gestão contratual, a necessidade de padronização, a ampliação da competitividade e a eficiência da execução. A aplicação desse princípio exige análise técnica criteriosa, à luz das características do objeto, da solução pretendida e dos riscos envolvidos.</w:t>
      </w:r>
    </w:p>
    <w:p w14:paraId="093E1B04" w14:textId="37DD3FB1" w:rsidR="00AA3210" w:rsidRPr="00AA3210" w:rsidRDefault="00AA3210" w:rsidP="00AA3210">
      <w:pPr>
        <w:spacing w:after="0" w:line="240" w:lineRule="auto"/>
        <w:jc w:val="both"/>
        <w:rPr>
          <w:rFonts w:eastAsia="Arial Unicode MS"/>
          <w:color w:val="000000" w:themeColor="text1"/>
          <w:sz w:val="20"/>
        </w:rPr>
      </w:pPr>
      <w:r w:rsidRPr="00AA3210">
        <w:rPr>
          <w:rFonts w:eastAsia="Arial Unicode MS"/>
          <w:color w:val="000000" w:themeColor="text1"/>
          <w:sz w:val="20"/>
        </w:rPr>
        <w:t>8.2 – No caso da presente contratação, o objeto consiste na execução de obra de infraestrutura urbana voltada à implantação de sistema de microdrenagem/drenagem pluvial na Rua 4 de Julho, Rodovia VRS-835 e ruas adjacentes dos bairros Cidade Baixa e Morro Bonito, compreendendo um conjunto integrado de serviços de engenharia interdependentes, tais como escavação, preparo de fundo de vala, assentamento de tubulações em concreto, execução de caixas coletoras/bocas de lobo, bueiro tubular, meio-fio, reaterro, regularização e compactação de subleito, carga, transporte e demais serviços complementares.</w:t>
      </w:r>
    </w:p>
    <w:p w14:paraId="271980FE" w14:textId="3DE13A73" w:rsidR="00AA3210" w:rsidRPr="00AA3210" w:rsidRDefault="00AA3210" w:rsidP="00AA3210">
      <w:pPr>
        <w:spacing w:after="0" w:line="240" w:lineRule="auto"/>
        <w:jc w:val="both"/>
        <w:rPr>
          <w:rFonts w:eastAsia="Arial Unicode MS"/>
          <w:color w:val="000000" w:themeColor="text1"/>
          <w:sz w:val="20"/>
        </w:rPr>
      </w:pPr>
      <w:r w:rsidRPr="00AA3210">
        <w:rPr>
          <w:rFonts w:eastAsia="Arial Unicode MS"/>
          <w:color w:val="000000" w:themeColor="text1"/>
          <w:sz w:val="20"/>
        </w:rPr>
        <w:t>8.3 – Embora a intervenção abranja diferentes vias e trechos, a solução foi concebida como sistema integrado de drenagem urbana, no qual as etapas construtivas e os dispositivos projetados possuem relação funcional entre si, especialmente quanto à captação, condução e destinação adequada das águas pluviais. A adequada execução da obra depende da compatibilidade entre cotas, declividades, diâmetros, pontos de lançamento, caixas coletoras, tubulações, bueiros e recomposição das áreas afetadas, exigindo coordenação técnica centralizada.</w:t>
      </w:r>
    </w:p>
    <w:p w14:paraId="0CE3C4FC" w14:textId="048C1CC1" w:rsidR="00AA3210" w:rsidRPr="00AA3210" w:rsidRDefault="00AA3210" w:rsidP="00AA3210">
      <w:pPr>
        <w:spacing w:after="0" w:line="240" w:lineRule="auto"/>
        <w:jc w:val="both"/>
        <w:rPr>
          <w:rFonts w:eastAsia="Arial Unicode MS"/>
          <w:color w:val="000000" w:themeColor="text1"/>
          <w:sz w:val="20"/>
        </w:rPr>
      </w:pPr>
      <w:r w:rsidRPr="00AA3210">
        <w:rPr>
          <w:rFonts w:eastAsia="Arial Unicode MS"/>
          <w:color w:val="000000" w:themeColor="text1"/>
          <w:sz w:val="20"/>
        </w:rPr>
        <w:t>8.4 – Diante dessas características, não se mostra tecnicamente recomendável o parcelamento do objeto em múltiplos lotes ou contratos, uma vez que a fragmentação poderia comprometer a coerência executiva do sistema, dificultar a responsabilização técnica por eventuais falhas, aumentar o risco de incompatibilidades entre serviços executados por diferentes empresas e prejudicar o controle de qualidade, especialmente nos pontos de interligação entre trechos, tubulações, caixas coletoras e dispositivos de drenagem.</w:t>
      </w:r>
    </w:p>
    <w:p w14:paraId="7D6D6D26" w14:textId="0E37DCD3" w:rsidR="00AA3210" w:rsidRPr="00AA3210" w:rsidRDefault="00AA3210" w:rsidP="00AA3210">
      <w:pPr>
        <w:spacing w:after="0" w:line="240" w:lineRule="auto"/>
        <w:jc w:val="both"/>
        <w:rPr>
          <w:rFonts w:eastAsia="Arial Unicode MS"/>
          <w:color w:val="000000" w:themeColor="text1"/>
          <w:sz w:val="20"/>
        </w:rPr>
      </w:pPr>
      <w:r w:rsidRPr="00AA3210">
        <w:rPr>
          <w:rFonts w:eastAsia="Arial Unicode MS"/>
          <w:color w:val="000000" w:themeColor="text1"/>
          <w:sz w:val="20"/>
        </w:rPr>
        <w:t xml:space="preserve">8.5 – A subdivisão do objeto também poderia implicar aumento dos custos indiretos, perda de economia de escala, duplicidade de mobilização de equipamentos e equipes, maior complexidade na gestão e fiscalização contratual e elevação dos riscos de atrasos, retrabalhos e inconsistências na qualidade </w:t>
      </w:r>
      <w:r w:rsidRPr="00AA3210">
        <w:rPr>
          <w:rFonts w:eastAsia="Arial Unicode MS"/>
          <w:color w:val="000000" w:themeColor="text1"/>
          <w:sz w:val="20"/>
        </w:rPr>
        <w:lastRenderedPageBreak/>
        <w:t>final da obra, especialmente em razão da necessidade de observância do cronograma físico-financeiro e das obrigações vinculadas ao Convênio FPE nº 2014/2026.</w:t>
      </w:r>
    </w:p>
    <w:p w14:paraId="6A014862" w14:textId="77777777" w:rsidR="00AA3210" w:rsidRPr="00AA3210" w:rsidRDefault="00AA3210" w:rsidP="00AA3210">
      <w:pPr>
        <w:spacing w:after="0" w:line="240" w:lineRule="auto"/>
        <w:jc w:val="both"/>
        <w:rPr>
          <w:rFonts w:eastAsia="Arial Unicode MS"/>
          <w:color w:val="000000" w:themeColor="text1"/>
          <w:sz w:val="20"/>
        </w:rPr>
      </w:pPr>
      <w:r w:rsidRPr="00AA3210">
        <w:rPr>
          <w:rFonts w:eastAsia="Arial Unicode MS"/>
          <w:color w:val="000000" w:themeColor="text1"/>
          <w:sz w:val="20"/>
        </w:rPr>
        <w:t>8.6 – A execução integral da obra por uma única empresa contratada assegura maior uniformidade metodológica, melhor coordenação das frentes de trabalho, otimização do uso de equipamentos, materiais e mão de obra, além de maior controle sobre prazos, qualidade, segurança, medições, prestação de contas e desempenho funcional da infraestrutura de drenagem implantada.</w:t>
      </w:r>
    </w:p>
    <w:p w14:paraId="74B30FC3" w14:textId="72167145" w:rsidR="00DE7945" w:rsidRDefault="00AA3210" w:rsidP="00AA3210">
      <w:pPr>
        <w:spacing w:after="0" w:line="240" w:lineRule="auto"/>
        <w:jc w:val="both"/>
        <w:rPr>
          <w:rFonts w:eastAsia="Arial Unicode MS"/>
          <w:color w:val="000000" w:themeColor="text1"/>
          <w:sz w:val="20"/>
        </w:rPr>
      </w:pPr>
      <w:r w:rsidRPr="00AA3210">
        <w:rPr>
          <w:rFonts w:eastAsia="Arial Unicode MS"/>
          <w:color w:val="000000" w:themeColor="text1"/>
          <w:sz w:val="20"/>
        </w:rPr>
        <w:t>8.7 – Ademais, o mercado de obras de infraestrutura urbana e drenagem pluvial apresenta disponibilidade de empresas com capacidade técnica e operacional para executar integralmente o objeto, não havendo restrição indevida à competitividade decorrente da ausência de parcelamento. Ao contrário, a contratação em lote único mostra-se mais adequada ao caso concreto, por preservar a unidade técnica da solução, a responsabilidade executiva, a eficiência administrativa e o atendimento ao interesse público.</w:t>
      </w:r>
    </w:p>
    <w:p w14:paraId="59D2E77D" w14:textId="77777777" w:rsidR="00AA3210" w:rsidRPr="00EF52E1" w:rsidRDefault="00AA3210" w:rsidP="00AA3210">
      <w:pPr>
        <w:spacing w:after="0" w:line="240" w:lineRule="auto"/>
        <w:jc w:val="both"/>
        <w:rPr>
          <w:rFonts w:eastAsia="Arial Unicode MS"/>
          <w:bCs/>
          <w:color w:val="000000" w:themeColor="text1"/>
          <w:sz w:val="20"/>
        </w:rPr>
      </w:pPr>
    </w:p>
    <w:p w14:paraId="14709F02" w14:textId="77777777" w:rsidR="006E786C" w:rsidRPr="00EF52E1" w:rsidRDefault="001B28EE" w:rsidP="00E16BA6">
      <w:pPr>
        <w:spacing w:after="0" w:line="240" w:lineRule="auto"/>
        <w:jc w:val="both"/>
        <w:rPr>
          <w:rFonts w:eastAsia="Arial Unicode MS"/>
          <w:b/>
          <w:color w:val="000000" w:themeColor="text1"/>
          <w:sz w:val="20"/>
        </w:rPr>
      </w:pPr>
      <w:r w:rsidRPr="00EF52E1">
        <w:rPr>
          <w:rFonts w:eastAsia="Arial Unicode MS"/>
          <w:b/>
          <w:color w:val="000000" w:themeColor="text1"/>
          <w:sz w:val="20"/>
        </w:rPr>
        <w:t xml:space="preserve">9 </w:t>
      </w:r>
      <w:r w:rsidR="006E786C" w:rsidRPr="00EF52E1">
        <w:rPr>
          <w:rFonts w:eastAsia="Arial Unicode MS" w:hint="eastAsia"/>
          <w:b/>
          <w:color w:val="000000" w:themeColor="text1"/>
          <w:sz w:val="20"/>
        </w:rPr>
        <w:t xml:space="preserve">– CONTRATAÇÕES CORRELATAS E/OU INTERDEPENDENTES </w:t>
      </w:r>
    </w:p>
    <w:p w14:paraId="370D26B6" w14:textId="77777777" w:rsidR="00E55288" w:rsidRPr="00E55288" w:rsidRDefault="00E55288" w:rsidP="00E55288">
      <w:pPr>
        <w:spacing w:after="0" w:line="240" w:lineRule="auto"/>
        <w:jc w:val="both"/>
        <w:rPr>
          <w:rFonts w:eastAsia="Arial Unicode MS"/>
          <w:color w:val="000000" w:themeColor="text1"/>
          <w:sz w:val="20"/>
        </w:rPr>
      </w:pPr>
      <w:r w:rsidRPr="00E55288">
        <w:rPr>
          <w:rFonts w:eastAsia="Arial Unicode MS"/>
          <w:color w:val="000000" w:themeColor="text1"/>
          <w:sz w:val="20"/>
        </w:rPr>
        <w:t>9.1 – Durante o levantamento técnico e a análise das condições existentes nas áreas de intervenção, abrangendo a Rua 4 de Julho, Rodovia VRS-835 e ruas adjacentes dos bairros Cidade Baixa e Morro Bonito, identificou-se a possibilidade de ocorrência de contratações correlatas e/ou interdependentes decorrentes de interferências físicas preexistentes, condições locais de solo, redes existentes, acessos, dispositivos públicos ou necessidades complementares que poderão demandar ajustes, adequações ou serviços específicos no decorrer da execução da obra.</w:t>
      </w:r>
    </w:p>
    <w:p w14:paraId="33B75916" w14:textId="77777777" w:rsidR="00E55288" w:rsidRPr="00E55288" w:rsidRDefault="00E55288" w:rsidP="00E55288">
      <w:pPr>
        <w:spacing w:after="0" w:line="240" w:lineRule="auto"/>
        <w:jc w:val="both"/>
        <w:rPr>
          <w:rFonts w:eastAsia="Arial Unicode MS"/>
          <w:color w:val="000000" w:themeColor="text1"/>
          <w:sz w:val="20"/>
        </w:rPr>
      </w:pPr>
      <w:r w:rsidRPr="00E55288">
        <w:rPr>
          <w:rFonts w:eastAsia="Arial Unicode MS"/>
          <w:color w:val="000000" w:themeColor="text1"/>
          <w:sz w:val="20"/>
        </w:rPr>
        <w:t>9.2 – Dentre as contratações ou providências potencialmente correlatas, destacam-se, de forma não exaustiva:</w:t>
      </w:r>
    </w:p>
    <w:p w14:paraId="30ED94B0" w14:textId="77777777" w:rsidR="00E55288" w:rsidRPr="00E55288" w:rsidRDefault="00E55288" w:rsidP="00E55288">
      <w:pPr>
        <w:spacing w:after="0" w:line="240" w:lineRule="auto"/>
        <w:jc w:val="both"/>
        <w:rPr>
          <w:rFonts w:eastAsia="Arial Unicode MS"/>
          <w:color w:val="000000" w:themeColor="text1"/>
          <w:sz w:val="20"/>
        </w:rPr>
      </w:pPr>
      <w:r w:rsidRPr="00E55288">
        <w:rPr>
          <w:rFonts w:eastAsia="Arial Unicode MS"/>
          <w:color w:val="000000" w:themeColor="text1"/>
          <w:sz w:val="20"/>
        </w:rPr>
        <w:t>a) adequações, substituições ou remanejamentos de redes de abastecimento de água, esgotamento sanitário, drenagem pluvial existente ou demais infraestruturas subterrâneas, a serem realizados pela concessionária competente, pelo Município ou por empresa especializada, quando identificadas interferências incompatíveis com a execução do sistema de microdrenagem/drenagem pluvial;</w:t>
      </w:r>
    </w:p>
    <w:p w14:paraId="035ADEC2" w14:textId="77777777" w:rsidR="00E55288" w:rsidRPr="00E55288" w:rsidRDefault="00E55288" w:rsidP="00E55288">
      <w:pPr>
        <w:spacing w:after="0" w:line="240" w:lineRule="auto"/>
        <w:jc w:val="both"/>
        <w:rPr>
          <w:rFonts w:eastAsia="Arial Unicode MS"/>
          <w:color w:val="000000" w:themeColor="text1"/>
          <w:sz w:val="20"/>
        </w:rPr>
      </w:pPr>
      <w:r w:rsidRPr="00E55288">
        <w:rPr>
          <w:rFonts w:eastAsia="Arial Unicode MS"/>
          <w:color w:val="000000" w:themeColor="text1"/>
          <w:sz w:val="20"/>
        </w:rPr>
        <w:t>b) realocação, adequação ou proteção de postes, redes aéreas ou subterrâneas de energia elétrica, telecomunicações ou iluminação pública, mediante atuação das concessionárias responsáveis ou eventual contratação específica, caso tais interferências impactem a execução das escavações, tubulações, caixas coletoras, bueiros ou demais dispositivos previstos;</w:t>
      </w:r>
    </w:p>
    <w:p w14:paraId="08D70A6D" w14:textId="77777777" w:rsidR="00E55288" w:rsidRPr="00E55288" w:rsidRDefault="00E55288" w:rsidP="00E55288">
      <w:pPr>
        <w:spacing w:after="0" w:line="240" w:lineRule="auto"/>
        <w:jc w:val="both"/>
        <w:rPr>
          <w:rFonts w:eastAsia="Arial Unicode MS"/>
          <w:color w:val="000000" w:themeColor="text1"/>
          <w:sz w:val="20"/>
        </w:rPr>
      </w:pPr>
      <w:r w:rsidRPr="00E55288">
        <w:rPr>
          <w:rFonts w:eastAsia="Arial Unicode MS"/>
          <w:color w:val="000000" w:themeColor="text1"/>
          <w:sz w:val="20"/>
        </w:rPr>
        <w:t>c) serviços geotécnicos, topográficos ou técnicos complementares, incluindo verificações adicionais de solo, escavações especiais, contenções, ajustes de cotas, adequações de declividade ou soluções pontuais, caso sejam constatadas condições distintas daquelas previstas nos projetos e estudos disponíveis;</w:t>
      </w:r>
    </w:p>
    <w:p w14:paraId="6D056B41" w14:textId="77777777" w:rsidR="00E55288" w:rsidRPr="00E55288" w:rsidRDefault="00E55288" w:rsidP="00E55288">
      <w:pPr>
        <w:spacing w:after="0" w:line="240" w:lineRule="auto"/>
        <w:jc w:val="both"/>
        <w:rPr>
          <w:rFonts w:eastAsia="Arial Unicode MS"/>
          <w:color w:val="000000" w:themeColor="text1"/>
          <w:sz w:val="20"/>
        </w:rPr>
      </w:pPr>
      <w:r w:rsidRPr="00E55288">
        <w:rPr>
          <w:rFonts w:eastAsia="Arial Unicode MS"/>
          <w:color w:val="000000" w:themeColor="text1"/>
          <w:sz w:val="20"/>
        </w:rPr>
        <w:t>d) serviços ambientais complementares, tais como obtenção de autorizações adicionais, supressão vegetal pontual, manejo de resíduos, destinação de material excedente, atendimento a condicionantes ambientais ou demais providências exigidas pelos órgãos competentes;</w:t>
      </w:r>
    </w:p>
    <w:p w14:paraId="3D335856" w14:textId="77777777" w:rsidR="00E55288" w:rsidRPr="00E55288" w:rsidRDefault="00E55288" w:rsidP="00E55288">
      <w:pPr>
        <w:spacing w:after="0" w:line="240" w:lineRule="auto"/>
        <w:jc w:val="both"/>
        <w:rPr>
          <w:rFonts w:eastAsia="Arial Unicode MS"/>
          <w:color w:val="000000" w:themeColor="text1"/>
          <w:sz w:val="20"/>
        </w:rPr>
      </w:pPr>
      <w:r w:rsidRPr="00E55288">
        <w:rPr>
          <w:rFonts w:eastAsia="Arial Unicode MS"/>
          <w:color w:val="000000" w:themeColor="text1"/>
          <w:sz w:val="20"/>
        </w:rPr>
        <w:t>e) recomposição ou adequação pontual de acessos, entradas de propriedades, passeios, dispositivos de escoamento superficial ou elementos urbanos afetados pela implantação da rede de drenagem, quando não abrangidos diretamente pelos serviços previstos na planilha orçamentária; e</w:t>
      </w:r>
    </w:p>
    <w:p w14:paraId="61BFE3CF" w14:textId="77777777" w:rsidR="00E55288" w:rsidRPr="00E55288" w:rsidRDefault="00E55288" w:rsidP="00E55288">
      <w:pPr>
        <w:spacing w:after="0" w:line="240" w:lineRule="auto"/>
        <w:jc w:val="both"/>
        <w:rPr>
          <w:rFonts w:eastAsia="Arial Unicode MS"/>
          <w:color w:val="000000" w:themeColor="text1"/>
          <w:sz w:val="20"/>
        </w:rPr>
      </w:pPr>
      <w:r w:rsidRPr="00E55288">
        <w:rPr>
          <w:rFonts w:eastAsia="Arial Unicode MS"/>
          <w:color w:val="000000" w:themeColor="text1"/>
          <w:sz w:val="20"/>
        </w:rPr>
        <w:t>f) providências administrativas e técnicas vinculadas ao Convênio FPE nº 2014/2026, especialmente relacionadas ao monitoramento, registro fotográfico, comprovação de execução física, prestação de contas e atendimento a eventuais exigências do concedente.</w:t>
      </w:r>
    </w:p>
    <w:p w14:paraId="47832AD6" w14:textId="77777777" w:rsidR="00E55288" w:rsidRPr="00E55288" w:rsidRDefault="00E55288" w:rsidP="00E55288">
      <w:pPr>
        <w:spacing w:after="0" w:line="240" w:lineRule="auto"/>
        <w:jc w:val="both"/>
        <w:rPr>
          <w:rFonts w:eastAsia="Arial Unicode MS"/>
          <w:color w:val="000000" w:themeColor="text1"/>
          <w:sz w:val="20"/>
        </w:rPr>
      </w:pPr>
      <w:r w:rsidRPr="00E55288">
        <w:rPr>
          <w:rFonts w:eastAsia="Arial Unicode MS"/>
          <w:color w:val="000000" w:themeColor="text1"/>
          <w:sz w:val="20"/>
        </w:rPr>
        <w:t>9.3 – As contratações ou providências mencionadas, quando necessárias e não previstas no escopo da presente licitação, terão natureza acessória, complementar ou administrativa, com a finalidade de viabilizar a adequada execução da obra, preservar a integridade das infraestruturas existentes, assegurar a continuidade dos serviços públicos afetados e garantir a conformidade técnica, ambiental e operacional da intervenção.</w:t>
      </w:r>
    </w:p>
    <w:p w14:paraId="759412F9" w14:textId="77777777" w:rsidR="00E55288" w:rsidRPr="00E55288" w:rsidRDefault="00E55288" w:rsidP="00E55288">
      <w:pPr>
        <w:spacing w:after="0" w:line="240" w:lineRule="auto"/>
        <w:jc w:val="both"/>
        <w:rPr>
          <w:rFonts w:eastAsia="Arial Unicode MS"/>
          <w:color w:val="000000" w:themeColor="text1"/>
          <w:sz w:val="20"/>
        </w:rPr>
      </w:pPr>
      <w:r w:rsidRPr="00E55288">
        <w:rPr>
          <w:rFonts w:eastAsia="Arial Unicode MS"/>
          <w:color w:val="000000" w:themeColor="text1"/>
          <w:sz w:val="20"/>
        </w:rPr>
        <w:t>9.4 – A eventual necessidade de formalização dessas contratações correlatas será avaliada pela Administração Municipal caso a caso, mediante manifestação técnica do Setor de Engenharia, da fiscalização contratual e dos órgãos ou concessionárias competentes, observados os princípios da legalidade, do planejamento, da eficiência, da economicidade e da segregação de responsabilidades. Sempre que possível, tais intervenções serão coordenadas com o cronograma da obra principal, de modo a minimizar impactos sobre prazos, custos e continuidade da execução.</w:t>
      </w:r>
    </w:p>
    <w:p w14:paraId="5354B5F2" w14:textId="0363A7F5" w:rsidR="00CD63BF" w:rsidRDefault="00E55288" w:rsidP="00E55288">
      <w:pPr>
        <w:spacing w:after="0" w:line="240" w:lineRule="auto"/>
        <w:jc w:val="both"/>
        <w:rPr>
          <w:rFonts w:eastAsia="Arial Unicode MS"/>
          <w:color w:val="000000" w:themeColor="text1"/>
          <w:sz w:val="20"/>
        </w:rPr>
      </w:pPr>
      <w:r w:rsidRPr="00E55288">
        <w:rPr>
          <w:rFonts w:eastAsia="Arial Unicode MS"/>
          <w:color w:val="000000" w:themeColor="text1"/>
          <w:sz w:val="20"/>
        </w:rPr>
        <w:t xml:space="preserve">9.5 – A existência de contratações correlatas não compromete a autonomia do objeto principal, permanecendo sob responsabilidade da empresa contratada a adequada compatibilização de seus serviços com as interferências existentes, bem como o atendimento às orientações técnicas, </w:t>
      </w:r>
      <w:r w:rsidRPr="00E55288">
        <w:rPr>
          <w:rFonts w:eastAsia="Arial Unicode MS"/>
          <w:color w:val="000000" w:themeColor="text1"/>
          <w:sz w:val="20"/>
        </w:rPr>
        <w:lastRenderedPageBreak/>
        <w:t>determinações da fiscalização, normas de segurança e especificações constantes dos projetos, memoriais, planilhas e demais documentos que instruem a contratação.</w:t>
      </w:r>
    </w:p>
    <w:p w14:paraId="271E386F" w14:textId="77777777" w:rsidR="00E55288" w:rsidRPr="00EF52E1" w:rsidRDefault="00E55288" w:rsidP="00E55288">
      <w:pPr>
        <w:spacing w:after="0" w:line="240" w:lineRule="auto"/>
        <w:jc w:val="both"/>
        <w:rPr>
          <w:rFonts w:eastAsia="Arial Unicode MS"/>
          <w:bCs/>
          <w:color w:val="000000" w:themeColor="text1"/>
          <w:sz w:val="20"/>
        </w:rPr>
      </w:pPr>
    </w:p>
    <w:p w14:paraId="73D4D90E" w14:textId="203C816F" w:rsidR="006E786C" w:rsidRPr="00EF52E1" w:rsidRDefault="006E786C" w:rsidP="00E16BA6">
      <w:pPr>
        <w:spacing w:after="0" w:line="240" w:lineRule="auto"/>
        <w:jc w:val="both"/>
        <w:rPr>
          <w:rFonts w:eastAsia="Arial Unicode MS"/>
          <w:b/>
          <w:color w:val="000000" w:themeColor="text1"/>
          <w:sz w:val="20"/>
        </w:rPr>
      </w:pPr>
      <w:r w:rsidRPr="00EF52E1">
        <w:rPr>
          <w:rFonts w:eastAsia="Arial Unicode MS" w:hint="eastAsia"/>
          <w:b/>
          <w:color w:val="000000" w:themeColor="text1"/>
          <w:sz w:val="20"/>
        </w:rPr>
        <w:t>1</w:t>
      </w:r>
      <w:r w:rsidR="001B28EE" w:rsidRPr="00EF52E1">
        <w:rPr>
          <w:rFonts w:eastAsia="Arial Unicode MS"/>
          <w:b/>
          <w:color w:val="000000" w:themeColor="text1"/>
          <w:sz w:val="20"/>
        </w:rPr>
        <w:t>0</w:t>
      </w:r>
      <w:r w:rsidRPr="00EF52E1">
        <w:rPr>
          <w:rFonts w:eastAsia="Arial Unicode MS" w:hint="eastAsia"/>
          <w:b/>
          <w:color w:val="000000" w:themeColor="text1"/>
          <w:sz w:val="20"/>
        </w:rPr>
        <w:t xml:space="preserve"> – ALINHAMENTO ENTRE A CONTRATAÇÃO E O PLANEJAMENTO:</w:t>
      </w:r>
    </w:p>
    <w:p w14:paraId="45F76772" w14:textId="44087047" w:rsidR="00EE6F4F" w:rsidRPr="00EE6F4F" w:rsidRDefault="00EE6F4F" w:rsidP="00EE6F4F">
      <w:pPr>
        <w:spacing w:after="0" w:line="240" w:lineRule="auto"/>
        <w:jc w:val="both"/>
        <w:rPr>
          <w:rFonts w:eastAsia="Arial Unicode MS"/>
          <w:color w:val="000000" w:themeColor="text1"/>
          <w:sz w:val="20"/>
        </w:rPr>
      </w:pPr>
      <w:r w:rsidRPr="00EE6F4F">
        <w:rPr>
          <w:rFonts w:eastAsia="Arial Unicode MS"/>
          <w:color w:val="000000" w:themeColor="text1"/>
          <w:sz w:val="20"/>
        </w:rPr>
        <w:t>10.1 – A presente contratação refere-se à execução de obra de infraestrutura urbana voltada à implantação de sistema de microdrenagem/drenagem pluvial na Rua 4 de Julho, Rodovia VRS-835 e ruas adjacentes dos bairros Cidade Baixa e Morro Bonito, no Município de Paverama/RS, inserindo-se no contexto de investimentos estruturantes destinados à melhoria da infraestrutura municipal, à mitigação de alagamentos, à qualificação da mobilidade urbana e rural e ao aumento da resiliência climática do Município.</w:t>
      </w:r>
    </w:p>
    <w:p w14:paraId="5825457B" w14:textId="12C83D85" w:rsidR="00EE6F4F" w:rsidRPr="00EE6F4F" w:rsidRDefault="00EE6F4F" w:rsidP="00EE6F4F">
      <w:pPr>
        <w:spacing w:after="0" w:line="240" w:lineRule="auto"/>
        <w:jc w:val="both"/>
        <w:rPr>
          <w:rFonts w:eastAsia="Arial Unicode MS"/>
          <w:color w:val="000000" w:themeColor="text1"/>
          <w:sz w:val="20"/>
        </w:rPr>
      </w:pPr>
      <w:r w:rsidRPr="00EE6F4F">
        <w:rPr>
          <w:rFonts w:eastAsia="Arial Unicode MS"/>
          <w:color w:val="000000" w:themeColor="text1"/>
          <w:sz w:val="20"/>
        </w:rPr>
        <w:t>10.1.1 – A intervenção encontra-se vinculada ao Convênio Administrativo FPE nº 2014/2026, firmado entre o Estado do Rio Grande do Sul, por intermédio da Secretaria de Desenvolvimento Urbano e Metropolitano, e o Município de Paverama, no valor de R$ 2.470.882,57 (dois milhões, quatrocentos e setenta mil, oitocentos e oitenta e dois reais e cinquenta e sete centavos), destinado à execução de obra de melhoria da infraestrutura municipal, conforme Plano de Trabalho aprovado.</w:t>
      </w:r>
    </w:p>
    <w:p w14:paraId="4DC42277" w14:textId="26ECD61C" w:rsidR="00EE6F4F" w:rsidRPr="00EE6F4F" w:rsidRDefault="00EE6F4F" w:rsidP="00EE6F4F">
      <w:pPr>
        <w:spacing w:after="0" w:line="240" w:lineRule="auto"/>
        <w:jc w:val="both"/>
        <w:rPr>
          <w:rFonts w:eastAsia="Arial Unicode MS"/>
          <w:color w:val="000000" w:themeColor="text1"/>
          <w:sz w:val="20"/>
        </w:rPr>
      </w:pPr>
      <w:r w:rsidRPr="00EE6F4F">
        <w:rPr>
          <w:rFonts w:eastAsia="Arial Unicode MS"/>
          <w:color w:val="000000" w:themeColor="text1"/>
          <w:sz w:val="20"/>
        </w:rPr>
        <w:t>10.1.2 – Conforme o instrumento convenial, não há previsão de contrapartida municipal, sendo o valor da contratação integralmente vinculado ao repasse estadual, sem prejuízo da necessidade de adequada previsão orçamentária e de correta classificação da despesa no orçamento municipal.</w:t>
      </w:r>
    </w:p>
    <w:p w14:paraId="3CAF7011" w14:textId="66DEABE3" w:rsidR="00EE6F4F" w:rsidRPr="00EE6F4F" w:rsidRDefault="00EE6F4F" w:rsidP="00EE6F4F">
      <w:pPr>
        <w:spacing w:after="0" w:line="240" w:lineRule="auto"/>
        <w:jc w:val="both"/>
        <w:rPr>
          <w:rFonts w:eastAsia="Arial Unicode MS"/>
          <w:color w:val="000000" w:themeColor="text1"/>
          <w:sz w:val="20"/>
        </w:rPr>
      </w:pPr>
      <w:r w:rsidRPr="00EE6F4F">
        <w:rPr>
          <w:rFonts w:eastAsia="Arial Unicode MS"/>
          <w:color w:val="000000" w:themeColor="text1"/>
          <w:sz w:val="20"/>
        </w:rPr>
        <w:t>10.2 – A demanda encontra-se alinhada ao planejamento administrativo municipal e ao Plano de Contratações Anual (PCA), considerando tratar-se de contratação necessária à execução de compromisso formalmente assumido pelo Município em convênio estadual, com objeto previamente aprovado e vinculado ao Programa Drenagem RS. Tal alinhamento assegura compatibilidade com os instrumentos de governança, planejamento e gestão previstos na Lei nº 14.133/2021.</w:t>
      </w:r>
    </w:p>
    <w:p w14:paraId="7266BE13" w14:textId="07751AC1" w:rsidR="00EE6F4F" w:rsidRPr="00EE6F4F" w:rsidRDefault="00EE6F4F" w:rsidP="00EE6F4F">
      <w:pPr>
        <w:spacing w:after="0" w:line="240" w:lineRule="auto"/>
        <w:jc w:val="both"/>
        <w:rPr>
          <w:rFonts w:eastAsia="Arial Unicode MS"/>
          <w:color w:val="000000" w:themeColor="text1"/>
          <w:sz w:val="20"/>
        </w:rPr>
      </w:pPr>
      <w:r w:rsidRPr="00EE6F4F">
        <w:rPr>
          <w:rFonts w:eastAsia="Arial Unicode MS"/>
          <w:color w:val="000000" w:themeColor="text1"/>
          <w:sz w:val="20"/>
        </w:rPr>
        <w:t>10.3 – No que se refere à previsão orçamentária, a contratação encontra respaldo na Lei Orçamentária Anual vigente, ou será devidamente adequada mediante os instrumentos legais cabíveis, garantindo a existência de dotação específica e suficiente para a execução da obra, em consonância com a Lei nº 4.320/1964 e a Lei Complementar nº 101/2000.</w:t>
      </w:r>
    </w:p>
    <w:p w14:paraId="357908E8" w14:textId="3290182F" w:rsidR="00EE6F4F" w:rsidRPr="00EE6F4F" w:rsidRDefault="00EE6F4F" w:rsidP="00EE6F4F">
      <w:pPr>
        <w:spacing w:after="0" w:line="240" w:lineRule="auto"/>
        <w:jc w:val="both"/>
        <w:rPr>
          <w:rFonts w:eastAsia="Arial Unicode MS"/>
          <w:color w:val="000000" w:themeColor="text1"/>
          <w:sz w:val="20"/>
        </w:rPr>
      </w:pPr>
      <w:r w:rsidRPr="00EE6F4F">
        <w:rPr>
          <w:rFonts w:eastAsia="Arial Unicode MS"/>
          <w:color w:val="000000" w:themeColor="text1"/>
          <w:sz w:val="20"/>
        </w:rPr>
        <w:t>10.4 – A vinculação da contratação a recursos provenientes de convênio estadual impõe a observância de requisitos técnicos, operacionais, financeiros e de prestação de contas específicos, incluindo compatibilidade entre cronograma físico-financeiro, medições, execução física, registros fotográficos, declarações exigidas, inserção de documentos nos sistemas competentes e cumprimento das obrigações previstas no Convênio FPE nº 2014/2026 e na IN CAGE nº 04/2024.</w:t>
      </w:r>
    </w:p>
    <w:p w14:paraId="59F259C1" w14:textId="5CFC9425" w:rsidR="00EE6F4F" w:rsidRPr="00EE6F4F" w:rsidRDefault="00EE6F4F" w:rsidP="00EE6F4F">
      <w:pPr>
        <w:spacing w:after="0" w:line="240" w:lineRule="auto"/>
        <w:jc w:val="both"/>
        <w:rPr>
          <w:rFonts w:eastAsia="Arial Unicode MS"/>
          <w:color w:val="000000" w:themeColor="text1"/>
          <w:sz w:val="20"/>
        </w:rPr>
      </w:pPr>
      <w:r w:rsidRPr="00EE6F4F">
        <w:rPr>
          <w:rFonts w:eastAsia="Arial Unicode MS"/>
          <w:color w:val="000000" w:themeColor="text1"/>
          <w:sz w:val="20"/>
        </w:rPr>
        <w:t>10.5 – O planejamento da contratação também deverá observar os prazos e condicionantes do convênio, especialmente quanto à publicação do instrumento convocatório, ao acompanhamento mensal da execução, à comprovação do início da execução física, à comprovação de execução mínima para liberação de parcelas subsequentes e à adequada prestação de contas dos recursos recebidos.</w:t>
      </w:r>
    </w:p>
    <w:p w14:paraId="7EF61914" w14:textId="416A25E4" w:rsidR="00276039" w:rsidRDefault="00EE6F4F" w:rsidP="00EE6F4F">
      <w:pPr>
        <w:spacing w:after="0" w:line="240" w:lineRule="auto"/>
        <w:jc w:val="both"/>
        <w:rPr>
          <w:rFonts w:eastAsia="Arial Unicode MS"/>
          <w:color w:val="000000" w:themeColor="text1"/>
          <w:sz w:val="20"/>
        </w:rPr>
      </w:pPr>
      <w:r w:rsidRPr="00EE6F4F">
        <w:rPr>
          <w:rFonts w:eastAsia="Arial Unicode MS"/>
          <w:color w:val="000000" w:themeColor="text1"/>
          <w:sz w:val="20"/>
        </w:rPr>
        <w:t>10.6 – O alinhamento entre o Plano de Contratações Anual, a Lei Orçamentária Anual, o Convênio FPE nº 2014/2026 e a execução contratual assegura a correta aplicação dos recursos públicos, promovendo aderência aos princípios da legalidade, planejamento, eficiência, economicidade, transparência, responsabilidade fiscal e interesse público, bem como mitigando riscos de descontinuidade da obra, atrasos, glosas, inconsistências na prestação de contas ou prejuízos à execução do objeto pactuado.</w:t>
      </w:r>
    </w:p>
    <w:p w14:paraId="7BC19423" w14:textId="77777777" w:rsidR="00EE6F4F" w:rsidRPr="00276039" w:rsidRDefault="00EE6F4F" w:rsidP="00EE6F4F">
      <w:pPr>
        <w:spacing w:after="0" w:line="240" w:lineRule="auto"/>
        <w:jc w:val="both"/>
        <w:rPr>
          <w:rFonts w:eastAsia="Arial Unicode MS"/>
          <w:color w:val="000000" w:themeColor="text1"/>
          <w:sz w:val="20"/>
        </w:rPr>
      </w:pPr>
    </w:p>
    <w:p w14:paraId="1CC931E6" w14:textId="77777777" w:rsidR="006E786C" w:rsidRPr="00EF52E1" w:rsidRDefault="006E786C" w:rsidP="00E16BA6">
      <w:pPr>
        <w:spacing w:after="0" w:line="240" w:lineRule="auto"/>
        <w:jc w:val="both"/>
        <w:rPr>
          <w:rFonts w:eastAsia="Arial Unicode MS"/>
          <w:b/>
          <w:color w:val="000000" w:themeColor="text1"/>
          <w:sz w:val="20"/>
        </w:rPr>
      </w:pPr>
      <w:r w:rsidRPr="00EF52E1">
        <w:rPr>
          <w:rFonts w:eastAsia="Arial Unicode MS" w:hint="eastAsia"/>
          <w:b/>
          <w:color w:val="000000" w:themeColor="text1"/>
          <w:sz w:val="20"/>
        </w:rPr>
        <w:t>1</w:t>
      </w:r>
      <w:r w:rsidR="0024760C" w:rsidRPr="00EF52E1">
        <w:rPr>
          <w:rFonts w:eastAsia="Arial Unicode MS"/>
          <w:b/>
          <w:color w:val="000000" w:themeColor="text1"/>
          <w:sz w:val="20"/>
        </w:rPr>
        <w:t>1</w:t>
      </w:r>
      <w:r w:rsidRPr="00EF52E1">
        <w:rPr>
          <w:rFonts w:eastAsia="Arial Unicode MS" w:hint="eastAsia"/>
          <w:b/>
          <w:color w:val="000000" w:themeColor="text1"/>
          <w:sz w:val="20"/>
        </w:rPr>
        <w:t xml:space="preserve"> – RESULTADOS PRETENDIDOS:</w:t>
      </w:r>
    </w:p>
    <w:p w14:paraId="6C518D21" w14:textId="60CC3DCF" w:rsidR="00EE6F4F" w:rsidRPr="00EE6F4F" w:rsidRDefault="00EE6F4F" w:rsidP="00EE6F4F">
      <w:pPr>
        <w:spacing w:after="0" w:line="240" w:lineRule="auto"/>
        <w:jc w:val="both"/>
        <w:rPr>
          <w:rFonts w:eastAsia="Arial Unicode MS"/>
          <w:color w:val="000000" w:themeColor="text1"/>
          <w:sz w:val="20"/>
        </w:rPr>
      </w:pPr>
      <w:r w:rsidRPr="00EE6F4F">
        <w:rPr>
          <w:rFonts w:eastAsia="Arial Unicode MS"/>
          <w:color w:val="000000" w:themeColor="text1"/>
          <w:sz w:val="20"/>
        </w:rPr>
        <w:t>11.1 – A contratação tem por finalidade promover a qualificação da infraestrutura urbana municipal por meio da implantação de sistema de microdrenagem/drenagem pluvial, assegurando melhores condições de captação, condução e destinação das águas pluviais, com redução de alagamentos, erosões, degradação das vias e riscos à segurança da população.</w:t>
      </w:r>
    </w:p>
    <w:p w14:paraId="09AF41B7" w14:textId="166C1D65" w:rsidR="00EE6F4F" w:rsidRPr="00EE6F4F" w:rsidRDefault="00EE6F4F" w:rsidP="00EE6F4F">
      <w:pPr>
        <w:spacing w:after="0" w:line="240" w:lineRule="auto"/>
        <w:jc w:val="both"/>
        <w:rPr>
          <w:rFonts w:eastAsia="Arial Unicode MS"/>
          <w:color w:val="000000" w:themeColor="text1"/>
          <w:sz w:val="20"/>
        </w:rPr>
      </w:pPr>
      <w:r w:rsidRPr="00EE6F4F">
        <w:rPr>
          <w:rFonts w:eastAsia="Arial Unicode MS"/>
          <w:color w:val="000000" w:themeColor="text1"/>
          <w:sz w:val="20"/>
        </w:rPr>
        <w:t>11.2 – Sob a ótica da mobilidade urbana e rural, espera-se a melhoria substancial das condições de circulação na Rua 4 de Julho, Rodovia VRS-835 e ruas adjacentes dos bairros Cidade Baixa e Morro Bonito, mediante a eliminação ou mitigação de pontos críticos sujeitos ao acúmulo de água, formação de lama, transporte de sedimentos, erosões laterais e comprometimento do leito viário em períodos chuvosos.</w:t>
      </w:r>
    </w:p>
    <w:p w14:paraId="67F34BD3" w14:textId="4CB07472" w:rsidR="00EE6F4F" w:rsidRPr="00EE6F4F" w:rsidRDefault="00EE6F4F" w:rsidP="00EE6F4F">
      <w:pPr>
        <w:spacing w:after="0" w:line="240" w:lineRule="auto"/>
        <w:jc w:val="both"/>
        <w:rPr>
          <w:rFonts w:eastAsia="Arial Unicode MS"/>
          <w:color w:val="000000" w:themeColor="text1"/>
          <w:sz w:val="20"/>
        </w:rPr>
      </w:pPr>
      <w:r w:rsidRPr="00EE6F4F">
        <w:rPr>
          <w:rFonts w:eastAsia="Arial Unicode MS"/>
          <w:color w:val="000000" w:themeColor="text1"/>
          <w:sz w:val="20"/>
        </w:rPr>
        <w:t>11.3 – No campo da segurança viária, os resultados pretendidos compreendem a redução de riscos de acidentes decorrentes de enxurradas, poças, aquaplanagem, degradação das vias, perda de estabilidade do leito de rolamento e carreamento de materiais sobre a pista, criando ambiente mais seguro para motoristas, pedestres, ciclistas, transporte escolar, veículos de serviço e moradores das áreas diretamente beneficiadas.</w:t>
      </w:r>
    </w:p>
    <w:p w14:paraId="46BB4017" w14:textId="21E85FE8" w:rsidR="00EE6F4F" w:rsidRPr="00EE6F4F" w:rsidRDefault="00EE6F4F" w:rsidP="00EE6F4F">
      <w:pPr>
        <w:spacing w:after="0" w:line="240" w:lineRule="auto"/>
        <w:jc w:val="both"/>
        <w:rPr>
          <w:rFonts w:eastAsia="Arial Unicode MS"/>
          <w:color w:val="000000" w:themeColor="text1"/>
          <w:sz w:val="20"/>
        </w:rPr>
      </w:pPr>
      <w:r w:rsidRPr="00EE6F4F">
        <w:rPr>
          <w:rFonts w:eastAsia="Arial Unicode MS"/>
          <w:color w:val="000000" w:themeColor="text1"/>
          <w:sz w:val="20"/>
        </w:rPr>
        <w:lastRenderedPageBreak/>
        <w:t>11.4 – Sob o aspecto logístico e funcional, a intervenção visa otimizar os fluxos de deslocamento e preservar a funcionalidade de vias estratégicas do Município, especialmente a Rua 4 de Julho e a Rodovia VRS-835, que exercem papel relevante na conexão entre bairros, localidades, propriedades produtivas, equipamentos públicos, escolas, serviços e municípios vizinhos.</w:t>
      </w:r>
    </w:p>
    <w:p w14:paraId="62EEE770" w14:textId="28702191" w:rsidR="00EE6F4F" w:rsidRPr="00EE6F4F" w:rsidRDefault="00EE6F4F" w:rsidP="00EE6F4F">
      <w:pPr>
        <w:spacing w:after="0" w:line="240" w:lineRule="auto"/>
        <w:jc w:val="both"/>
        <w:rPr>
          <w:rFonts w:eastAsia="Arial Unicode MS"/>
          <w:color w:val="000000" w:themeColor="text1"/>
          <w:sz w:val="20"/>
        </w:rPr>
      </w:pPr>
      <w:r w:rsidRPr="00EE6F4F">
        <w:rPr>
          <w:rFonts w:eastAsia="Arial Unicode MS"/>
          <w:color w:val="000000" w:themeColor="text1"/>
          <w:sz w:val="20"/>
        </w:rPr>
        <w:t>11.5 – Do ponto de vista econômico e social, os resultados pretendidos incluem a preservação da infraestrutura existente, a redução de custos futuros com manutenção corretiva, a melhoria das condições de acesso a residências, empreendimentos, propriedades produtivas e equipamentos comunitários, bem como o fortalecimento do desenvolvimento urbano sustentável nas áreas beneficiadas.</w:t>
      </w:r>
    </w:p>
    <w:p w14:paraId="43FDAF79" w14:textId="70C47D95" w:rsidR="00EE6F4F" w:rsidRPr="00EE6F4F" w:rsidRDefault="00EE6F4F" w:rsidP="00EE6F4F">
      <w:pPr>
        <w:spacing w:after="0" w:line="240" w:lineRule="auto"/>
        <w:jc w:val="both"/>
        <w:rPr>
          <w:rFonts w:eastAsia="Arial Unicode MS"/>
          <w:color w:val="000000" w:themeColor="text1"/>
          <w:sz w:val="20"/>
        </w:rPr>
      </w:pPr>
      <w:r w:rsidRPr="00EE6F4F">
        <w:rPr>
          <w:rFonts w:eastAsia="Arial Unicode MS"/>
          <w:color w:val="000000" w:themeColor="text1"/>
          <w:sz w:val="20"/>
        </w:rPr>
        <w:t>11.6 – No âmbito ambiental, busca-se assegurar a adequada condução e escoamento das águas pluviais, reduzindo processos erosivos, assoreamento, degradação do solo, danos às vias públicas e impactos associados ao escoamento superficial desordenado, além de promover a execução da obra com observância de boas práticas ambientais, incluindo manejo adequado de resíduos, destinação de material excedente e mitigação de impactos durante a intervenção.</w:t>
      </w:r>
    </w:p>
    <w:p w14:paraId="4941711E" w14:textId="3D12A907" w:rsidR="00EE6F4F" w:rsidRPr="00EE6F4F" w:rsidRDefault="00EE6F4F" w:rsidP="00EE6F4F">
      <w:pPr>
        <w:spacing w:after="0" w:line="240" w:lineRule="auto"/>
        <w:jc w:val="both"/>
        <w:rPr>
          <w:rFonts w:eastAsia="Arial Unicode MS"/>
          <w:color w:val="000000" w:themeColor="text1"/>
          <w:sz w:val="20"/>
        </w:rPr>
      </w:pPr>
      <w:r w:rsidRPr="00EE6F4F">
        <w:rPr>
          <w:rFonts w:eastAsia="Arial Unicode MS"/>
          <w:color w:val="000000" w:themeColor="text1"/>
          <w:sz w:val="20"/>
        </w:rPr>
        <w:t>11.7 – Sob a perspectiva da gestão pública, a contratação objetiva a otimização da aplicação dos recursos públicos vinculados ao Convênio FPE nº 2014/2026, mediante a adoção de solução técnica que proporcione maior durabilidade, eficiência hidráulica, redução de riscos de deterioração precoce da infraestrutura e maior previsibilidade na manutenção das vias, em consonância com os princípios da eficiência, economicidade, planejamento e interesse público.</w:t>
      </w:r>
    </w:p>
    <w:p w14:paraId="2515EF33" w14:textId="0FEB3A9A" w:rsidR="00EE6F4F" w:rsidRPr="00EE6F4F" w:rsidRDefault="00EE6F4F" w:rsidP="00EE6F4F">
      <w:pPr>
        <w:spacing w:after="0" w:line="240" w:lineRule="auto"/>
        <w:jc w:val="both"/>
        <w:rPr>
          <w:rFonts w:eastAsia="Arial Unicode MS"/>
          <w:color w:val="000000" w:themeColor="text1"/>
          <w:sz w:val="20"/>
        </w:rPr>
      </w:pPr>
      <w:r w:rsidRPr="00EE6F4F">
        <w:rPr>
          <w:rFonts w:eastAsia="Arial Unicode MS"/>
          <w:color w:val="000000" w:themeColor="text1"/>
          <w:sz w:val="20"/>
        </w:rPr>
        <w:t>11.8 – A obra também contribuirá para o aumento da resiliência climática do Município de Paverama, em consonância com os objetivos do Programa Drenagem RS, ao reduzir vulnerabilidades urbanas frente a eventos de chuva intensa, preservar a mobilidade e minimizar impactos recorrentes decorrentes de alagamentos e enxurradas.</w:t>
      </w:r>
    </w:p>
    <w:p w14:paraId="494BA053" w14:textId="55863D49" w:rsidR="0024760C" w:rsidRDefault="00EE6F4F" w:rsidP="00EE6F4F">
      <w:pPr>
        <w:spacing w:after="0" w:line="240" w:lineRule="auto"/>
        <w:jc w:val="both"/>
        <w:rPr>
          <w:rFonts w:eastAsia="Arial Unicode MS"/>
          <w:color w:val="000000" w:themeColor="text1"/>
          <w:sz w:val="20"/>
        </w:rPr>
      </w:pPr>
      <w:r w:rsidRPr="00EE6F4F">
        <w:rPr>
          <w:rFonts w:eastAsia="Arial Unicode MS"/>
          <w:color w:val="000000" w:themeColor="text1"/>
          <w:sz w:val="20"/>
        </w:rPr>
        <w:t>11.9 – Por fim, a contratação contribui diretamente para a efetivação de direitos fundamentais, especialmente aqueles relacionados à mobilidade, segurança, saúde, educação, trabalho e acesso a serviços públicos, ao proporcionar melhores condições de deslocamento, inclusão territorial, proteção da população e acesso a oportunidades econômicas, em consonância com os objetivos fundamentais previstos no art. 3º da Constituição Federal.</w:t>
      </w:r>
    </w:p>
    <w:p w14:paraId="3FC7FAFB" w14:textId="77777777" w:rsidR="00EE6F4F" w:rsidRPr="00EF52E1" w:rsidRDefault="00EE6F4F" w:rsidP="00EE6F4F">
      <w:pPr>
        <w:spacing w:after="0" w:line="240" w:lineRule="auto"/>
        <w:jc w:val="both"/>
        <w:rPr>
          <w:rFonts w:eastAsia="Arial Unicode MS"/>
          <w:bCs/>
          <w:color w:val="000000" w:themeColor="text1"/>
          <w:sz w:val="20"/>
        </w:rPr>
      </w:pPr>
    </w:p>
    <w:p w14:paraId="7552772D" w14:textId="77777777" w:rsidR="008327CD" w:rsidRPr="00EF52E1" w:rsidRDefault="008327CD" w:rsidP="00E16BA6">
      <w:pPr>
        <w:spacing w:after="0" w:line="240" w:lineRule="auto"/>
        <w:jc w:val="both"/>
        <w:rPr>
          <w:rFonts w:eastAsia="Arial Unicode MS"/>
          <w:b/>
          <w:color w:val="000000" w:themeColor="text1"/>
          <w:sz w:val="20"/>
        </w:rPr>
      </w:pPr>
      <w:r w:rsidRPr="00EF52E1">
        <w:rPr>
          <w:rFonts w:eastAsia="Arial Unicode MS"/>
          <w:b/>
          <w:color w:val="000000" w:themeColor="text1"/>
          <w:sz w:val="20"/>
        </w:rPr>
        <w:t>1</w:t>
      </w:r>
      <w:r w:rsidR="0024760C" w:rsidRPr="00EF52E1">
        <w:rPr>
          <w:rFonts w:eastAsia="Arial Unicode MS"/>
          <w:b/>
          <w:color w:val="000000" w:themeColor="text1"/>
          <w:sz w:val="20"/>
        </w:rPr>
        <w:t>2</w:t>
      </w:r>
      <w:r w:rsidRPr="00EF52E1">
        <w:rPr>
          <w:rFonts w:eastAsia="Arial Unicode MS"/>
          <w:b/>
          <w:color w:val="000000" w:themeColor="text1"/>
          <w:sz w:val="20"/>
        </w:rPr>
        <w:t xml:space="preserve"> – PROVIDÊNCIAS A SEREM ADOTADAS PREVIAMENTE À CELEBRAÇÃO DO CONTRATO</w:t>
      </w:r>
      <w:r w:rsidR="00F04BF3" w:rsidRPr="00EF52E1">
        <w:rPr>
          <w:rFonts w:eastAsia="Arial Unicode MS"/>
          <w:b/>
          <w:color w:val="000000" w:themeColor="text1"/>
          <w:sz w:val="20"/>
        </w:rPr>
        <w:t>:</w:t>
      </w:r>
    </w:p>
    <w:p w14:paraId="33614B7B" w14:textId="463C491B" w:rsidR="00EE6F4F" w:rsidRPr="00EE6F4F" w:rsidRDefault="00CC0C9F" w:rsidP="00EE6F4F">
      <w:pPr>
        <w:spacing w:after="0" w:line="240" w:lineRule="auto"/>
        <w:jc w:val="both"/>
        <w:rPr>
          <w:rFonts w:eastAsia="Arial Unicode MS"/>
          <w:bCs/>
          <w:color w:val="000000" w:themeColor="text1"/>
          <w:sz w:val="20"/>
        </w:rPr>
      </w:pPr>
      <w:r>
        <w:rPr>
          <w:rFonts w:eastAsia="Arial Unicode MS"/>
          <w:bCs/>
          <w:color w:val="000000" w:themeColor="text1"/>
          <w:sz w:val="20"/>
        </w:rPr>
        <w:t>1</w:t>
      </w:r>
      <w:r w:rsidR="00EE6F4F" w:rsidRPr="00EE6F4F">
        <w:rPr>
          <w:rFonts w:eastAsia="Arial Unicode MS"/>
          <w:bCs/>
          <w:color w:val="000000" w:themeColor="text1"/>
          <w:sz w:val="20"/>
        </w:rPr>
        <w:t>2.1 – A partir deste Estudo Técnico Preliminar e dos documentos técnicos que o acompanham, especialmente projetos de engenharia, memorial descritivo, planilha orçamentária e cronograma físico-financeiro, serão elaborados ou consolidados o Termo de Referência/Projeto Básico, a Matriz de Riscos, a minuta contratual e demais anexos necessários à adequada instrução da fase preparatória, com a definição das responsabilidades, condições técnicas, operacionais, jurídicas e financeiras da contratação.</w:t>
      </w:r>
    </w:p>
    <w:p w14:paraId="36997DEF" w14:textId="77777777" w:rsidR="00EE6F4F" w:rsidRPr="00EE6F4F" w:rsidRDefault="00EE6F4F" w:rsidP="00EE6F4F">
      <w:pPr>
        <w:spacing w:after="0" w:line="240" w:lineRule="auto"/>
        <w:jc w:val="both"/>
        <w:rPr>
          <w:rFonts w:eastAsia="Arial Unicode MS"/>
          <w:bCs/>
          <w:color w:val="000000" w:themeColor="text1"/>
          <w:sz w:val="20"/>
        </w:rPr>
      </w:pPr>
      <w:r w:rsidRPr="00EE6F4F">
        <w:rPr>
          <w:rFonts w:eastAsia="Arial Unicode MS"/>
          <w:bCs/>
          <w:color w:val="000000" w:themeColor="text1"/>
          <w:sz w:val="20"/>
        </w:rPr>
        <w:t>12.2 – Em seguida, o processo será encaminhado ao Setor de Contabilidade, responsável por atestar a disponibilidade orçamentária e a correta classificação da despesa, considerando os recursos vinculados ao Convênio FPE nº 2014/2026, celebrado com o Estado do Rio Grande do Sul, por intermédio da Secretaria de Desenvolvimento Urbano e Metropolitano, no valor de R$ 2.470.882,57, sem previsão de contrapartida municipal, de modo a assegurar a compatibilidade com a Lei Orçamentária Anual e com o planejamento orçamentário municipal.</w:t>
      </w:r>
    </w:p>
    <w:p w14:paraId="2E577744" w14:textId="36BB6F50" w:rsidR="00EE6F4F" w:rsidRPr="00EE6F4F" w:rsidRDefault="00EE6F4F" w:rsidP="00EE6F4F">
      <w:pPr>
        <w:spacing w:after="0" w:line="240" w:lineRule="auto"/>
        <w:jc w:val="both"/>
        <w:rPr>
          <w:rFonts w:eastAsia="Arial Unicode MS"/>
          <w:bCs/>
          <w:color w:val="000000" w:themeColor="text1"/>
          <w:sz w:val="20"/>
        </w:rPr>
      </w:pPr>
      <w:r w:rsidRPr="00EE6F4F">
        <w:rPr>
          <w:rFonts w:eastAsia="Arial Unicode MS"/>
          <w:bCs/>
          <w:color w:val="000000" w:themeColor="text1"/>
          <w:sz w:val="20"/>
        </w:rPr>
        <w:t>12.3 – Após a análise contábil, o expediente será submetido à Assessoria Jurídica do Município, que examinará a conformidade documental, a aderência às normas da Lei nº 14.133/2021, a regularidade dos elementos essenciais da fase preparatória, a compatibilidade com o Convênio FPE nº 2014/2026 e a adequação das minutas do edital e do contrato. Após manifestação jurídica favorável, será autorizada a deflagração do procedimento licitatório.</w:t>
      </w:r>
    </w:p>
    <w:p w14:paraId="18F7600A" w14:textId="4FAA1718" w:rsidR="00EE6F4F" w:rsidRPr="00EE6F4F" w:rsidRDefault="00EE6F4F" w:rsidP="00EE6F4F">
      <w:pPr>
        <w:spacing w:after="0" w:line="240" w:lineRule="auto"/>
        <w:jc w:val="both"/>
        <w:rPr>
          <w:rFonts w:eastAsia="Arial Unicode MS"/>
          <w:bCs/>
          <w:color w:val="000000" w:themeColor="text1"/>
          <w:sz w:val="20"/>
        </w:rPr>
      </w:pPr>
      <w:r w:rsidRPr="00EE6F4F">
        <w:rPr>
          <w:rFonts w:eastAsia="Arial Unicode MS"/>
          <w:bCs/>
          <w:color w:val="000000" w:themeColor="text1"/>
          <w:sz w:val="20"/>
        </w:rPr>
        <w:t>12.4 – Cumprida essa etapa, será providenciada a designação formal dos fiscais e gestores do contrato, por ato específico da autoridade competente, nos termos do art. 7º da Lei nº 14.133/2021. Os servidores designados deverão declarar ciência de suas atribuições e disponibilidade para acompanhar a execução contratual, inclusive no que se refere às medições, registros fotográficos, diário de obras, controle técnico, conformidade dos serviços e atendimento às exigências do convênio.</w:t>
      </w:r>
    </w:p>
    <w:p w14:paraId="6689EEFB" w14:textId="4B44D50D" w:rsidR="00EE6F4F" w:rsidRPr="00EE6F4F" w:rsidRDefault="00EE6F4F" w:rsidP="00EE6F4F">
      <w:pPr>
        <w:spacing w:after="0" w:line="240" w:lineRule="auto"/>
        <w:jc w:val="both"/>
        <w:rPr>
          <w:rFonts w:eastAsia="Arial Unicode MS"/>
          <w:bCs/>
          <w:color w:val="000000" w:themeColor="text1"/>
          <w:sz w:val="20"/>
        </w:rPr>
      </w:pPr>
      <w:r w:rsidRPr="00EE6F4F">
        <w:rPr>
          <w:rFonts w:eastAsia="Arial Unicode MS"/>
          <w:bCs/>
          <w:color w:val="000000" w:themeColor="text1"/>
          <w:sz w:val="20"/>
        </w:rPr>
        <w:t>12.5 – O procedimento licitatório observará os princípios da publicidade e da transparência, sendo divulgado nos meios oficiais cabíveis, especialmente no sítio eletrônico da Prefeitura Municipal de Paverama, no Portal Nacional de Contratações Públicas – PNCP, no LicitaCon/TCE-RS, no Portal de Compras Públicas, plataforma na qual ocorrerá a sessão pública da Concorrência, e nos demais meios exigidos pela legislação e pelo edital.</w:t>
      </w:r>
    </w:p>
    <w:p w14:paraId="658174A8" w14:textId="2AAE2BB1" w:rsidR="00EE6F4F" w:rsidRPr="00EE6F4F" w:rsidRDefault="00EE6F4F" w:rsidP="00EE6F4F">
      <w:pPr>
        <w:spacing w:after="0" w:line="240" w:lineRule="auto"/>
        <w:jc w:val="both"/>
        <w:rPr>
          <w:rFonts w:eastAsia="Arial Unicode MS"/>
          <w:bCs/>
          <w:color w:val="000000" w:themeColor="text1"/>
          <w:sz w:val="20"/>
        </w:rPr>
      </w:pPr>
      <w:r w:rsidRPr="00EE6F4F">
        <w:rPr>
          <w:rFonts w:eastAsia="Arial Unicode MS"/>
          <w:bCs/>
          <w:color w:val="000000" w:themeColor="text1"/>
          <w:sz w:val="20"/>
        </w:rPr>
        <w:lastRenderedPageBreak/>
        <w:t>12.6 – Realizada a sessão, serão analisadas as propostas apresentadas, observando-se o critério de julgamento definido no edital. A fase de habilitação considerará a verificação da regularidade jurídica, fiscal, social, trabalhista, econômico-financeira e técnica, além da conferência das exigências específicas perante o CREA/CAU, certidões de acervo técnico, capacidade técnico-operacional, capacidade técnico-profissional e demais documentos compatíveis com a execução de obras de microdrenagem/drenagem pluvial.</w:t>
      </w:r>
    </w:p>
    <w:p w14:paraId="7171D8EB" w14:textId="76CEE237" w:rsidR="00EE6F4F" w:rsidRPr="00EE6F4F" w:rsidRDefault="00EE6F4F" w:rsidP="00EE6F4F">
      <w:pPr>
        <w:spacing w:after="0" w:line="240" w:lineRule="auto"/>
        <w:jc w:val="both"/>
        <w:rPr>
          <w:rFonts w:eastAsia="Arial Unicode MS"/>
          <w:bCs/>
          <w:color w:val="000000" w:themeColor="text1"/>
          <w:sz w:val="20"/>
        </w:rPr>
      </w:pPr>
      <w:r w:rsidRPr="00EE6F4F">
        <w:rPr>
          <w:rFonts w:eastAsia="Arial Unicode MS"/>
          <w:bCs/>
          <w:color w:val="000000" w:themeColor="text1"/>
          <w:sz w:val="20"/>
        </w:rPr>
        <w:t>12.7 – A empresa declarada vencedora deverá apresentar a garantia contratual, quando prevista no edital e no Termo de Referência, conforme percentuais, prazos e modalidades estabelecidos, assegurando o fiel cumprimento das obrigações assumidas, a adequada execução dos serviços e a mitigação dos riscos de inadimplemento.</w:t>
      </w:r>
    </w:p>
    <w:p w14:paraId="687DC53C" w14:textId="79C94BAB" w:rsidR="00EE6F4F" w:rsidRPr="00EE6F4F" w:rsidRDefault="00EE6F4F" w:rsidP="00EE6F4F">
      <w:pPr>
        <w:spacing w:after="0" w:line="240" w:lineRule="auto"/>
        <w:jc w:val="both"/>
        <w:rPr>
          <w:rFonts w:eastAsia="Arial Unicode MS"/>
          <w:bCs/>
          <w:color w:val="000000" w:themeColor="text1"/>
          <w:sz w:val="20"/>
        </w:rPr>
      </w:pPr>
      <w:r w:rsidRPr="00EE6F4F">
        <w:rPr>
          <w:rFonts w:eastAsia="Arial Unicode MS"/>
          <w:bCs/>
          <w:color w:val="000000" w:themeColor="text1"/>
          <w:sz w:val="20"/>
        </w:rPr>
        <w:t>12.8 – Previamente à emissão da Ordem de Início, a Administração poderá promover reunião de alinhamento com a empresa contratada, a fiscalização municipal e os setores técnicos responsáveis, com o objetivo de estabelecer fluxos de comunicação, esclarecer responsabilidades, definir critérios de medição, organizar o cronograma de execução, orientar sobre registros necessários ao convênio e discutir diretrizes de segurança, sustentabilidade, sinalização de obra e controle técnico.</w:t>
      </w:r>
    </w:p>
    <w:p w14:paraId="15FD2407" w14:textId="3A68CA58" w:rsidR="00EE6F4F" w:rsidRPr="00EE6F4F" w:rsidRDefault="00EE6F4F" w:rsidP="00EE6F4F">
      <w:pPr>
        <w:spacing w:after="0" w:line="240" w:lineRule="auto"/>
        <w:jc w:val="both"/>
        <w:rPr>
          <w:rFonts w:eastAsia="Arial Unicode MS"/>
          <w:bCs/>
          <w:color w:val="000000" w:themeColor="text1"/>
          <w:sz w:val="20"/>
        </w:rPr>
      </w:pPr>
      <w:r w:rsidRPr="00EE6F4F">
        <w:rPr>
          <w:rFonts w:eastAsia="Arial Unicode MS"/>
          <w:bCs/>
          <w:color w:val="000000" w:themeColor="text1"/>
          <w:sz w:val="20"/>
        </w:rPr>
        <w:t>12.9 – Os critérios de medição, pagamento e verificação da conformidade dos serviços deverão estar clara e previamente definidos, permitindo rastreabilidade, segurança e transparência na apuração dos quantitativos executados. Serão adotadas rotinas de monitoramento contínuo, registro fotográfico, diário de obras, relatórios técnicos, vistorias periódicas e demais providências necessárias à comprovação da execução física e financeira do objeto.</w:t>
      </w:r>
    </w:p>
    <w:p w14:paraId="3162158F" w14:textId="2B5BE554" w:rsidR="00BC497D" w:rsidRDefault="00EE6F4F" w:rsidP="00EE6F4F">
      <w:pPr>
        <w:spacing w:after="0" w:line="240" w:lineRule="auto"/>
        <w:jc w:val="both"/>
        <w:rPr>
          <w:rFonts w:eastAsia="Arial Unicode MS"/>
          <w:bCs/>
          <w:color w:val="000000" w:themeColor="text1"/>
          <w:sz w:val="20"/>
        </w:rPr>
      </w:pPr>
      <w:r w:rsidRPr="00EE6F4F">
        <w:rPr>
          <w:rFonts w:eastAsia="Arial Unicode MS"/>
          <w:bCs/>
          <w:color w:val="000000" w:themeColor="text1"/>
          <w:sz w:val="20"/>
        </w:rPr>
        <w:t>12.10 – Além das providências internas da contratação, deverão ser observadas as obrigações vinculadas ao Convênio FPE nº 2014/2026, incluindo o registro mensal da execução no Sistema de Monitoramento de Convênios, a inserção tempestiva dos documentos comprobatórios no Sistema de Prestação de Contas, a comunicação à Câmara Municipal quando cabível, a comprovação do início da execução física, a comprovação de execução mínima para liberação de parcelas subsequentes e a guarda organizada de todos os documentos técnicos, fiscais, financeiros e fotográficos relacionados à obra.</w:t>
      </w:r>
    </w:p>
    <w:p w14:paraId="76BA428A" w14:textId="77777777" w:rsidR="00EE6F4F" w:rsidRPr="00EF52E1" w:rsidRDefault="00EE6F4F" w:rsidP="00EE6F4F">
      <w:pPr>
        <w:spacing w:after="0" w:line="240" w:lineRule="auto"/>
        <w:jc w:val="both"/>
        <w:rPr>
          <w:rFonts w:eastAsia="Arial Unicode MS"/>
          <w:bCs/>
          <w:color w:val="000000" w:themeColor="text1"/>
          <w:sz w:val="20"/>
        </w:rPr>
      </w:pPr>
    </w:p>
    <w:p w14:paraId="1AE1EA24" w14:textId="77777777" w:rsidR="006E786C" w:rsidRPr="00EF52E1" w:rsidRDefault="006E786C" w:rsidP="00E16BA6">
      <w:pPr>
        <w:spacing w:after="0" w:line="240" w:lineRule="auto"/>
        <w:jc w:val="both"/>
        <w:rPr>
          <w:rFonts w:eastAsia="Arial Unicode MS"/>
          <w:b/>
          <w:color w:val="000000" w:themeColor="text1"/>
          <w:sz w:val="20"/>
        </w:rPr>
      </w:pPr>
      <w:r w:rsidRPr="00EF52E1">
        <w:rPr>
          <w:rFonts w:eastAsia="Arial Unicode MS" w:hint="eastAsia"/>
          <w:b/>
          <w:color w:val="000000" w:themeColor="text1"/>
          <w:sz w:val="20"/>
        </w:rPr>
        <w:t>1</w:t>
      </w:r>
      <w:r w:rsidR="0024760C" w:rsidRPr="00EF52E1">
        <w:rPr>
          <w:rFonts w:eastAsia="Arial Unicode MS"/>
          <w:b/>
          <w:color w:val="000000" w:themeColor="text1"/>
          <w:sz w:val="20"/>
        </w:rPr>
        <w:t>3</w:t>
      </w:r>
      <w:r w:rsidRPr="00EF52E1">
        <w:rPr>
          <w:rFonts w:eastAsia="Arial Unicode MS" w:hint="eastAsia"/>
          <w:b/>
          <w:color w:val="000000" w:themeColor="text1"/>
          <w:sz w:val="20"/>
        </w:rPr>
        <w:t xml:space="preserve"> – POSSÍVEIS IMPACTOS AMBIENTAIS E TRATAMENTOS:</w:t>
      </w:r>
    </w:p>
    <w:p w14:paraId="02E0DD0E" w14:textId="6127691C" w:rsidR="00957AFA" w:rsidRPr="00957AFA" w:rsidRDefault="00957AFA" w:rsidP="00957AFA">
      <w:pPr>
        <w:spacing w:after="0" w:line="240" w:lineRule="auto"/>
        <w:jc w:val="both"/>
        <w:rPr>
          <w:rFonts w:eastAsia="Arial Unicode MS"/>
          <w:color w:val="000000" w:themeColor="text1"/>
          <w:sz w:val="20"/>
        </w:rPr>
      </w:pPr>
      <w:r w:rsidRPr="00957AFA">
        <w:rPr>
          <w:rFonts w:eastAsia="Arial Unicode MS"/>
          <w:color w:val="000000" w:themeColor="text1"/>
          <w:sz w:val="20"/>
        </w:rPr>
        <w:t>13.1 – A execução da obra de implantação de sistema de microdrenagem/drenagem pluvial na Rua 4 de Julho, Rodovia VRS-835 e ruas adjacentes dos bairros Cidade Baixa e Morro Bonito insere-se em áreas urbanas consolidadas e em processo de expansão, demandando especial atenção quanto à gestão dos impactos ambientais decorrentes da intervenção, especialmente em razão da movimentação de solo, escavações, transporte de materiais, reaterro, compactação, manejo de resíduos e interferências temporárias no escoamento das águas pluviais.</w:t>
      </w:r>
    </w:p>
    <w:p w14:paraId="49EB8DB6" w14:textId="3FF83A87" w:rsidR="00957AFA" w:rsidRPr="00957AFA" w:rsidRDefault="00957AFA" w:rsidP="00957AFA">
      <w:pPr>
        <w:spacing w:after="0" w:line="240" w:lineRule="auto"/>
        <w:jc w:val="both"/>
        <w:rPr>
          <w:rFonts w:eastAsia="Arial Unicode MS"/>
          <w:color w:val="000000" w:themeColor="text1"/>
          <w:sz w:val="20"/>
        </w:rPr>
      </w:pPr>
      <w:r w:rsidRPr="00957AFA">
        <w:rPr>
          <w:rFonts w:eastAsia="Arial Unicode MS"/>
          <w:color w:val="000000" w:themeColor="text1"/>
          <w:sz w:val="20"/>
        </w:rPr>
        <w:t>13.1.1 – A obra deverá observar as autorizações, licenças, declarações ou manifestações ambientais eventualmente exigidas pelo órgão ambiental municipal competente, bem como as condicionantes e orientações expedidas pelo Departamento de Meio Ambiente e pela Secretaria Municipal de Agricultura, Meio Ambiente e Saneamento, quando aplicáveis. Caberá à contratada cumprir integralmente tais exigências durante toda a execução contratual, sem prejuízo das demais normas ambientais incidentes.</w:t>
      </w:r>
    </w:p>
    <w:p w14:paraId="1268F928" w14:textId="30EA2157" w:rsidR="00957AFA" w:rsidRPr="00957AFA" w:rsidRDefault="00957AFA" w:rsidP="00957AFA">
      <w:pPr>
        <w:spacing w:after="0" w:line="240" w:lineRule="auto"/>
        <w:jc w:val="both"/>
        <w:rPr>
          <w:rFonts w:eastAsia="Arial Unicode MS"/>
          <w:color w:val="000000" w:themeColor="text1"/>
          <w:sz w:val="20"/>
        </w:rPr>
      </w:pPr>
      <w:r w:rsidRPr="00957AFA">
        <w:rPr>
          <w:rFonts w:eastAsia="Arial Unicode MS"/>
          <w:color w:val="000000" w:themeColor="text1"/>
          <w:sz w:val="20"/>
        </w:rPr>
        <w:t>13.2 – A contratação justifica-se, sob a ótica ambiental, não apenas pelo atendimento às exigências legais, mas também pela necessidade de mitigar impactos atualmente verificados em razão da deficiência ou inexistência de sistema adequado de drenagem pluvial, tais como alagamentos, escoamento superficial desordenado, erosão, degradação do solo, carreamento de sedimentos, assoreamento de pontos baixos e deterioração de vias públicas.</w:t>
      </w:r>
    </w:p>
    <w:p w14:paraId="74AC3091" w14:textId="210DC759" w:rsidR="00957AFA" w:rsidRPr="00957AFA" w:rsidRDefault="00957AFA" w:rsidP="00957AFA">
      <w:pPr>
        <w:spacing w:after="0" w:line="240" w:lineRule="auto"/>
        <w:jc w:val="both"/>
        <w:rPr>
          <w:rFonts w:eastAsia="Arial Unicode MS"/>
          <w:color w:val="000000" w:themeColor="text1"/>
          <w:sz w:val="20"/>
        </w:rPr>
      </w:pPr>
      <w:r w:rsidRPr="00957AFA">
        <w:rPr>
          <w:rFonts w:eastAsia="Arial Unicode MS"/>
          <w:color w:val="000000" w:themeColor="text1"/>
          <w:sz w:val="20"/>
        </w:rPr>
        <w:t>13.3 – A gestão dos resíduos sólidos gerados nas etapas de escavação, preparo de valas, implantação de tubulações, execução de caixas coletoras/bocas de lobo, bueiro tubular, meio-fio, reaterro, regularização e demais serviços complementares será de inteira responsabilidade da contratada, devendo observar a Lei nº 12.305/2010 (Política Nacional de Resíduos Sólidos), a legislação municipal pertinente e as orientações da fiscalização. A gestão deverá contemplar a segregação, acondicionamento, transporte e destinação final ambientalmente adequada, priorizando-se, sempre que tecnicamente viável, a reutilização ou reaproveitamento dos materiais.</w:t>
      </w:r>
    </w:p>
    <w:p w14:paraId="2560B5A6" w14:textId="28A55269" w:rsidR="00957AFA" w:rsidRPr="00957AFA" w:rsidRDefault="00957AFA" w:rsidP="00957AFA">
      <w:pPr>
        <w:spacing w:after="0" w:line="240" w:lineRule="auto"/>
        <w:jc w:val="both"/>
        <w:rPr>
          <w:rFonts w:eastAsia="Arial Unicode MS"/>
          <w:color w:val="000000" w:themeColor="text1"/>
          <w:sz w:val="20"/>
        </w:rPr>
      </w:pPr>
      <w:r w:rsidRPr="00957AFA">
        <w:rPr>
          <w:rFonts w:eastAsia="Arial Unicode MS"/>
          <w:color w:val="000000" w:themeColor="text1"/>
          <w:sz w:val="20"/>
        </w:rPr>
        <w:t>13.4 – Durante a execução da obra, deverão ser adotadas medidas mitigatórias compatíveis com a natureza dos serviços de drenagem urbana, incluindo, no mínimo:</w:t>
      </w:r>
    </w:p>
    <w:p w14:paraId="564921C8" w14:textId="69575F02" w:rsidR="00957AFA" w:rsidRPr="00957AFA" w:rsidRDefault="00957AFA" w:rsidP="00957AFA">
      <w:pPr>
        <w:spacing w:after="0" w:line="240" w:lineRule="auto"/>
        <w:jc w:val="both"/>
        <w:rPr>
          <w:rFonts w:eastAsia="Arial Unicode MS"/>
          <w:color w:val="000000" w:themeColor="text1"/>
          <w:sz w:val="20"/>
        </w:rPr>
      </w:pPr>
      <w:r w:rsidRPr="00957AFA">
        <w:rPr>
          <w:rFonts w:eastAsia="Arial Unicode MS"/>
          <w:color w:val="000000" w:themeColor="text1"/>
          <w:sz w:val="20"/>
        </w:rPr>
        <w:t>a) controle de erosão e sedimentos nas áreas de escavação, reaterro e recomposição;</w:t>
      </w:r>
    </w:p>
    <w:p w14:paraId="0CFF4AE8" w14:textId="77777777" w:rsidR="00A814C3" w:rsidRDefault="00957AFA" w:rsidP="00957AFA">
      <w:pPr>
        <w:spacing w:after="0" w:line="240" w:lineRule="auto"/>
        <w:jc w:val="both"/>
        <w:rPr>
          <w:rFonts w:eastAsia="Arial Unicode MS"/>
          <w:color w:val="000000" w:themeColor="text1"/>
          <w:sz w:val="20"/>
        </w:rPr>
      </w:pPr>
      <w:r w:rsidRPr="00957AFA">
        <w:rPr>
          <w:rFonts w:eastAsia="Arial Unicode MS"/>
          <w:color w:val="000000" w:themeColor="text1"/>
          <w:sz w:val="20"/>
        </w:rPr>
        <w:t>b) proteção de dispositivos de drenagem existentes e recém-executados, evitando obstruções, assoreamento ou carreamento de materiais;</w:t>
      </w:r>
    </w:p>
    <w:p w14:paraId="02DDAC17" w14:textId="175402E2" w:rsidR="00957AFA" w:rsidRPr="00957AFA" w:rsidRDefault="00957AFA" w:rsidP="00957AFA">
      <w:pPr>
        <w:spacing w:after="0" w:line="240" w:lineRule="auto"/>
        <w:jc w:val="both"/>
        <w:rPr>
          <w:rFonts w:eastAsia="Arial Unicode MS"/>
          <w:color w:val="000000" w:themeColor="text1"/>
          <w:sz w:val="20"/>
        </w:rPr>
      </w:pPr>
      <w:r w:rsidRPr="00957AFA">
        <w:rPr>
          <w:rFonts w:eastAsia="Arial Unicode MS"/>
          <w:color w:val="000000" w:themeColor="text1"/>
          <w:sz w:val="20"/>
        </w:rPr>
        <w:lastRenderedPageBreak/>
        <w:t>c) adequada gestão temporária das águas pluviais durante a execução, evitando represamentos, desvios inadequados ou danos às áreas lindeiras;</w:t>
      </w:r>
    </w:p>
    <w:p w14:paraId="0D1F9EC3" w14:textId="77777777" w:rsidR="00957AFA" w:rsidRPr="00957AFA" w:rsidRDefault="00957AFA" w:rsidP="00957AFA">
      <w:pPr>
        <w:spacing w:after="0" w:line="240" w:lineRule="auto"/>
        <w:jc w:val="both"/>
        <w:rPr>
          <w:rFonts w:eastAsia="Arial Unicode MS"/>
          <w:color w:val="000000" w:themeColor="text1"/>
          <w:sz w:val="20"/>
        </w:rPr>
      </w:pPr>
      <w:r w:rsidRPr="00957AFA">
        <w:rPr>
          <w:rFonts w:eastAsia="Arial Unicode MS"/>
          <w:color w:val="000000" w:themeColor="text1"/>
          <w:sz w:val="20"/>
        </w:rPr>
        <w:t>d) controle de poeira por meio de umidificação periódica das áreas de intervenção, quando necessário;</w:t>
      </w:r>
    </w:p>
    <w:p w14:paraId="290210C5" w14:textId="69B2E8E2" w:rsidR="00957AFA" w:rsidRPr="00957AFA" w:rsidRDefault="00957AFA" w:rsidP="00957AFA">
      <w:pPr>
        <w:spacing w:after="0" w:line="240" w:lineRule="auto"/>
        <w:jc w:val="both"/>
        <w:rPr>
          <w:rFonts w:eastAsia="Arial Unicode MS"/>
          <w:color w:val="000000" w:themeColor="text1"/>
          <w:sz w:val="20"/>
        </w:rPr>
      </w:pPr>
      <w:r w:rsidRPr="00957AFA">
        <w:rPr>
          <w:rFonts w:eastAsia="Arial Unicode MS"/>
          <w:color w:val="000000" w:themeColor="text1"/>
          <w:sz w:val="20"/>
        </w:rPr>
        <w:t>e) controle de ruídos e horários de execução, observando a legislação municipal e a preservação do sossego público;</w:t>
      </w:r>
    </w:p>
    <w:p w14:paraId="6BC75D6D" w14:textId="0F9D1FB7" w:rsidR="00957AFA" w:rsidRPr="00957AFA" w:rsidRDefault="00957AFA" w:rsidP="00957AFA">
      <w:pPr>
        <w:spacing w:after="0" w:line="240" w:lineRule="auto"/>
        <w:jc w:val="both"/>
        <w:rPr>
          <w:rFonts w:eastAsia="Arial Unicode MS"/>
          <w:color w:val="000000" w:themeColor="text1"/>
          <w:sz w:val="20"/>
        </w:rPr>
      </w:pPr>
      <w:r w:rsidRPr="00957AFA">
        <w:rPr>
          <w:rFonts w:eastAsia="Arial Unicode MS"/>
          <w:color w:val="000000" w:themeColor="text1"/>
          <w:sz w:val="20"/>
        </w:rPr>
        <w:t>f) prevenção de contaminação do solo e da água por combustíveis, óleos, graxas, cimento, argamassas ou outras substâncias potencialmente poluentes;</w:t>
      </w:r>
    </w:p>
    <w:p w14:paraId="7E86341D" w14:textId="19D65B64" w:rsidR="00957AFA" w:rsidRPr="00957AFA" w:rsidRDefault="00957AFA" w:rsidP="00957AFA">
      <w:pPr>
        <w:spacing w:after="0" w:line="240" w:lineRule="auto"/>
        <w:jc w:val="both"/>
        <w:rPr>
          <w:rFonts w:eastAsia="Arial Unicode MS"/>
          <w:color w:val="000000" w:themeColor="text1"/>
          <w:sz w:val="20"/>
        </w:rPr>
      </w:pPr>
      <w:r w:rsidRPr="00957AFA">
        <w:rPr>
          <w:rFonts w:eastAsia="Arial Unicode MS"/>
          <w:color w:val="000000" w:themeColor="text1"/>
          <w:sz w:val="20"/>
        </w:rPr>
        <w:t>g) destinação ambientalmente adequada dos resíduos e materiais excedentes;</w:t>
      </w:r>
    </w:p>
    <w:p w14:paraId="3BE7095F" w14:textId="4F7CCFBD" w:rsidR="00957AFA" w:rsidRPr="00957AFA" w:rsidRDefault="00957AFA" w:rsidP="00957AFA">
      <w:pPr>
        <w:spacing w:after="0" w:line="240" w:lineRule="auto"/>
        <w:jc w:val="both"/>
        <w:rPr>
          <w:rFonts w:eastAsia="Arial Unicode MS"/>
          <w:color w:val="000000" w:themeColor="text1"/>
          <w:sz w:val="20"/>
        </w:rPr>
      </w:pPr>
      <w:r w:rsidRPr="00957AFA">
        <w:rPr>
          <w:rFonts w:eastAsia="Arial Unicode MS"/>
          <w:color w:val="000000" w:themeColor="text1"/>
          <w:sz w:val="20"/>
        </w:rPr>
        <w:t>h) sinalização e isolamento adequado das frentes de obra, reduzindo riscos à população e impactos à circulação local.</w:t>
      </w:r>
    </w:p>
    <w:p w14:paraId="47100218" w14:textId="023A5949" w:rsidR="00957AFA" w:rsidRPr="00957AFA" w:rsidRDefault="00957AFA" w:rsidP="00957AFA">
      <w:pPr>
        <w:spacing w:after="0" w:line="240" w:lineRule="auto"/>
        <w:jc w:val="both"/>
        <w:rPr>
          <w:rFonts w:eastAsia="Arial Unicode MS"/>
          <w:color w:val="000000" w:themeColor="text1"/>
          <w:sz w:val="20"/>
        </w:rPr>
      </w:pPr>
      <w:r w:rsidRPr="00957AFA">
        <w:rPr>
          <w:rFonts w:eastAsia="Arial Unicode MS"/>
          <w:color w:val="000000" w:themeColor="text1"/>
          <w:sz w:val="20"/>
        </w:rPr>
        <w:t>13.5 – O monitoramento ambiental será realizado de forma contínua pela contratada, sob supervisão da fiscalização municipal, abrangendo aspectos como estabilidade do solo, controle de erosão, eficiência dos dispositivos de drenagem, manejo de resíduos, proteção das áreas de intervenção e cumprimento das condicionantes ambientais eventualmente aplicáveis, assegurando que a execução da obra ocorra de forma ambientalmente adequada e sem prejuízo à coletividade.</w:t>
      </w:r>
    </w:p>
    <w:p w14:paraId="7EED5AC5" w14:textId="137FEDE9" w:rsidR="00957AFA" w:rsidRPr="00957AFA" w:rsidRDefault="00957AFA" w:rsidP="00957AFA">
      <w:pPr>
        <w:spacing w:after="0" w:line="240" w:lineRule="auto"/>
        <w:jc w:val="both"/>
        <w:rPr>
          <w:rFonts w:eastAsia="Arial Unicode MS"/>
          <w:color w:val="000000" w:themeColor="text1"/>
          <w:sz w:val="20"/>
        </w:rPr>
      </w:pPr>
      <w:r w:rsidRPr="00957AFA">
        <w:rPr>
          <w:rFonts w:eastAsia="Arial Unicode MS"/>
          <w:color w:val="000000" w:themeColor="text1"/>
          <w:sz w:val="20"/>
        </w:rPr>
        <w:t>13.6 – A contratada deverá promover a orientação dos trabalhadores quanto às boas práticas ambientais, incluindo o manejo adequado de resíduos, a prevenção de impactos, o uso correto de equipamentos, a proteção de cursos d’água, dispositivos de drenagem e áreas sensíveis, bem como o cumprimento das exigências legais, contratuais e das determinações da fiscalização.</w:t>
      </w:r>
    </w:p>
    <w:p w14:paraId="517365F8" w14:textId="2DD6B374" w:rsidR="00957AFA" w:rsidRPr="00957AFA" w:rsidRDefault="00957AFA" w:rsidP="00957AFA">
      <w:pPr>
        <w:spacing w:after="0" w:line="240" w:lineRule="auto"/>
        <w:jc w:val="both"/>
        <w:rPr>
          <w:rFonts w:eastAsia="Arial Unicode MS"/>
          <w:color w:val="000000" w:themeColor="text1"/>
          <w:sz w:val="20"/>
        </w:rPr>
      </w:pPr>
      <w:r w:rsidRPr="00957AFA">
        <w:rPr>
          <w:rFonts w:eastAsia="Arial Unicode MS"/>
          <w:color w:val="000000" w:themeColor="text1"/>
          <w:sz w:val="20"/>
        </w:rPr>
        <w:t>13.7 – Considerando a localização das intervenções em áreas urbanas e de expansão, deverão ser adotadas medidas de preservação e proteção de eventuais elementos naturais existentes, tais como vegetação remanescente, taludes, áreas de escoamento natural, arroios, valas, faixas marginais e demais áreas sensíveis. Quando aplicável, eventuais intervenções deverão observar as exigências do órgão ambiental competente e as medidas de recomposição ou estabilização necessárias.</w:t>
      </w:r>
    </w:p>
    <w:p w14:paraId="6BD8E563" w14:textId="20AF2F47" w:rsidR="00957AFA" w:rsidRPr="00957AFA" w:rsidRDefault="00957AFA" w:rsidP="00957AFA">
      <w:pPr>
        <w:spacing w:after="0" w:line="240" w:lineRule="auto"/>
        <w:jc w:val="both"/>
        <w:rPr>
          <w:rFonts w:eastAsia="Arial Unicode MS"/>
          <w:color w:val="000000" w:themeColor="text1"/>
          <w:sz w:val="20"/>
        </w:rPr>
      </w:pPr>
      <w:r w:rsidRPr="00957AFA">
        <w:rPr>
          <w:rFonts w:eastAsia="Arial Unicode MS"/>
          <w:color w:val="000000" w:themeColor="text1"/>
          <w:sz w:val="20"/>
        </w:rPr>
        <w:t>13.8 – A contratada será integralmente responsável por eventuais danos ambientais decorrentes da execução dos serviços, cabendo-lhe promover a imediata reparação, mitigação ou compensação, sem prejuízo da aplicação das sanções previstas na legislação vigente, no edital, no contrato e nas normas ambientais aplicáveis.</w:t>
      </w:r>
    </w:p>
    <w:p w14:paraId="3C5FB040" w14:textId="7BB56ADD" w:rsidR="00957AFA" w:rsidRPr="00957AFA" w:rsidRDefault="00957AFA" w:rsidP="00957AFA">
      <w:pPr>
        <w:spacing w:after="0" w:line="240" w:lineRule="auto"/>
        <w:jc w:val="both"/>
        <w:rPr>
          <w:rFonts w:eastAsia="Arial Unicode MS"/>
          <w:color w:val="000000" w:themeColor="text1"/>
          <w:sz w:val="20"/>
        </w:rPr>
      </w:pPr>
      <w:r w:rsidRPr="00957AFA">
        <w:rPr>
          <w:rFonts w:eastAsia="Arial Unicode MS"/>
          <w:color w:val="000000" w:themeColor="text1"/>
          <w:sz w:val="20"/>
        </w:rPr>
        <w:t>13.9 – A Administração Municipal poderá realizar, a qualquer tempo, vistorias e inspeções ambientais durante a execução contratual, com o objetivo de verificar o cumprimento das condicionantes ambientais, das boas práticas executivas e das obrigações assumidas, adotando as medidas cabíveis em caso de não conformidades.</w:t>
      </w:r>
    </w:p>
    <w:p w14:paraId="2ECD060D" w14:textId="3DF96D3A" w:rsidR="002E7B24" w:rsidRDefault="00957AFA" w:rsidP="00957AFA">
      <w:pPr>
        <w:spacing w:after="0" w:line="240" w:lineRule="auto"/>
        <w:jc w:val="both"/>
        <w:rPr>
          <w:rFonts w:eastAsia="Arial Unicode MS"/>
          <w:color w:val="000000" w:themeColor="text1"/>
          <w:sz w:val="20"/>
        </w:rPr>
      </w:pPr>
      <w:r w:rsidRPr="00957AFA">
        <w:rPr>
          <w:rFonts w:eastAsia="Arial Unicode MS"/>
          <w:color w:val="000000" w:themeColor="text1"/>
          <w:sz w:val="20"/>
        </w:rPr>
        <w:t>13.10 – A implantação do sistema de microdrenagem/drenagem pluvial, além de demandar cuidados ambientais durante sua execução, constitui medida de melhoria ambiental e urbana, na medida em que contribui para o adequado manejo das águas pluviais, reduz processos erosivos, minimiza alagamentos, protege vias públicas e áreas lindeiras e aumenta a resiliência do Município frente a eventos de chuva intensa.</w:t>
      </w:r>
    </w:p>
    <w:p w14:paraId="4707C538" w14:textId="77777777" w:rsidR="00957AFA" w:rsidRPr="00485CE0" w:rsidRDefault="00957AFA" w:rsidP="00957AFA">
      <w:pPr>
        <w:spacing w:after="0" w:line="240" w:lineRule="auto"/>
        <w:jc w:val="both"/>
        <w:rPr>
          <w:rFonts w:eastAsia="Arial Unicode MS"/>
          <w:color w:val="000000" w:themeColor="text1"/>
          <w:sz w:val="20"/>
        </w:rPr>
      </w:pPr>
    </w:p>
    <w:p w14:paraId="7E137712" w14:textId="77777777" w:rsidR="0034161A" w:rsidRPr="00EF52E1" w:rsidRDefault="0052336E" w:rsidP="00E16BA6">
      <w:pPr>
        <w:spacing w:after="0" w:line="240" w:lineRule="auto"/>
        <w:jc w:val="both"/>
        <w:rPr>
          <w:rFonts w:eastAsia="Arial Unicode MS"/>
          <w:b/>
          <w:color w:val="000000" w:themeColor="text1"/>
          <w:sz w:val="20"/>
        </w:rPr>
      </w:pPr>
      <w:r w:rsidRPr="00EF52E1">
        <w:rPr>
          <w:rFonts w:eastAsia="Arial Unicode MS"/>
          <w:b/>
          <w:color w:val="000000" w:themeColor="text1"/>
          <w:sz w:val="20"/>
        </w:rPr>
        <w:t>1</w:t>
      </w:r>
      <w:r w:rsidR="003978C7" w:rsidRPr="00EF52E1">
        <w:rPr>
          <w:rFonts w:eastAsia="Arial Unicode MS"/>
          <w:b/>
          <w:color w:val="000000" w:themeColor="text1"/>
          <w:sz w:val="20"/>
        </w:rPr>
        <w:t>4</w:t>
      </w:r>
      <w:r w:rsidR="0034161A" w:rsidRPr="00EF52E1">
        <w:rPr>
          <w:rFonts w:eastAsia="Arial Unicode MS"/>
          <w:b/>
          <w:color w:val="000000" w:themeColor="text1"/>
          <w:sz w:val="20"/>
        </w:rPr>
        <w:t xml:space="preserve"> – POSICIONAMENTO CONCLUSIVO SOBRE A ADEQUAÇÃO DA CONTRATAÇÃO</w:t>
      </w:r>
      <w:r w:rsidR="00F04BF3" w:rsidRPr="00EF52E1">
        <w:rPr>
          <w:rFonts w:eastAsia="Arial Unicode MS"/>
          <w:b/>
          <w:color w:val="000000" w:themeColor="text1"/>
          <w:sz w:val="20"/>
        </w:rPr>
        <w:t>:</w:t>
      </w:r>
    </w:p>
    <w:p w14:paraId="34CC0F9D" w14:textId="79D1A9B3" w:rsidR="00957AFA" w:rsidRPr="00957AFA" w:rsidRDefault="00957AFA" w:rsidP="00957AFA">
      <w:pPr>
        <w:spacing w:after="0" w:line="240" w:lineRule="auto"/>
        <w:jc w:val="both"/>
        <w:rPr>
          <w:rFonts w:eastAsia="Arial Unicode MS"/>
          <w:color w:val="000000" w:themeColor="text1"/>
          <w:sz w:val="20"/>
        </w:rPr>
      </w:pPr>
      <w:r w:rsidRPr="00957AFA">
        <w:rPr>
          <w:rFonts w:eastAsia="Arial Unicode MS"/>
          <w:color w:val="000000" w:themeColor="text1"/>
          <w:sz w:val="20"/>
        </w:rPr>
        <w:t>14.1 – A partir da análise integrada dos diagnósticos técnicos, das necessidades identificadas pelo Município de Paverama e dos documentos que instruem o processo, conclui-se que a contratação de empresa especializada para a execução de obra de infraestrutura urbana voltada à implantação de sistema de microdrenagem/drenagem pluvial na Rua 4 de Julho, Rodovia VRS-835 e ruas adjacentes dos bairros Cidade Baixa e Morro Bonito revela-se plenamente adequada, necessária e alinhada ao interesse público, configurando a solução mais eficiente sob os aspectos técnico, operacional, econômico, ambiental e jurídico.</w:t>
      </w:r>
    </w:p>
    <w:p w14:paraId="276C2705" w14:textId="7B683D52" w:rsidR="00957AFA" w:rsidRPr="00957AFA" w:rsidRDefault="00957AFA" w:rsidP="00957AFA">
      <w:pPr>
        <w:spacing w:after="0" w:line="240" w:lineRule="auto"/>
        <w:jc w:val="both"/>
        <w:rPr>
          <w:rFonts w:eastAsia="Arial Unicode MS"/>
          <w:color w:val="000000" w:themeColor="text1"/>
          <w:sz w:val="20"/>
        </w:rPr>
      </w:pPr>
      <w:r w:rsidRPr="00957AFA">
        <w:rPr>
          <w:rFonts w:eastAsia="Arial Unicode MS"/>
          <w:color w:val="000000" w:themeColor="text1"/>
          <w:sz w:val="20"/>
        </w:rPr>
        <w:t>14.2 – O diagnóstico técnico evidenciou que as áreas objeto da intervenção apresentam deficiências relevantes no manejo das águas pluviais, com ocorrência de escoamento superficial desordenado, alagamentos, erosões, carreamento de sedimentos, degradação das vias e riscos à segurança de moradores, pedestres e usuários do sistema viário. Tal cenário justifica a adoção de solução de engenharia apta a corrigir as deficiências existentes, prevenir a degradação progressiva da infraestrutura urbana e aumentar a resiliência do Município frente a eventos de chuva intensa.</w:t>
      </w:r>
    </w:p>
    <w:p w14:paraId="540D318E" w14:textId="69057862" w:rsidR="00957AFA" w:rsidRPr="00957AFA" w:rsidRDefault="00957AFA" w:rsidP="00957AFA">
      <w:pPr>
        <w:spacing w:after="0" w:line="240" w:lineRule="auto"/>
        <w:jc w:val="both"/>
        <w:rPr>
          <w:rFonts w:eastAsia="Arial Unicode MS"/>
          <w:color w:val="000000" w:themeColor="text1"/>
          <w:sz w:val="20"/>
        </w:rPr>
      </w:pPr>
      <w:r w:rsidRPr="00957AFA">
        <w:rPr>
          <w:rFonts w:eastAsia="Arial Unicode MS"/>
          <w:color w:val="000000" w:themeColor="text1"/>
          <w:sz w:val="20"/>
        </w:rPr>
        <w:t xml:space="preserve">14.3 – A solução proposta demanda execução integrada e contínua de serviços de engenharia, incluindo escavação, preparo de fundo de vala, assentamento de tubulações em concreto, execução de caixas coletoras/bocas de lobo, bueiro tubular, meio-fio, reaterro, regularização e compactação de subleito, carga, transporte e demais serviços complementares necessários à plena funcionalidade do sistema de drenagem, o que impõe a necessidade de contratação de empresa com capacidade técnica </w:t>
      </w:r>
      <w:r w:rsidRPr="00957AFA">
        <w:rPr>
          <w:rFonts w:eastAsia="Arial Unicode MS"/>
          <w:color w:val="000000" w:themeColor="text1"/>
          <w:sz w:val="20"/>
        </w:rPr>
        <w:lastRenderedPageBreak/>
        <w:t>comprovada, estrutura operacional compatível e domínio dos procedimentos executivos previstos nas normas técnicas aplicáveis.</w:t>
      </w:r>
    </w:p>
    <w:p w14:paraId="53111056" w14:textId="11E842B6" w:rsidR="00957AFA" w:rsidRPr="00957AFA" w:rsidRDefault="00957AFA" w:rsidP="00957AFA">
      <w:pPr>
        <w:spacing w:after="0" w:line="240" w:lineRule="auto"/>
        <w:jc w:val="both"/>
        <w:rPr>
          <w:rFonts w:eastAsia="Arial Unicode MS"/>
          <w:color w:val="000000" w:themeColor="text1"/>
          <w:sz w:val="20"/>
        </w:rPr>
      </w:pPr>
      <w:r w:rsidRPr="00957AFA">
        <w:rPr>
          <w:rFonts w:eastAsia="Arial Unicode MS"/>
          <w:color w:val="000000" w:themeColor="text1"/>
          <w:sz w:val="20"/>
        </w:rPr>
        <w:t>14.4 – A solução técnica adotada, consistente na implantação de rede de microdrenagem/drenagem pluvial com tubulações em concreto e dispositivos complementares, demonstrou-se a mais adequada conforme análise realizada no âmbito deste Estudo Técnico Preliminar, por apresentar eficiência hidráulica, maturidade tecnológica, ampla disponibilidade de materiais e mão de obra, compatibilidade com as vias urbanas existentes e adequada relação entre custo, durabilidade e funcionalidade.</w:t>
      </w:r>
    </w:p>
    <w:p w14:paraId="08176002" w14:textId="1654044E" w:rsidR="00957AFA" w:rsidRPr="00957AFA" w:rsidRDefault="00957AFA" w:rsidP="00957AFA">
      <w:pPr>
        <w:spacing w:after="0" w:line="240" w:lineRule="auto"/>
        <w:jc w:val="both"/>
        <w:rPr>
          <w:rFonts w:eastAsia="Arial Unicode MS"/>
          <w:color w:val="000000" w:themeColor="text1"/>
          <w:sz w:val="20"/>
        </w:rPr>
      </w:pPr>
      <w:r w:rsidRPr="00957AFA">
        <w:rPr>
          <w:rFonts w:eastAsia="Arial Unicode MS"/>
          <w:color w:val="000000" w:themeColor="text1"/>
          <w:sz w:val="20"/>
        </w:rPr>
        <w:t>14.5 – O Estudo Técnico Preliminar evidenciou, de forma fundamentada, a viabilidade mercadológica da contratação, demonstrando a existência de empresas aptas à execução do objeto, bem como a adequação da estimativa de custos, elaborada com base em orçamento técnico de engenharia, composições do SINAPI, composições próprias, cotações e demais parâmetros constantes da planilha orçamentária detalhada, garantindo aderência aos preços de mercado, transparência e segurança jurídica.</w:t>
      </w:r>
    </w:p>
    <w:p w14:paraId="1BA2DE90" w14:textId="21E19ACA" w:rsidR="00957AFA" w:rsidRPr="00957AFA" w:rsidRDefault="00957AFA" w:rsidP="00957AFA">
      <w:pPr>
        <w:spacing w:after="0" w:line="240" w:lineRule="auto"/>
        <w:jc w:val="both"/>
        <w:rPr>
          <w:rFonts w:eastAsia="Arial Unicode MS"/>
          <w:color w:val="000000" w:themeColor="text1"/>
          <w:sz w:val="20"/>
        </w:rPr>
      </w:pPr>
      <w:r w:rsidRPr="00957AFA">
        <w:rPr>
          <w:rFonts w:eastAsia="Arial Unicode MS"/>
          <w:color w:val="000000" w:themeColor="text1"/>
          <w:sz w:val="20"/>
        </w:rPr>
        <w:t>14.6 – Sob o aspecto ambiental, a intervenção deverá observar as autorizações, licenças, declarações ou manifestações ambientais eventualmente exigidas pelo órgão competente, bem como medidas mitigatórias, controle de resíduos, prevenção de erosões, manejo adequado de materiais excedentes e diretrizes de execução sustentável. Além disso, a própria implantação do sistema de drenagem contribuirá diretamente para a redução de impactos ambientais atualmente existentes, tais como processos erosivos, assoreamento, carreamento de sedimentos e deficiência</w:t>
      </w:r>
      <w:r w:rsidR="005E1C0C">
        <w:rPr>
          <w:rFonts w:eastAsia="Arial Unicode MS"/>
          <w:color w:val="000000" w:themeColor="text1"/>
          <w:sz w:val="20"/>
        </w:rPr>
        <w:t xml:space="preserve"> </w:t>
      </w:r>
      <w:r w:rsidRPr="00957AFA">
        <w:rPr>
          <w:rFonts w:eastAsia="Arial Unicode MS"/>
          <w:color w:val="000000" w:themeColor="text1"/>
          <w:sz w:val="20"/>
        </w:rPr>
        <w:t>no escoamento das águas pluviais.</w:t>
      </w:r>
    </w:p>
    <w:p w14:paraId="2050EBA9" w14:textId="66FBF113" w:rsidR="00957AFA" w:rsidRPr="00957AFA" w:rsidRDefault="00957AFA" w:rsidP="00957AFA">
      <w:pPr>
        <w:spacing w:after="0" w:line="240" w:lineRule="auto"/>
        <w:jc w:val="both"/>
        <w:rPr>
          <w:rFonts w:eastAsia="Arial Unicode MS"/>
          <w:color w:val="000000" w:themeColor="text1"/>
          <w:sz w:val="20"/>
        </w:rPr>
      </w:pPr>
      <w:r w:rsidRPr="00957AFA">
        <w:rPr>
          <w:rFonts w:eastAsia="Arial Unicode MS"/>
          <w:color w:val="000000" w:themeColor="text1"/>
          <w:sz w:val="20"/>
        </w:rPr>
        <w:t>14.7 – A viabilidade financeira da contratação encontra-se assegurada por meio dos recursos vinculados ao Convênio Administrativo FPE nº 2014/2026, celebrado com o Estado do Rio Grande do Sul, por intermédio da Secretaria de Desenvolvimento Urbano e Metropolitano, no valor de R$ 2.470.882,57, sem previsão de contrapartida municipal, garantindo a cobertura dos custos estimados, a compatibilidade com o cronograma físico-financeiro e a estabilidade necessária à execução integral do objeto.</w:t>
      </w:r>
    </w:p>
    <w:p w14:paraId="1E6CA924" w14:textId="5B6D72C2" w:rsidR="000175DE" w:rsidRDefault="00957AFA" w:rsidP="00957AFA">
      <w:pPr>
        <w:spacing w:after="0" w:line="240" w:lineRule="auto"/>
        <w:jc w:val="both"/>
        <w:rPr>
          <w:rFonts w:eastAsia="Arial Unicode MS"/>
          <w:color w:val="000000" w:themeColor="text1"/>
          <w:sz w:val="20"/>
        </w:rPr>
      </w:pPr>
      <w:r w:rsidRPr="00957AFA">
        <w:rPr>
          <w:rFonts w:eastAsia="Arial Unicode MS"/>
          <w:color w:val="000000" w:themeColor="text1"/>
          <w:sz w:val="20"/>
        </w:rPr>
        <w:t>14.8 – Diante do conjunto de análises técnicas, econômicas, ambientais e jurídicas realizadas ao longo deste Estudo Técnico Preliminar, conclui-se que a contratação é plenamente viável, justificada e vantajosa para a Administração Pública, constituindo medida estruturante para a melhoria da drenagem urbana, da mobilidade, da segurança viária, da conservação das vias públicas, da resiliência climática e da qualidade de vida da população, além de contribuir para o desenvolvimento urbano sustentável do Município de Paverama.</w:t>
      </w:r>
    </w:p>
    <w:p w14:paraId="569F5128" w14:textId="77777777" w:rsidR="00957AFA" w:rsidRPr="00EF52E1" w:rsidRDefault="00957AFA" w:rsidP="00957AFA">
      <w:pPr>
        <w:spacing w:after="0" w:line="240" w:lineRule="auto"/>
        <w:jc w:val="both"/>
        <w:rPr>
          <w:rFonts w:eastAsia="Arial Unicode MS"/>
          <w:bCs/>
          <w:color w:val="000000" w:themeColor="text1"/>
          <w:sz w:val="20"/>
        </w:rPr>
      </w:pPr>
    </w:p>
    <w:p w14:paraId="55DB6892" w14:textId="77777777" w:rsidR="006E786C" w:rsidRPr="00EF52E1" w:rsidRDefault="006E786C" w:rsidP="00E16BA6">
      <w:pPr>
        <w:spacing w:after="0" w:line="240" w:lineRule="auto"/>
        <w:jc w:val="both"/>
        <w:rPr>
          <w:rFonts w:eastAsia="Arial Unicode MS"/>
          <w:b/>
          <w:color w:val="000000" w:themeColor="text1"/>
          <w:sz w:val="20"/>
        </w:rPr>
      </w:pPr>
      <w:r w:rsidRPr="00EF52E1">
        <w:rPr>
          <w:rFonts w:eastAsia="Arial Unicode MS" w:hint="eastAsia"/>
          <w:b/>
          <w:color w:val="000000" w:themeColor="text1"/>
          <w:sz w:val="20"/>
        </w:rPr>
        <w:t>1</w:t>
      </w:r>
      <w:r w:rsidR="003978C7" w:rsidRPr="00EF52E1">
        <w:rPr>
          <w:rFonts w:eastAsia="Arial Unicode MS"/>
          <w:b/>
          <w:color w:val="000000" w:themeColor="text1"/>
          <w:sz w:val="20"/>
        </w:rPr>
        <w:t>5</w:t>
      </w:r>
      <w:r w:rsidRPr="00EF52E1">
        <w:rPr>
          <w:rFonts w:eastAsia="Arial Unicode MS" w:hint="eastAsia"/>
          <w:b/>
          <w:color w:val="000000" w:themeColor="text1"/>
          <w:sz w:val="20"/>
        </w:rPr>
        <w:t xml:space="preserve"> – ANEXOS: </w:t>
      </w:r>
    </w:p>
    <w:p w14:paraId="4D8E8681" w14:textId="77777777" w:rsidR="001D00C8" w:rsidRPr="001D00C8" w:rsidRDefault="001D00C8" w:rsidP="001D00C8">
      <w:pPr>
        <w:spacing w:after="0" w:line="240" w:lineRule="auto"/>
        <w:jc w:val="both"/>
        <w:rPr>
          <w:rFonts w:eastAsia="Arial Unicode MS"/>
          <w:bCs/>
          <w:color w:val="000000" w:themeColor="text1"/>
          <w:sz w:val="20"/>
        </w:rPr>
      </w:pPr>
      <w:r w:rsidRPr="001D00C8">
        <w:rPr>
          <w:rFonts w:eastAsia="Arial Unicode MS"/>
          <w:b/>
          <w:bCs/>
          <w:color w:val="000000" w:themeColor="text1"/>
          <w:sz w:val="20"/>
        </w:rPr>
        <w:t>15.1 –</w:t>
      </w:r>
      <w:r w:rsidRPr="001D00C8">
        <w:rPr>
          <w:rFonts w:eastAsia="Arial Unicode MS"/>
          <w:bCs/>
          <w:color w:val="000000" w:themeColor="text1"/>
          <w:sz w:val="20"/>
        </w:rPr>
        <w:t xml:space="preserve"> Consta em anexo, para cumprimento da solução e adequada instrução do processo de contratação, a seguinte documentação técnica, orçamentária, ambiental e administrativa da obra:</w:t>
      </w:r>
    </w:p>
    <w:p w14:paraId="6FCAE65E" w14:textId="77777777" w:rsidR="001D00C8" w:rsidRPr="001D00C8" w:rsidRDefault="001D00C8" w:rsidP="00CC0C9F">
      <w:pPr>
        <w:pStyle w:val="Commarcadores"/>
      </w:pPr>
      <w:r w:rsidRPr="001D00C8">
        <w:t xml:space="preserve">Cópia do Termo de Convênio Administrativo FPE nº 2014/2026; </w:t>
      </w:r>
    </w:p>
    <w:p w14:paraId="55F48661" w14:textId="77777777" w:rsidR="001D00C8" w:rsidRPr="001D00C8" w:rsidRDefault="001D00C8" w:rsidP="001D00C8">
      <w:pPr>
        <w:numPr>
          <w:ilvl w:val="0"/>
          <w:numId w:val="7"/>
        </w:numPr>
        <w:spacing w:after="0" w:line="240" w:lineRule="auto"/>
        <w:jc w:val="both"/>
        <w:rPr>
          <w:rFonts w:eastAsia="Arial Unicode MS"/>
          <w:bCs/>
          <w:color w:val="000000" w:themeColor="text1"/>
          <w:sz w:val="20"/>
        </w:rPr>
      </w:pPr>
      <w:r w:rsidRPr="001D00C8">
        <w:rPr>
          <w:rFonts w:eastAsia="Arial Unicode MS"/>
          <w:bCs/>
          <w:color w:val="000000" w:themeColor="text1"/>
          <w:sz w:val="20"/>
        </w:rPr>
        <w:t xml:space="preserve">Plano de Trabalho; </w:t>
      </w:r>
    </w:p>
    <w:p w14:paraId="20D4162D" w14:textId="77777777" w:rsidR="001D00C8" w:rsidRPr="001D00C8" w:rsidRDefault="001D00C8" w:rsidP="001D00C8">
      <w:pPr>
        <w:numPr>
          <w:ilvl w:val="0"/>
          <w:numId w:val="7"/>
        </w:numPr>
        <w:spacing w:after="0" w:line="240" w:lineRule="auto"/>
        <w:jc w:val="both"/>
        <w:rPr>
          <w:rFonts w:eastAsia="Arial Unicode MS"/>
          <w:bCs/>
          <w:color w:val="000000" w:themeColor="text1"/>
          <w:sz w:val="20"/>
        </w:rPr>
      </w:pPr>
      <w:r w:rsidRPr="001D00C8">
        <w:rPr>
          <w:rFonts w:eastAsia="Arial Unicode MS"/>
          <w:bCs/>
          <w:color w:val="000000" w:themeColor="text1"/>
          <w:sz w:val="20"/>
        </w:rPr>
        <w:t xml:space="preserve">Plano de Sustentabilidade do Objeto, quando aplicável ou exigido pelo convênio; </w:t>
      </w:r>
    </w:p>
    <w:p w14:paraId="03637526" w14:textId="77777777" w:rsidR="001D00C8" w:rsidRPr="001D00C8" w:rsidRDefault="001D00C8" w:rsidP="001D00C8">
      <w:pPr>
        <w:numPr>
          <w:ilvl w:val="0"/>
          <w:numId w:val="7"/>
        </w:numPr>
        <w:spacing w:after="0" w:line="240" w:lineRule="auto"/>
        <w:jc w:val="both"/>
        <w:rPr>
          <w:rFonts w:eastAsia="Arial Unicode MS"/>
          <w:bCs/>
          <w:color w:val="000000" w:themeColor="text1"/>
          <w:sz w:val="20"/>
        </w:rPr>
      </w:pPr>
      <w:r w:rsidRPr="001D00C8">
        <w:rPr>
          <w:rFonts w:eastAsia="Arial Unicode MS"/>
          <w:bCs/>
          <w:color w:val="000000" w:themeColor="text1"/>
          <w:sz w:val="20"/>
        </w:rPr>
        <w:t xml:space="preserve">Licenciamento ambiental, autorizações, declarações, manifestações ou documentos equivalentes emitidos pelo órgão ambiental competente, quando aplicáveis à execução da obra; </w:t>
      </w:r>
    </w:p>
    <w:p w14:paraId="1991DA25" w14:textId="77777777" w:rsidR="001D00C8" w:rsidRPr="001D00C8" w:rsidRDefault="001D00C8" w:rsidP="001D00C8">
      <w:pPr>
        <w:numPr>
          <w:ilvl w:val="0"/>
          <w:numId w:val="7"/>
        </w:numPr>
        <w:spacing w:after="0" w:line="240" w:lineRule="auto"/>
        <w:jc w:val="both"/>
        <w:rPr>
          <w:rFonts w:eastAsia="Arial Unicode MS"/>
          <w:bCs/>
          <w:color w:val="000000" w:themeColor="text1"/>
          <w:sz w:val="20"/>
        </w:rPr>
      </w:pPr>
      <w:r w:rsidRPr="001D00C8">
        <w:rPr>
          <w:rFonts w:eastAsia="Arial Unicode MS"/>
          <w:bCs/>
          <w:color w:val="000000" w:themeColor="text1"/>
          <w:sz w:val="20"/>
        </w:rPr>
        <w:t xml:space="preserve">Projeto Básico e/ou Projeto Executivo, composto, entre outros, pelos seguintes documentos: </w:t>
      </w:r>
    </w:p>
    <w:p w14:paraId="0B6A7EC8" w14:textId="77777777" w:rsidR="001D00C8" w:rsidRPr="001D00C8" w:rsidRDefault="001D00C8" w:rsidP="009F3EEB">
      <w:pPr>
        <w:spacing w:after="0" w:line="240" w:lineRule="auto"/>
        <w:ind w:firstLine="1134"/>
        <w:jc w:val="both"/>
        <w:rPr>
          <w:rFonts w:eastAsia="Arial Unicode MS"/>
          <w:bCs/>
          <w:color w:val="000000" w:themeColor="text1"/>
          <w:sz w:val="20"/>
        </w:rPr>
      </w:pPr>
      <w:r w:rsidRPr="001D00C8">
        <w:rPr>
          <w:rFonts w:eastAsia="Arial Unicode MS"/>
          <w:bCs/>
          <w:color w:val="000000" w:themeColor="text1"/>
          <w:sz w:val="20"/>
        </w:rPr>
        <w:t xml:space="preserve">a) </w:t>
      </w:r>
      <w:r w:rsidRPr="001D00C8">
        <w:rPr>
          <w:rFonts w:eastAsia="Arial Unicode MS"/>
          <w:b/>
          <w:bCs/>
          <w:color w:val="000000" w:themeColor="text1"/>
          <w:sz w:val="20"/>
        </w:rPr>
        <w:t>Memorial Descritivo</w:t>
      </w:r>
      <w:r w:rsidRPr="001D00C8">
        <w:rPr>
          <w:rFonts w:eastAsia="Arial Unicode MS"/>
          <w:bCs/>
          <w:color w:val="000000" w:themeColor="text1"/>
          <w:sz w:val="20"/>
        </w:rPr>
        <w:t xml:space="preserve"> – documento que detalha tecnicamente os serviços, materiais, métodos construtivos, critérios de execução, medição e aceitação previstos para a obra de microdrenagem/drenagem pluvial;</w:t>
      </w:r>
    </w:p>
    <w:p w14:paraId="0F8E811F" w14:textId="77777777" w:rsidR="001D00C8" w:rsidRPr="001D00C8" w:rsidRDefault="001D00C8" w:rsidP="009F3EEB">
      <w:pPr>
        <w:spacing w:after="0" w:line="240" w:lineRule="auto"/>
        <w:ind w:firstLine="1134"/>
        <w:jc w:val="both"/>
        <w:rPr>
          <w:rFonts w:eastAsia="Arial Unicode MS"/>
          <w:bCs/>
          <w:color w:val="000000" w:themeColor="text1"/>
          <w:sz w:val="20"/>
        </w:rPr>
      </w:pPr>
      <w:r w:rsidRPr="001D00C8">
        <w:rPr>
          <w:rFonts w:eastAsia="Arial Unicode MS"/>
          <w:bCs/>
          <w:color w:val="000000" w:themeColor="text1"/>
          <w:sz w:val="20"/>
        </w:rPr>
        <w:t xml:space="preserve">b) </w:t>
      </w:r>
      <w:r w:rsidRPr="001D00C8">
        <w:rPr>
          <w:rFonts w:eastAsia="Arial Unicode MS"/>
          <w:b/>
          <w:bCs/>
          <w:color w:val="000000" w:themeColor="text1"/>
          <w:sz w:val="20"/>
        </w:rPr>
        <w:t>Plantas/Pranchas de Engenharia</w:t>
      </w:r>
      <w:r w:rsidRPr="001D00C8">
        <w:rPr>
          <w:rFonts w:eastAsia="Arial Unicode MS"/>
          <w:bCs/>
          <w:color w:val="000000" w:themeColor="text1"/>
          <w:sz w:val="20"/>
        </w:rPr>
        <w:t xml:space="preserve"> – desenhos técnicos que representam graficamente a implantação da rede de drenagem, traçados, cotas, declividades, dispositivos de captação, tubulações, caixas coletoras, bueiros, detalhes construtivos e demais aspectos técnicos;</w:t>
      </w:r>
    </w:p>
    <w:p w14:paraId="68FC3A28" w14:textId="77777777" w:rsidR="001D00C8" w:rsidRPr="001D00C8" w:rsidRDefault="001D00C8" w:rsidP="009F3EEB">
      <w:pPr>
        <w:spacing w:after="0" w:line="240" w:lineRule="auto"/>
        <w:ind w:firstLine="1134"/>
        <w:jc w:val="both"/>
        <w:rPr>
          <w:rFonts w:eastAsia="Arial Unicode MS"/>
          <w:bCs/>
          <w:color w:val="000000" w:themeColor="text1"/>
          <w:sz w:val="20"/>
        </w:rPr>
      </w:pPr>
      <w:r w:rsidRPr="001D00C8">
        <w:rPr>
          <w:rFonts w:eastAsia="Arial Unicode MS"/>
          <w:bCs/>
          <w:color w:val="000000" w:themeColor="text1"/>
          <w:sz w:val="20"/>
        </w:rPr>
        <w:t xml:space="preserve">c) </w:t>
      </w:r>
      <w:r w:rsidRPr="001D00C8">
        <w:rPr>
          <w:rFonts w:eastAsia="Arial Unicode MS"/>
          <w:b/>
          <w:bCs/>
          <w:color w:val="000000" w:themeColor="text1"/>
          <w:sz w:val="20"/>
        </w:rPr>
        <w:t>Planilha Orçamentária</w:t>
      </w:r>
      <w:r w:rsidRPr="001D00C8">
        <w:rPr>
          <w:rFonts w:eastAsia="Arial Unicode MS"/>
          <w:bCs/>
          <w:color w:val="000000" w:themeColor="text1"/>
          <w:sz w:val="20"/>
        </w:rPr>
        <w:t xml:space="preserve"> – planilha que apresenta os custos estimados de cada etapa e item do projeto, com indicação dos serviços, unidades, quantitativos, preços unitários e preço total;</w:t>
      </w:r>
    </w:p>
    <w:p w14:paraId="2F4FFDB4" w14:textId="77777777" w:rsidR="001D00C8" w:rsidRPr="001D00C8" w:rsidRDefault="001D00C8" w:rsidP="009F3EEB">
      <w:pPr>
        <w:spacing w:after="0" w:line="240" w:lineRule="auto"/>
        <w:ind w:firstLine="1134"/>
        <w:jc w:val="both"/>
        <w:rPr>
          <w:rFonts w:eastAsia="Arial Unicode MS"/>
          <w:bCs/>
          <w:color w:val="000000" w:themeColor="text1"/>
          <w:sz w:val="20"/>
        </w:rPr>
      </w:pPr>
      <w:r w:rsidRPr="001D00C8">
        <w:rPr>
          <w:rFonts w:eastAsia="Arial Unicode MS"/>
          <w:bCs/>
          <w:color w:val="000000" w:themeColor="text1"/>
          <w:sz w:val="20"/>
        </w:rPr>
        <w:t xml:space="preserve">d) </w:t>
      </w:r>
      <w:r w:rsidRPr="001D00C8">
        <w:rPr>
          <w:rFonts w:eastAsia="Arial Unicode MS"/>
          <w:b/>
          <w:bCs/>
          <w:color w:val="000000" w:themeColor="text1"/>
          <w:sz w:val="20"/>
        </w:rPr>
        <w:t>Cronograma Físico-Financeiro</w:t>
      </w:r>
      <w:r w:rsidRPr="001D00C8">
        <w:rPr>
          <w:rFonts w:eastAsia="Arial Unicode MS"/>
          <w:bCs/>
          <w:color w:val="000000" w:themeColor="text1"/>
          <w:sz w:val="20"/>
        </w:rPr>
        <w:t xml:space="preserve"> – programação que relaciona a execução dos serviços com os respectivos desembolsos ao longo do tempo;</w:t>
      </w:r>
    </w:p>
    <w:p w14:paraId="2AC4AED2" w14:textId="77777777" w:rsidR="001D00C8" w:rsidRPr="001D00C8" w:rsidRDefault="001D00C8" w:rsidP="009F3EEB">
      <w:pPr>
        <w:spacing w:after="0" w:line="240" w:lineRule="auto"/>
        <w:ind w:firstLine="1134"/>
        <w:jc w:val="both"/>
        <w:rPr>
          <w:rFonts w:eastAsia="Arial Unicode MS"/>
          <w:bCs/>
          <w:color w:val="000000" w:themeColor="text1"/>
          <w:sz w:val="20"/>
        </w:rPr>
      </w:pPr>
      <w:r w:rsidRPr="001D00C8">
        <w:rPr>
          <w:rFonts w:eastAsia="Arial Unicode MS"/>
          <w:bCs/>
          <w:color w:val="000000" w:themeColor="text1"/>
          <w:sz w:val="20"/>
        </w:rPr>
        <w:t xml:space="preserve">e) </w:t>
      </w:r>
      <w:r w:rsidRPr="001D00C8">
        <w:rPr>
          <w:rFonts w:eastAsia="Arial Unicode MS"/>
          <w:b/>
          <w:bCs/>
          <w:color w:val="000000" w:themeColor="text1"/>
          <w:sz w:val="20"/>
        </w:rPr>
        <w:t>Planilha de Levantamento de Quantidades e/ou Memória de Cálculo</w:t>
      </w:r>
      <w:r w:rsidRPr="001D00C8">
        <w:rPr>
          <w:rFonts w:eastAsia="Arial Unicode MS"/>
          <w:bCs/>
          <w:color w:val="000000" w:themeColor="text1"/>
          <w:sz w:val="20"/>
        </w:rPr>
        <w:t xml:space="preserve"> – registro que discrimina as quantidades de materiais, serviços e insumos necessários à execução do objeto;</w:t>
      </w:r>
    </w:p>
    <w:p w14:paraId="56736C41" w14:textId="77777777" w:rsidR="001D00C8" w:rsidRPr="001D00C8" w:rsidRDefault="001D00C8" w:rsidP="009F3EEB">
      <w:pPr>
        <w:spacing w:after="0" w:line="240" w:lineRule="auto"/>
        <w:ind w:firstLine="1134"/>
        <w:jc w:val="both"/>
        <w:rPr>
          <w:rFonts w:eastAsia="Arial Unicode MS"/>
          <w:bCs/>
          <w:color w:val="000000" w:themeColor="text1"/>
          <w:sz w:val="20"/>
        </w:rPr>
      </w:pPr>
      <w:r w:rsidRPr="001D00C8">
        <w:rPr>
          <w:rFonts w:eastAsia="Arial Unicode MS"/>
          <w:bCs/>
          <w:color w:val="000000" w:themeColor="text1"/>
          <w:sz w:val="20"/>
        </w:rPr>
        <w:t xml:space="preserve">f) </w:t>
      </w:r>
      <w:r w:rsidRPr="001D00C8">
        <w:rPr>
          <w:rFonts w:eastAsia="Arial Unicode MS"/>
          <w:b/>
          <w:bCs/>
          <w:color w:val="000000" w:themeColor="text1"/>
          <w:sz w:val="20"/>
        </w:rPr>
        <w:t>Cotações</w:t>
      </w:r>
      <w:r w:rsidRPr="001D00C8">
        <w:rPr>
          <w:rFonts w:eastAsia="Arial Unicode MS"/>
          <w:bCs/>
          <w:color w:val="000000" w:themeColor="text1"/>
          <w:sz w:val="20"/>
        </w:rPr>
        <w:t xml:space="preserve"> – pesquisas realizadas para aferir valores praticados por fornecedores, quando utilizadas na composição do orçamento;</w:t>
      </w:r>
    </w:p>
    <w:p w14:paraId="250CDBC5" w14:textId="77777777" w:rsidR="001D00C8" w:rsidRPr="001D00C8" w:rsidRDefault="001D00C8" w:rsidP="009F3EEB">
      <w:pPr>
        <w:spacing w:after="0" w:line="240" w:lineRule="auto"/>
        <w:ind w:firstLine="1134"/>
        <w:jc w:val="both"/>
        <w:rPr>
          <w:rFonts w:eastAsia="Arial Unicode MS"/>
          <w:bCs/>
          <w:color w:val="000000" w:themeColor="text1"/>
          <w:sz w:val="20"/>
        </w:rPr>
      </w:pPr>
      <w:r w:rsidRPr="001D00C8">
        <w:rPr>
          <w:rFonts w:eastAsia="Arial Unicode MS"/>
          <w:bCs/>
          <w:color w:val="000000" w:themeColor="text1"/>
          <w:sz w:val="20"/>
        </w:rPr>
        <w:lastRenderedPageBreak/>
        <w:t xml:space="preserve">g) </w:t>
      </w:r>
      <w:r w:rsidRPr="001D00C8">
        <w:rPr>
          <w:rFonts w:eastAsia="Arial Unicode MS"/>
          <w:b/>
          <w:bCs/>
          <w:color w:val="000000" w:themeColor="text1"/>
          <w:sz w:val="20"/>
        </w:rPr>
        <w:t>Composições de Custos</w:t>
      </w:r>
      <w:r w:rsidRPr="001D00C8">
        <w:rPr>
          <w:rFonts w:eastAsia="Arial Unicode MS"/>
          <w:bCs/>
          <w:color w:val="000000" w:themeColor="text1"/>
          <w:sz w:val="20"/>
        </w:rPr>
        <w:t xml:space="preserve"> – detalhamento unitário dos insumos, mão de obra, equipamentos e produtividade utilizados para formação dos preços;</w:t>
      </w:r>
    </w:p>
    <w:p w14:paraId="7957EC74" w14:textId="77777777" w:rsidR="001D00C8" w:rsidRPr="001D00C8" w:rsidRDefault="001D00C8" w:rsidP="009F3EEB">
      <w:pPr>
        <w:spacing w:after="0" w:line="240" w:lineRule="auto"/>
        <w:ind w:firstLine="1134"/>
        <w:jc w:val="both"/>
        <w:rPr>
          <w:rFonts w:eastAsia="Arial Unicode MS"/>
          <w:bCs/>
          <w:color w:val="000000" w:themeColor="text1"/>
          <w:sz w:val="20"/>
        </w:rPr>
      </w:pPr>
      <w:r w:rsidRPr="001D00C8">
        <w:rPr>
          <w:rFonts w:eastAsia="Arial Unicode MS"/>
          <w:bCs/>
          <w:color w:val="000000" w:themeColor="text1"/>
          <w:sz w:val="20"/>
        </w:rPr>
        <w:t xml:space="preserve">h) </w:t>
      </w:r>
      <w:r w:rsidRPr="001D00C8">
        <w:rPr>
          <w:rFonts w:eastAsia="Arial Unicode MS"/>
          <w:b/>
          <w:bCs/>
          <w:color w:val="000000" w:themeColor="text1"/>
          <w:sz w:val="20"/>
        </w:rPr>
        <w:t>Tabela de Encargos Sociais</w:t>
      </w:r>
      <w:r w:rsidRPr="001D00C8">
        <w:rPr>
          <w:rFonts w:eastAsia="Arial Unicode MS"/>
          <w:bCs/>
          <w:color w:val="000000" w:themeColor="text1"/>
          <w:sz w:val="20"/>
        </w:rPr>
        <w:t xml:space="preserve"> – tabela com os percentuais de encargos incidentes sobre a mão de obra;</w:t>
      </w:r>
    </w:p>
    <w:p w14:paraId="3D1720D1" w14:textId="77777777" w:rsidR="001D00C8" w:rsidRPr="001D00C8" w:rsidRDefault="001D00C8" w:rsidP="009F3EEB">
      <w:pPr>
        <w:spacing w:after="0" w:line="240" w:lineRule="auto"/>
        <w:ind w:firstLine="1134"/>
        <w:jc w:val="both"/>
        <w:rPr>
          <w:rFonts w:eastAsia="Arial Unicode MS"/>
          <w:bCs/>
          <w:color w:val="000000" w:themeColor="text1"/>
          <w:sz w:val="20"/>
        </w:rPr>
      </w:pPr>
      <w:r w:rsidRPr="001D00C8">
        <w:rPr>
          <w:rFonts w:eastAsia="Arial Unicode MS"/>
          <w:bCs/>
          <w:color w:val="000000" w:themeColor="text1"/>
          <w:sz w:val="20"/>
        </w:rPr>
        <w:t xml:space="preserve">i) </w:t>
      </w:r>
      <w:r w:rsidRPr="001D00C8">
        <w:rPr>
          <w:rFonts w:eastAsia="Arial Unicode MS"/>
          <w:b/>
          <w:bCs/>
          <w:color w:val="000000" w:themeColor="text1"/>
          <w:sz w:val="20"/>
        </w:rPr>
        <w:t>Quadro de Composição do BDI – Benefícios e Despesas Indiretas</w:t>
      </w:r>
      <w:r w:rsidRPr="001D00C8">
        <w:rPr>
          <w:rFonts w:eastAsia="Arial Unicode MS"/>
          <w:bCs/>
          <w:color w:val="000000" w:themeColor="text1"/>
          <w:sz w:val="20"/>
        </w:rPr>
        <w:t xml:space="preserve"> – percentual aplicado para cobrir custos indiretos, tributos, riscos, despesas financeiras e margem operacional;</w:t>
      </w:r>
    </w:p>
    <w:p w14:paraId="3B52C360" w14:textId="77777777" w:rsidR="001D00C8" w:rsidRPr="001D00C8" w:rsidRDefault="001D00C8" w:rsidP="009F3EEB">
      <w:pPr>
        <w:spacing w:after="0" w:line="240" w:lineRule="auto"/>
        <w:ind w:firstLine="1134"/>
        <w:jc w:val="both"/>
        <w:rPr>
          <w:rFonts w:eastAsia="Arial Unicode MS"/>
          <w:bCs/>
          <w:color w:val="000000" w:themeColor="text1"/>
          <w:sz w:val="20"/>
        </w:rPr>
      </w:pPr>
      <w:r w:rsidRPr="001D00C8">
        <w:rPr>
          <w:rFonts w:eastAsia="Arial Unicode MS"/>
          <w:bCs/>
          <w:color w:val="000000" w:themeColor="text1"/>
          <w:sz w:val="20"/>
        </w:rPr>
        <w:t xml:space="preserve">j) </w:t>
      </w:r>
      <w:r w:rsidRPr="001D00C8">
        <w:rPr>
          <w:rFonts w:eastAsia="Arial Unicode MS"/>
          <w:b/>
          <w:bCs/>
          <w:color w:val="000000" w:themeColor="text1"/>
          <w:sz w:val="20"/>
        </w:rPr>
        <w:t>Estudo Topográfico/Levantamento Planialtimétrico</w:t>
      </w:r>
      <w:r w:rsidRPr="001D00C8">
        <w:rPr>
          <w:rFonts w:eastAsia="Arial Unicode MS"/>
          <w:bCs/>
          <w:color w:val="000000" w:themeColor="text1"/>
          <w:sz w:val="20"/>
        </w:rPr>
        <w:t xml:space="preserve"> – levantamento altimétrico, planimétrico e demais dados de campo necessários à definição das cotas, declividades, traçado e implantação da drenagem;</w:t>
      </w:r>
    </w:p>
    <w:p w14:paraId="5FE9C6EE" w14:textId="77777777" w:rsidR="009F3EEB" w:rsidRDefault="001D00C8" w:rsidP="009F3EEB">
      <w:pPr>
        <w:spacing w:after="0" w:line="240" w:lineRule="auto"/>
        <w:ind w:firstLine="1134"/>
        <w:jc w:val="both"/>
        <w:rPr>
          <w:rFonts w:eastAsia="Arial Unicode MS"/>
          <w:bCs/>
          <w:color w:val="000000" w:themeColor="text1"/>
          <w:sz w:val="20"/>
        </w:rPr>
      </w:pPr>
      <w:r w:rsidRPr="001D00C8">
        <w:rPr>
          <w:rFonts w:eastAsia="Arial Unicode MS"/>
          <w:bCs/>
          <w:color w:val="000000" w:themeColor="text1"/>
          <w:sz w:val="20"/>
        </w:rPr>
        <w:t xml:space="preserve">k) </w:t>
      </w:r>
      <w:r w:rsidRPr="001D00C8">
        <w:rPr>
          <w:rFonts w:eastAsia="Arial Unicode MS"/>
          <w:b/>
          <w:bCs/>
          <w:color w:val="000000" w:themeColor="text1"/>
          <w:sz w:val="20"/>
        </w:rPr>
        <w:t>Estudo Hidrológico e/ou Dimensionamento Hidráulico</w:t>
      </w:r>
      <w:r w:rsidRPr="001D00C8">
        <w:rPr>
          <w:rFonts w:eastAsia="Arial Unicode MS"/>
          <w:bCs/>
          <w:color w:val="000000" w:themeColor="text1"/>
          <w:sz w:val="20"/>
        </w:rPr>
        <w:t xml:space="preserve"> – levantamento de informações relativas às bacias de contribuição, vazões, pontos de lançamento, arroios, córregos, sistema de escoamento pluvial e dimensionamento dos dispositivos de drenagem;</w:t>
      </w:r>
    </w:p>
    <w:p w14:paraId="1C6F9DD1" w14:textId="77777777" w:rsidR="009F3EEB" w:rsidRDefault="009F3EEB" w:rsidP="009F3EEB">
      <w:pPr>
        <w:spacing w:after="0" w:line="240" w:lineRule="auto"/>
        <w:ind w:firstLine="1134"/>
        <w:jc w:val="both"/>
        <w:rPr>
          <w:rFonts w:eastAsia="Arial Unicode MS"/>
          <w:bCs/>
          <w:color w:val="000000" w:themeColor="text1"/>
          <w:sz w:val="20"/>
        </w:rPr>
      </w:pPr>
      <w:r>
        <w:rPr>
          <w:rFonts w:eastAsia="Arial Unicode MS"/>
          <w:bCs/>
          <w:color w:val="000000" w:themeColor="text1"/>
          <w:sz w:val="20"/>
        </w:rPr>
        <w:t xml:space="preserve">l) </w:t>
      </w:r>
      <w:r w:rsidR="001D00C8" w:rsidRPr="001D00C8">
        <w:rPr>
          <w:rFonts w:eastAsia="Arial Unicode MS"/>
          <w:bCs/>
          <w:color w:val="000000" w:themeColor="text1"/>
          <w:sz w:val="20"/>
        </w:rPr>
        <w:t xml:space="preserve">Termo de Referência/Projeto Básico; </w:t>
      </w:r>
    </w:p>
    <w:p w14:paraId="03D10531" w14:textId="77777777" w:rsidR="009F3EEB" w:rsidRDefault="009F3EEB" w:rsidP="009F3EEB">
      <w:pPr>
        <w:spacing w:after="0" w:line="240" w:lineRule="auto"/>
        <w:ind w:firstLine="1134"/>
        <w:jc w:val="both"/>
        <w:rPr>
          <w:rFonts w:eastAsia="Arial Unicode MS"/>
          <w:bCs/>
          <w:color w:val="000000" w:themeColor="text1"/>
          <w:sz w:val="20"/>
        </w:rPr>
      </w:pPr>
      <w:r>
        <w:rPr>
          <w:rFonts w:eastAsia="Arial Unicode MS"/>
          <w:bCs/>
          <w:color w:val="000000" w:themeColor="text1"/>
          <w:sz w:val="20"/>
        </w:rPr>
        <w:t xml:space="preserve">m) </w:t>
      </w:r>
      <w:r w:rsidR="001D00C8" w:rsidRPr="001D00C8">
        <w:rPr>
          <w:rFonts w:eastAsia="Arial Unicode MS"/>
          <w:bCs/>
          <w:color w:val="000000" w:themeColor="text1"/>
          <w:sz w:val="20"/>
        </w:rPr>
        <w:t xml:space="preserve">Matriz de Riscos; </w:t>
      </w:r>
    </w:p>
    <w:p w14:paraId="330D2C42" w14:textId="65ECCEE3" w:rsidR="001D00C8" w:rsidRDefault="009F3EEB" w:rsidP="009F3EEB">
      <w:pPr>
        <w:spacing w:after="0" w:line="240" w:lineRule="auto"/>
        <w:ind w:firstLine="1134"/>
        <w:jc w:val="both"/>
        <w:rPr>
          <w:rFonts w:eastAsia="Arial Unicode MS"/>
          <w:bCs/>
          <w:color w:val="000000" w:themeColor="text1"/>
          <w:sz w:val="20"/>
        </w:rPr>
      </w:pPr>
      <w:r>
        <w:rPr>
          <w:rFonts w:eastAsia="Arial Unicode MS"/>
          <w:bCs/>
          <w:color w:val="000000" w:themeColor="text1"/>
          <w:sz w:val="20"/>
        </w:rPr>
        <w:t xml:space="preserve">n) </w:t>
      </w:r>
      <w:r w:rsidR="001D00C8" w:rsidRPr="001D00C8">
        <w:rPr>
          <w:rFonts w:eastAsia="Arial Unicode MS"/>
          <w:bCs/>
          <w:color w:val="000000" w:themeColor="text1"/>
          <w:sz w:val="20"/>
        </w:rPr>
        <w:t>ARTs/RRTs dos projetos, orçamento e demais responsabilidades técnicas correspondentes, quando aplicáveis;</w:t>
      </w:r>
    </w:p>
    <w:p w14:paraId="1B67ADD4" w14:textId="21804EF1" w:rsidR="001D00C8" w:rsidRDefault="009F3EEB" w:rsidP="009F3EEB">
      <w:pPr>
        <w:spacing w:after="0" w:line="240" w:lineRule="auto"/>
        <w:ind w:firstLine="1134"/>
        <w:jc w:val="both"/>
        <w:rPr>
          <w:rFonts w:eastAsia="Arial Unicode MS"/>
          <w:bCs/>
          <w:color w:val="000000" w:themeColor="text1"/>
          <w:sz w:val="20"/>
        </w:rPr>
      </w:pPr>
      <w:r>
        <w:rPr>
          <w:rFonts w:eastAsia="Arial Unicode MS"/>
          <w:bCs/>
          <w:color w:val="000000" w:themeColor="text1"/>
          <w:sz w:val="20"/>
        </w:rPr>
        <w:t xml:space="preserve">o) </w:t>
      </w:r>
      <w:r w:rsidR="001D00C8" w:rsidRPr="001D00C8">
        <w:rPr>
          <w:rFonts w:eastAsia="Arial Unicode MS"/>
          <w:bCs/>
          <w:color w:val="000000" w:themeColor="text1"/>
          <w:sz w:val="20"/>
        </w:rPr>
        <w:t>Demais documentos técnicos, administrativos, ambientais e financeiros necessários à instrução do procedimento licitatório e à prestação de contas do Convênio FPE nº 2014/2026.</w:t>
      </w:r>
    </w:p>
    <w:p w14:paraId="7C5CEF71" w14:textId="77777777" w:rsidR="001D00C8" w:rsidRPr="001D00C8" w:rsidRDefault="001D00C8" w:rsidP="001D00C8">
      <w:pPr>
        <w:spacing w:after="0" w:line="240" w:lineRule="auto"/>
        <w:ind w:left="720"/>
        <w:jc w:val="both"/>
        <w:rPr>
          <w:rFonts w:eastAsia="Arial Unicode MS"/>
          <w:bCs/>
          <w:color w:val="000000" w:themeColor="text1"/>
          <w:sz w:val="20"/>
        </w:rPr>
      </w:pPr>
    </w:p>
    <w:p w14:paraId="2BE01E8E" w14:textId="0A6DFE29" w:rsidR="006E786C" w:rsidRPr="00EF52E1" w:rsidRDefault="006E786C" w:rsidP="00E16BA6">
      <w:pPr>
        <w:spacing w:after="0" w:line="240" w:lineRule="auto"/>
        <w:jc w:val="both"/>
        <w:rPr>
          <w:rFonts w:eastAsia="Arial Unicode MS"/>
          <w:b/>
          <w:color w:val="000000" w:themeColor="text1"/>
          <w:sz w:val="20"/>
        </w:rPr>
      </w:pPr>
      <w:r w:rsidRPr="00EF52E1">
        <w:rPr>
          <w:rFonts w:eastAsia="Arial Unicode MS" w:hint="eastAsia"/>
          <w:b/>
          <w:color w:val="000000" w:themeColor="text1"/>
          <w:sz w:val="20"/>
        </w:rPr>
        <w:t>1</w:t>
      </w:r>
      <w:r w:rsidR="00485CE0">
        <w:rPr>
          <w:rFonts w:eastAsia="Arial Unicode MS"/>
          <w:b/>
          <w:color w:val="000000" w:themeColor="text1"/>
          <w:sz w:val="20"/>
        </w:rPr>
        <w:t>6</w:t>
      </w:r>
      <w:r w:rsidRPr="00EF52E1">
        <w:rPr>
          <w:rFonts w:eastAsia="Arial Unicode MS" w:hint="eastAsia"/>
          <w:b/>
          <w:color w:val="000000" w:themeColor="text1"/>
          <w:sz w:val="20"/>
        </w:rPr>
        <w:t xml:space="preserve"> – RESPONSÁVE</w:t>
      </w:r>
      <w:r w:rsidR="00485CE0">
        <w:rPr>
          <w:rFonts w:eastAsia="Arial Unicode MS"/>
          <w:b/>
          <w:color w:val="000000" w:themeColor="text1"/>
          <w:sz w:val="20"/>
        </w:rPr>
        <w:t>IS</w:t>
      </w:r>
      <w:r w:rsidRPr="00EF52E1">
        <w:rPr>
          <w:rFonts w:eastAsia="Arial Unicode MS" w:hint="eastAsia"/>
          <w:b/>
          <w:color w:val="000000" w:themeColor="text1"/>
          <w:sz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835"/>
        <w:gridCol w:w="2861"/>
        <w:gridCol w:w="1669"/>
      </w:tblGrid>
      <w:tr w:rsidR="00EF52E1" w:rsidRPr="00B65696" w14:paraId="61DAEBAC" w14:textId="77777777" w:rsidTr="009C3746">
        <w:tc>
          <w:tcPr>
            <w:tcW w:w="1696" w:type="dxa"/>
            <w:vMerge w:val="restart"/>
            <w:vAlign w:val="center"/>
            <w:hideMark/>
          </w:tcPr>
          <w:p w14:paraId="5000F7FD" w14:textId="77777777" w:rsidR="00631D55" w:rsidRPr="00B65696" w:rsidRDefault="00631D55" w:rsidP="00E16BA6">
            <w:pPr>
              <w:spacing w:after="0" w:line="240" w:lineRule="auto"/>
              <w:jc w:val="center"/>
              <w:rPr>
                <w:rFonts w:eastAsia="Arial Unicode MS"/>
                <w:b/>
                <w:color w:val="000000" w:themeColor="text1"/>
                <w:sz w:val="18"/>
                <w:szCs w:val="18"/>
              </w:rPr>
            </w:pPr>
            <w:r w:rsidRPr="00B65696">
              <w:rPr>
                <w:rFonts w:eastAsia="Arial Unicode MS" w:hint="eastAsia"/>
                <w:b/>
                <w:color w:val="000000" w:themeColor="text1"/>
                <w:sz w:val="18"/>
                <w:szCs w:val="18"/>
              </w:rPr>
              <w:t>Responsáve</w:t>
            </w:r>
            <w:r w:rsidRPr="00B65696">
              <w:rPr>
                <w:rFonts w:eastAsia="Arial Unicode MS"/>
                <w:b/>
                <w:color w:val="000000" w:themeColor="text1"/>
                <w:sz w:val="18"/>
                <w:szCs w:val="18"/>
              </w:rPr>
              <w:t>is</w:t>
            </w:r>
            <w:r w:rsidRPr="00B65696">
              <w:rPr>
                <w:rFonts w:eastAsia="Arial Unicode MS" w:hint="eastAsia"/>
                <w:b/>
                <w:color w:val="000000" w:themeColor="text1"/>
                <w:sz w:val="18"/>
                <w:szCs w:val="18"/>
              </w:rPr>
              <w:t xml:space="preserve"> pelo Estudo:</w:t>
            </w:r>
          </w:p>
        </w:tc>
        <w:tc>
          <w:tcPr>
            <w:tcW w:w="2835" w:type="dxa"/>
            <w:vAlign w:val="center"/>
          </w:tcPr>
          <w:p w14:paraId="50368CE9" w14:textId="4C825996" w:rsidR="00631D55" w:rsidRPr="00B65696" w:rsidRDefault="00957AFA" w:rsidP="00E16BA6">
            <w:pPr>
              <w:spacing w:after="0" w:line="240" w:lineRule="auto"/>
              <w:jc w:val="center"/>
              <w:rPr>
                <w:rFonts w:eastAsia="Arial Unicode MS"/>
                <w:bCs/>
                <w:color w:val="000000" w:themeColor="text1"/>
                <w:sz w:val="18"/>
                <w:szCs w:val="18"/>
              </w:rPr>
            </w:pPr>
            <w:r w:rsidRPr="00B65696">
              <w:rPr>
                <w:rFonts w:eastAsia="Arial Unicode MS"/>
                <w:bCs/>
                <w:color w:val="000000" w:themeColor="text1"/>
                <w:sz w:val="18"/>
                <w:szCs w:val="18"/>
              </w:rPr>
              <w:t>Vanessa</w:t>
            </w:r>
            <w:r w:rsidR="001D00C8" w:rsidRPr="00B65696">
              <w:rPr>
                <w:rFonts w:eastAsia="Arial Unicode MS"/>
                <w:bCs/>
                <w:color w:val="000000" w:themeColor="text1"/>
                <w:sz w:val="18"/>
                <w:szCs w:val="18"/>
              </w:rPr>
              <w:t xml:space="preserve"> Becker de Vargas</w:t>
            </w:r>
          </w:p>
        </w:tc>
        <w:tc>
          <w:tcPr>
            <w:tcW w:w="2861" w:type="dxa"/>
            <w:vAlign w:val="center"/>
          </w:tcPr>
          <w:p w14:paraId="57C8A4FA" w14:textId="1C90E341" w:rsidR="00631D55" w:rsidRPr="00B65696" w:rsidRDefault="001D00C8" w:rsidP="00E16BA6">
            <w:pPr>
              <w:spacing w:after="0" w:line="240" w:lineRule="auto"/>
              <w:jc w:val="center"/>
              <w:rPr>
                <w:rFonts w:eastAsia="Arial Unicode MS"/>
                <w:bCs/>
                <w:color w:val="000000" w:themeColor="text1"/>
                <w:sz w:val="18"/>
                <w:szCs w:val="18"/>
              </w:rPr>
            </w:pPr>
            <w:r w:rsidRPr="00B65696">
              <w:rPr>
                <w:rFonts w:eastAsia="Arial Unicode MS"/>
                <w:bCs/>
                <w:color w:val="000000" w:themeColor="text1"/>
                <w:sz w:val="18"/>
                <w:szCs w:val="18"/>
              </w:rPr>
              <w:t>Chefe de Gabinete</w:t>
            </w:r>
          </w:p>
        </w:tc>
        <w:tc>
          <w:tcPr>
            <w:tcW w:w="1669" w:type="dxa"/>
            <w:vAlign w:val="center"/>
            <w:hideMark/>
          </w:tcPr>
          <w:p w14:paraId="476DFEF6" w14:textId="3391DAA1" w:rsidR="00631D55" w:rsidRPr="00B65696" w:rsidRDefault="00631D55" w:rsidP="00E16BA6">
            <w:pPr>
              <w:spacing w:after="0" w:line="240" w:lineRule="auto"/>
              <w:jc w:val="center"/>
              <w:rPr>
                <w:rFonts w:eastAsia="Arial Unicode MS"/>
                <w:bCs/>
                <w:color w:val="000000" w:themeColor="text1"/>
                <w:sz w:val="18"/>
                <w:szCs w:val="18"/>
              </w:rPr>
            </w:pPr>
            <w:r w:rsidRPr="00B65696">
              <w:rPr>
                <w:rFonts w:eastAsia="Arial Unicode MS" w:hint="eastAsia"/>
                <w:bCs/>
                <w:color w:val="000000" w:themeColor="text1"/>
                <w:sz w:val="18"/>
                <w:szCs w:val="18"/>
              </w:rPr>
              <w:t>Matr</w:t>
            </w:r>
            <w:r w:rsidRPr="00B65696">
              <w:rPr>
                <w:rFonts w:eastAsia="Arial Unicode MS"/>
                <w:bCs/>
                <w:color w:val="000000" w:themeColor="text1"/>
                <w:sz w:val="18"/>
                <w:szCs w:val="18"/>
              </w:rPr>
              <w:t>í</w:t>
            </w:r>
            <w:r w:rsidRPr="00B65696">
              <w:rPr>
                <w:rFonts w:eastAsia="Arial Unicode MS" w:hint="eastAsia"/>
                <w:bCs/>
                <w:color w:val="000000" w:themeColor="text1"/>
                <w:sz w:val="18"/>
                <w:szCs w:val="18"/>
              </w:rPr>
              <w:t xml:space="preserve">cula: </w:t>
            </w:r>
            <w:r w:rsidR="00957AFA" w:rsidRPr="00B65696">
              <w:rPr>
                <w:rFonts w:eastAsia="Arial Unicode MS"/>
                <w:bCs/>
                <w:color w:val="000000" w:themeColor="text1"/>
                <w:sz w:val="18"/>
                <w:szCs w:val="18"/>
              </w:rPr>
              <w:t>2030</w:t>
            </w:r>
          </w:p>
        </w:tc>
      </w:tr>
      <w:tr w:rsidR="00EF52E1" w:rsidRPr="00B65696" w14:paraId="289DE2B5" w14:textId="77777777" w:rsidTr="009C3746">
        <w:tc>
          <w:tcPr>
            <w:tcW w:w="1696" w:type="dxa"/>
            <w:vMerge/>
            <w:vAlign w:val="center"/>
          </w:tcPr>
          <w:p w14:paraId="26900A31" w14:textId="77777777" w:rsidR="00631D55" w:rsidRPr="00B65696" w:rsidRDefault="00631D55" w:rsidP="00E16BA6">
            <w:pPr>
              <w:spacing w:after="0" w:line="240" w:lineRule="auto"/>
              <w:jc w:val="center"/>
              <w:rPr>
                <w:rFonts w:eastAsia="Arial Unicode MS"/>
                <w:bCs/>
                <w:color w:val="000000" w:themeColor="text1"/>
                <w:sz w:val="18"/>
                <w:szCs w:val="18"/>
              </w:rPr>
            </w:pPr>
          </w:p>
        </w:tc>
        <w:tc>
          <w:tcPr>
            <w:tcW w:w="2835" w:type="dxa"/>
            <w:vAlign w:val="center"/>
          </w:tcPr>
          <w:p w14:paraId="7EE3B212" w14:textId="556954FE" w:rsidR="00631D55" w:rsidRPr="00B65696" w:rsidRDefault="001D00C8" w:rsidP="00E16BA6">
            <w:pPr>
              <w:spacing w:after="0" w:line="240" w:lineRule="auto"/>
              <w:jc w:val="center"/>
              <w:rPr>
                <w:rFonts w:eastAsia="Arial Unicode MS"/>
                <w:bCs/>
                <w:color w:val="000000" w:themeColor="text1"/>
                <w:sz w:val="18"/>
                <w:szCs w:val="18"/>
              </w:rPr>
            </w:pPr>
            <w:r w:rsidRPr="00B65696">
              <w:rPr>
                <w:rFonts w:eastAsia="Arial Unicode MS"/>
                <w:bCs/>
                <w:color w:val="000000" w:themeColor="text1"/>
                <w:sz w:val="18"/>
                <w:szCs w:val="18"/>
              </w:rPr>
              <w:t>Uéslei José Garcia</w:t>
            </w:r>
          </w:p>
        </w:tc>
        <w:tc>
          <w:tcPr>
            <w:tcW w:w="2861" w:type="dxa"/>
            <w:vAlign w:val="center"/>
          </w:tcPr>
          <w:p w14:paraId="00334631" w14:textId="6B534458" w:rsidR="00631D55" w:rsidRPr="00B65696" w:rsidRDefault="006A7D47" w:rsidP="00E16BA6">
            <w:pPr>
              <w:spacing w:after="0" w:line="240" w:lineRule="auto"/>
              <w:jc w:val="center"/>
              <w:rPr>
                <w:rFonts w:eastAsia="Arial Unicode MS"/>
                <w:bCs/>
                <w:color w:val="000000" w:themeColor="text1"/>
                <w:sz w:val="18"/>
                <w:szCs w:val="18"/>
              </w:rPr>
            </w:pPr>
            <w:r w:rsidRPr="00B65696">
              <w:rPr>
                <w:rFonts w:eastAsia="Arial Unicode MS"/>
                <w:bCs/>
                <w:color w:val="000000" w:themeColor="text1"/>
                <w:sz w:val="18"/>
                <w:szCs w:val="18"/>
              </w:rPr>
              <w:t xml:space="preserve">Chefe </w:t>
            </w:r>
            <w:r w:rsidR="001D00C8" w:rsidRPr="00B65696">
              <w:rPr>
                <w:rFonts w:eastAsia="Arial Unicode MS"/>
                <w:bCs/>
                <w:color w:val="000000" w:themeColor="text1"/>
                <w:sz w:val="18"/>
                <w:szCs w:val="18"/>
              </w:rPr>
              <w:t>do Setor de Compras</w:t>
            </w:r>
          </w:p>
        </w:tc>
        <w:tc>
          <w:tcPr>
            <w:tcW w:w="1669" w:type="dxa"/>
            <w:vAlign w:val="center"/>
          </w:tcPr>
          <w:p w14:paraId="4A187DC6" w14:textId="0882AC26" w:rsidR="00631D55" w:rsidRPr="00B65696" w:rsidRDefault="00631D55" w:rsidP="00E16BA6">
            <w:pPr>
              <w:spacing w:after="0" w:line="240" w:lineRule="auto"/>
              <w:jc w:val="center"/>
              <w:rPr>
                <w:rFonts w:eastAsia="Arial Unicode MS"/>
                <w:bCs/>
                <w:color w:val="000000" w:themeColor="text1"/>
                <w:sz w:val="18"/>
                <w:szCs w:val="18"/>
              </w:rPr>
            </w:pPr>
            <w:r w:rsidRPr="00B65696">
              <w:rPr>
                <w:rFonts w:eastAsia="Arial Unicode MS"/>
                <w:bCs/>
                <w:color w:val="000000" w:themeColor="text1"/>
                <w:sz w:val="18"/>
                <w:szCs w:val="18"/>
              </w:rPr>
              <w:t xml:space="preserve">Matrícula: </w:t>
            </w:r>
            <w:r w:rsidR="00527675" w:rsidRPr="00B65696">
              <w:rPr>
                <w:rFonts w:eastAsia="Arial Unicode MS"/>
                <w:bCs/>
                <w:color w:val="000000" w:themeColor="text1"/>
                <w:sz w:val="18"/>
                <w:szCs w:val="18"/>
              </w:rPr>
              <w:t>1449</w:t>
            </w:r>
          </w:p>
        </w:tc>
      </w:tr>
      <w:tr w:rsidR="009C3746" w:rsidRPr="00B65696" w14:paraId="2DFCC7D0" w14:textId="77777777" w:rsidTr="009C3746">
        <w:trPr>
          <w:trHeight w:val="70"/>
        </w:trPr>
        <w:tc>
          <w:tcPr>
            <w:tcW w:w="4531" w:type="dxa"/>
            <w:gridSpan w:val="2"/>
            <w:vAlign w:val="center"/>
            <w:hideMark/>
          </w:tcPr>
          <w:p w14:paraId="4C0F1072" w14:textId="708E460F" w:rsidR="0052336E" w:rsidRPr="00B65696" w:rsidRDefault="0052336E" w:rsidP="00E16BA6">
            <w:pPr>
              <w:spacing w:after="0" w:line="240" w:lineRule="auto"/>
              <w:jc w:val="center"/>
              <w:rPr>
                <w:rFonts w:eastAsia="Arial Unicode MS"/>
                <w:bCs/>
                <w:color w:val="000000" w:themeColor="text1"/>
                <w:sz w:val="18"/>
                <w:szCs w:val="18"/>
              </w:rPr>
            </w:pPr>
            <w:r w:rsidRPr="00B65696">
              <w:rPr>
                <w:rFonts w:eastAsia="Arial Unicode MS" w:hint="eastAsia"/>
                <w:bCs/>
                <w:color w:val="000000" w:themeColor="text1"/>
                <w:sz w:val="18"/>
                <w:szCs w:val="18"/>
              </w:rPr>
              <w:t>E</w:t>
            </w:r>
            <w:r w:rsidRPr="00B65696">
              <w:rPr>
                <w:rFonts w:eastAsia="Arial Unicode MS"/>
                <w:bCs/>
                <w:color w:val="000000" w:themeColor="text1"/>
                <w:sz w:val="18"/>
                <w:szCs w:val="18"/>
              </w:rPr>
              <w:t>-</w:t>
            </w:r>
            <w:r w:rsidRPr="00B65696">
              <w:rPr>
                <w:rFonts w:eastAsia="Arial Unicode MS" w:hint="eastAsia"/>
                <w:bCs/>
                <w:color w:val="000000" w:themeColor="text1"/>
                <w:sz w:val="18"/>
                <w:szCs w:val="18"/>
              </w:rPr>
              <w:t xml:space="preserve">mail: </w:t>
            </w:r>
            <w:hyperlink r:id="rId8" w:history="1">
              <w:r w:rsidR="00ED0FB6" w:rsidRPr="00B65696">
                <w:rPr>
                  <w:rStyle w:val="Hyperlink"/>
                  <w:rFonts w:eastAsia="Arial Unicode MS" w:hint="eastAsia"/>
                  <w:bCs/>
                  <w:sz w:val="18"/>
                  <w:szCs w:val="18"/>
                </w:rPr>
                <w:t>compras@paverama.rs.gov.br</w:t>
              </w:r>
            </w:hyperlink>
          </w:p>
        </w:tc>
        <w:tc>
          <w:tcPr>
            <w:tcW w:w="4530" w:type="dxa"/>
            <w:gridSpan w:val="2"/>
            <w:vAlign w:val="center"/>
          </w:tcPr>
          <w:p w14:paraId="78F6C552" w14:textId="77777777" w:rsidR="0052336E" w:rsidRPr="00B65696" w:rsidRDefault="0052336E" w:rsidP="00E16BA6">
            <w:pPr>
              <w:spacing w:after="0" w:line="240" w:lineRule="auto"/>
              <w:jc w:val="center"/>
              <w:rPr>
                <w:rFonts w:eastAsia="Arial Unicode MS"/>
                <w:bCs/>
                <w:color w:val="000000" w:themeColor="text1"/>
                <w:sz w:val="18"/>
                <w:szCs w:val="18"/>
              </w:rPr>
            </w:pPr>
            <w:r w:rsidRPr="00B65696">
              <w:rPr>
                <w:rFonts w:eastAsia="Arial Unicode MS" w:hint="eastAsia"/>
                <w:bCs/>
                <w:color w:val="000000" w:themeColor="text1"/>
                <w:sz w:val="18"/>
                <w:szCs w:val="18"/>
              </w:rPr>
              <w:t xml:space="preserve">Fone: </w:t>
            </w:r>
            <w:r w:rsidRPr="00B65696">
              <w:rPr>
                <w:rFonts w:eastAsia="Arial Unicode MS"/>
                <w:bCs/>
                <w:color w:val="000000" w:themeColor="text1"/>
                <w:sz w:val="18"/>
                <w:szCs w:val="18"/>
              </w:rPr>
              <w:t>(</w:t>
            </w:r>
            <w:r w:rsidRPr="00B65696">
              <w:rPr>
                <w:rFonts w:eastAsia="Arial Unicode MS" w:hint="eastAsia"/>
                <w:bCs/>
                <w:color w:val="000000" w:themeColor="text1"/>
                <w:sz w:val="18"/>
                <w:szCs w:val="18"/>
              </w:rPr>
              <w:t>51</w:t>
            </w:r>
            <w:r w:rsidRPr="00B65696">
              <w:rPr>
                <w:rFonts w:eastAsia="Arial Unicode MS"/>
                <w:bCs/>
                <w:color w:val="000000" w:themeColor="text1"/>
                <w:sz w:val="18"/>
                <w:szCs w:val="18"/>
              </w:rPr>
              <w:t>)</w:t>
            </w:r>
            <w:r w:rsidRPr="00B65696">
              <w:rPr>
                <w:rFonts w:eastAsia="Arial Unicode MS" w:hint="eastAsia"/>
                <w:bCs/>
                <w:color w:val="000000" w:themeColor="text1"/>
                <w:sz w:val="18"/>
                <w:szCs w:val="18"/>
              </w:rPr>
              <w:t xml:space="preserve"> 3761-1044</w:t>
            </w:r>
          </w:p>
        </w:tc>
      </w:tr>
    </w:tbl>
    <w:p w14:paraId="135AFF71" w14:textId="77777777" w:rsidR="00ED0FB6" w:rsidRDefault="00ED0FB6" w:rsidP="00E16BA6">
      <w:pPr>
        <w:spacing w:after="0" w:line="240" w:lineRule="auto"/>
        <w:jc w:val="center"/>
        <w:rPr>
          <w:rFonts w:eastAsia="Arial Unicode MS"/>
          <w:bCs/>
          <w:color w:val="000000" w:themeColor="text1"/>
          <w:sz w:val="20"/>
        </w:rPr>
      </w:pPr>
    </w:p>
    <w:p w14:paraId="0B3D7AC1" w14:textId="77777777" w:rsidR="009F4CCF" w:rsidRPr="00EF52E1" w:rsidRDefault="009F4CCF" w:rsidP="009F4CCF">
      <w:pPr>
        <w:spacing w:after="0" w:line="240" w:lineRule="auto"/>
        <w:ind w:firstLine="708"/>
        <w:jc w:val="both"/>
        <w:rPr>
          <w:rFonts w:eastAsia="Arial Unicode MS"/>
          <w:bCs/>
          <w:color w:val="000000" w:themeColor="text1"/>
          <w:sz w:val="20"/>
        </w:rPr>
      </w:pPr>
      <w:r w:rsidRPr="00EF52E1">
        <w:rPr>
          <w:rFonts w:eastAsia="Arial Unicode MS" w:hint="eastAsia"/>
          <w:bCs/>
          <w:color w:val="000000" w:themeColor="text1"/>
          <w:sz w:val="20"/>
        </w:rPr>
        <w:t>Realizadas as tarefas pertinentes ao ETP, encaminho o documento solicitando ciência e aprovação para posterior elaboração do Termo de Referência e/ou Projeto Básico.</w:t>
      </w:r>
    </w:p>
    <w:p w14:paraId="3507E734" w14:textId="77777777" w:rsidR="009F4CCF" w:rsidRDefault="009F4CCF" w:rsidP="00485CE0">
      <w:pPr>
        <w:spacing w:after="0" w:line="240" w:lineRule="auto"/>
        <w:rPr>
          <w:rFonts w:eastAsia="Arial Unicode MS"/>
          <w:bCs/>
          <w:color w:val="000000" w:themeColor="text1"/>
          <w:sz w:val="20"/>
        </w:rPr>
      </w:pPr>
    </w:p>
    <w:p w14:paraId="79143BCD" w14:textId="13349B5A" w:rsidR="006E786C" w:rsidRDefault="006E786C" w:rsidP="00E16BA6">
      <w:pPr>
        <w:spacing w:after="0" w:line="240" w:lineRule="auto"/>
        <w:jc w:val="center"/>
        <w:rPr>
          <w:rFonts w:eastAsia="Arial Unicode MS"/>
          <w:bCs/>
          <w:color w:val="000000" w:themeColor="text1"/>
          <w:sz w:val="20"/>
        </w:rPr>
      </w:pPr>
      <w:r w:rsidRPr="00EF52E1">
        <w:rPr>
          <w:rFonts w:eastAsia="Arial Unicode MS" w:hint="eastAsia"/>
          <w:bCs/>
          <w:color w:val="000000" w:themeColor="text1"/>
          <w:sz w:val="20"/>
        </w:rPr>
        <w:t xml:space="preserve">Paverama/RS, </w:t>
      </w:r>
      <w:r w:rsidR="00957AFA">
        <w:rPr>
          <w:rFonts w:eastAsia="Arial Unicode MS"/>
          <w:bCs/>
          <w:color w:val="000000" w:themeColor="text1"/>
          <w:sz w:val="20"/>
        </w:rPr>
        <w:t>02</w:t>
      </w:r>
      <w:r w:rsidR="006A7D47" w:rsidRPr="00EF52E1">
        <w:rPr>
          <w:rFonts w:eastAsia="Arial Unicode MS"/>
          <w:bCs/>
          <w:color w:val="000000" w:themeColor="text1"/>
          <w:sz w:val="20"/>
        </w:rPr>
        <w:t xml:space="preserve"> de </w:t>
      </w:r>
      <w:r w:rsidR="00957AFA">
        <w:rPr>
          <w:rFonts w:eastAsia="Arial Unicode MS"/>
          <w:bCs/>
          <w:color w:val="000000" w:themeColor="text1"/>
          <w:sz w:val="20"/>
        </w:rPr>
        <w:t xml:space="preserve">julho </w:t>
      </w:r>
      <w:r w:rsidR="006A7D47" w:rsidRPr="00EF52E1">
        <w:rPr>
          <w:rFonts w:eastAsia="Arial Unicode MS"/>
          <w:bCs/>
          <w:color w:val="000000" w:themeColor="text1"/>
          <w:sz w:val="20"/>
        </w:rPr>
        <w:t>de 2026.</w:t>
      </w:r>
    </w:p>
    <w:p w14:paraId="7944AE1C" w14:textId="77777777" w:rsidR="009F3EEB" w:rsidRDefault="009F3EEB" w:rsidP="00E16BA6">
      <w:pPr>
        <w:spacing w:after="0" w:line="240" w:lineRule="auto"/>
        <w:jc w:val="center"/>
        <w:rPr>
          <w:rFonts w:eastAsia="Arial Unicode MS"/>
          <w:bCs/>
          <w:color w:val="000000" w:themeColor="text1"/>
          <w:sz w:val="20"/>
        </w:rPr>
      </w:pPr>
    </w:p>
    <w:p w14:paraId="6481E075" w14:textId="77777777" w:rsidR="009F4CCF" w:rsidRPr="00EF52E1" w:rsidRDefault="009F4CCF" w:rsidP="00B65696">
      <w:pPr>
        <w:spacing w:after="0" w:line="240" w:lineRule="auto"/>
        <w:rPr>
          <w:rFonts w:eastAsia="Arial Unicode MS"/>
          <w:bCs/>
          <w:color w:val="000000" w:themeColor="text1"/>
          <w:sz w:val="20"/>
        </w:rPr>
      </w:pPr>
    </w:p>
    <w:p w14:paraId="48E9B126" w14:textId="77777777" w:rsidR="000175DE" w:rsidRPr="00EF52E1" w:rsidRDefault="000175DE" w:rsidP="009F4CCF">
      <w:pPr>
        <w:spacing w:after="0" w:line="240" w:lineRule="auto"/>
        <w:rPr>
          <w:rFonts w:eastAsia="Arial Unicode MS"/>
          <w:bCs/>
          <w:color w:val="000000" w:themeColor="text1"/>
          <w:sz w:val="20"/>
        </w:rPr>
      </w:pPr>
    </w:p>
    <w:p w14:paraId="0A4F23AD" w14:textId="77777777" w:rsidR="006A7D47" w:rsidRPr="00EF52E1" w:rsidRDefault="006A7D47" w:rsidP="00E16BA6">
      <w:pPr>
        <w:spacing w:after="0" w:line="240" w:lineRule="auto"/>
        <w:jc w:val="center"/>
        <w:rPr>
          <w:rFonts w:eastAsia="Arial Unicode MS"/>
          <w:b/>
          <w:color w:val="000000" w:themeColor="text1"/>
          <w:sz w:val="20"/>
        </w:rPr>
        <w:sectPr w:rsidR="006A7D47" w:rsidRPr="00EF52E1" w:rsidSect="00276039">
          <w:headerReference w:type="default" r:id="rId9"/>
          <w:footerReference w:type="default" r:id="rId10"/>
          <w:pgSz w:w="11906" w:h="16838"/>
          <w:pgMar w:top="2127" w:right="1134" w:bottom="1276" w:left="1701" w:header="709" w:footer="709" w:gutter="0"/>
          <w:cols w:space="708"/>
          <w:docGrid w:linePitch="360"/>
        </w:sectPr>
      </w:pPr>
    </w:p>
    <w:p w14:paraId="3FAD39F4" w14:textId="5F27973F" w:rsidR="006E786C" w:rsidRPr="00EF52E1" w:rsidRDefault="006E786C" w:rsidP="00E16BA6">
      <w:pPr>
        <w:spacing w:after="0" w:line="240" w:lineRule="auto"/>
        <w:jc w:val="center"/>
        <w:rPr>
          <w:rFonts w:eastAsia="Arial Unicode MS"/>
          <w:b/>
          <w:color w:val="000000" w:themeColor="text1"/>
          <w:sz w:val="20"/>
        </w:rPr>
      </w:pPr>
      <w:r w:rsidRPr="00EF52E1">
        <w:rPr>
          <w:rFonts w:eastAsia="Arial Unicode MS" w:hint="eastAsia"/>
          <w:b/>
          <w:color w:val="000000" w:themeColor="text1"/>
          <w:sz w:val="20"/>
        </w:rPr>
        <w:t>U</w:t>
      </w:r>
      <w:r w:rsidR="003449E4">
        <w:rPr>
          <w:rFonts w:eastAsia="Arial Unicode MS"/>
          <w:b/>
          <w:color w:val="000000" w:themeColor="text1"/>
          <w:sz w:val="20"/>
        </w:rPr>
        <w:t>É</w:t>
      </w:r>
      <w:r w:rsidRPr="00EF52E1">
        <w:rPr>
          <w:rFonts w:eastAsia="Arial Unicode MS" w:hint="eastAsia"/>
          <w:b/>
          <w:color w:val="000000" w:themeColor="text1"/>
          <w:sz w:val="20"/>
        </w:rPr>
        <w:t>SLEI JOSÉ GARCIA</w:t>
      </w:r>
    </w:p>
    <w:p w14:paraId="39E88EBD" w14:textId="41692606" w:rsidR="0052336E" w:rsidRPr="00EF52E1" w:rsidRDefault="006E786C" w:rsidP="009F4CCF">
      <w:pPr>
        <w:spacing w:after="0" w:line="240" w:lineRule="auto"/>
        <w:jc w:val="center"/>
        <w:rPr>
          <w:rFonts w:eastAsia="Arial Unicode MS"/>
          <w:b/>
          <w:color w:val="000000" w:themeColor="text1"/>
          <w:sz w:val="20"/>
        </w:rPr>
      </w:pPr>
      <w:r w:rsidRPr="00EF52E1">
        <w:rPr>
          <w:rFonts w:eastAsia="Arial Unicode MS" w:hint="eastAsia"/>
          <w:b/>
          <w:color w:val="000000" w:themeColor="text1"/>
          <w:sz w:val="20"/>
        </w:rPr>
        <w:t>CHEFE DO SETOR DE COMPRAS</w:t>
      </w:r>
    </w:p>
    <w:p w14:paraId="2CDA1EE7" w14:textId="35648B65" w:rsidR="0052336E" w:rsidRPr="00EF52E1" w:rsidRDefault="00CC0C9F" w:rsidP="00E16BA6">
      <w:pPr>
        <w:spacing w:after="0" w:line="240" w:lineRule="auto"/>
        <w:jc w:val="center"/>
        <w:rPr>
          <w:rFonts w:eastAsia="Arial Unicode MS"/>
          <w:b/>
          <w:color w:val="000000" w:themeColor="text1"/>
          <w:sz w:val="20"/>
        </w:rPr>
      </w:pPr>
      <w:r>
        <w:rPr>
          <w:rFonts w:eastAsia="Arial Unicode MS"/>
          <w:b/>
          <w:color w:val="000000" w:themeColor="text1"/>
          <w:sz w:val="20"/>
        </w:rPr>
        <w:t>VANESSA BECKER DE VARGAS</w:t>
      </w:r>
    </w:p>
    <w:p w14:paraId="2CB64ABC" w14:textId="77777777" w:rsidR="006A7D47" w:rsidRDefault="006A7D47" w:rsidP="006A7D47">
      <w:pPr>
        <w:spacing w:after="0" w:line="240" w:lineRule="auto"/>
        <w:jc w:val="center"/>
        <w:rPr>
          <w:rFonts w:eastAsia="Arial Unicode MS"/>
          <w:b/>
          <w:color w:val="000000" w:themeColor="text1"/>
          <w:sz w:val="20"/>
        </w:rPr>
      </w:pPr>
      <w:r w:rsidRPr="00EF52E1">
        <w:rPr>
          <w:rFonts w:eastAsia="Arial Unicode MS"/>
          <w:b/>
          <w:color w:val="000000" w:themeColor="text1"/>
          <w:sz w:val="20"/>
        </w:rPr>
        <w:t>CHEFE DE GABINET</w:t>
      </w:r>
      <w:r w:rsidR="00485CE0">
        <w:rPr>
          <w:rFonts w:eastAsia="Arial Unicode MS"/>
          <w:b/>
          <w:color w:val="000000" w:themeColor="text1"/>
          <w:sz w:val="20"/>
        </w:rPr>
        <w:t>E</w:t>
      </w:r>
    </w:p>
    <w:p w14:paraId="19184FC2" w14:textId="70E32B18" w:rsidR="009F3EEB" w:rsidRPr="00EF52E1" w:rsidRDefault="009F3EEB" w:rsidP="006A7D47">
      <w:pPr>
        <w:spacing w:after="0" w:line="240" w:lineRule="auto"/>
        <w:jc w:val="center"/>
        <w:rPr>
          <w:rFonts w:eastAsia="Arial Unicode MS"/>
          <w:bCs/>
          <w:color w:val="000000" w:themeColor="text1"/>
          <w:sz w:val="20"/>
        </w:rPr>
        <w:sectPr w:rsidR="009F3EEB" w:rsidRPr="00EF52E1" w:rsidSect="006A7D47">
          <w:type w:val="continuous"/>
          <w:pgSz w:w="11906" w:h="16838"/>
          <w:pgMar w:top="2127" w:right="1134" w:bottom="1560" w:left="1701" w:header="709" w:footer="709" w:gutter="0"/>
          <w:cols w:num="2" w:space="708"/>
          <w:docGrid w:linePitch="360"/>
        </w:sectPr>
      </w:pPr>
    </w:p>
    <w:tbl>
      <w:tblPr>
        <w:tblpPr w:leftFromText="141" w:rightFromText="141" w:vertAnchor="text" w:horzAnchor="margin" w:tblpY="59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1"/>
      </w:tblGrid>
      <w:tr w:rsidR="00CC0C9F" w:rsidRPr="00EF52E1" w14:paraId="4AF9356D" w14:textId="77777777" w:rsidTr="009F3EEB">
        <w:tc>
          <w:tcPr>
            <w:tcW w:w="9061" w:type="dxa"/>
            <w:tcBorders>
              <w:top w:val="single" w:sz="4" w:space="0" w:color="000000"/>
              <w:left w:val="single" w:sz="4" w:space="0" w:color="000000"/>
              <w:bottom w:val="single" w:sz="4" w:space="0" w:color="000000"/>
              <w:right w:val="single" w:sz="4" w:space="0" w:color="000000"/>
            </w:tcBorders>
          </w:tcPr>
          <w:p w14:paraId="5735D1FE" w14:textId="77777777" w:rsidR="00CC0C9F" w:rsidRPr="00EF52E1" w:rsidRDefault="00CC0C9F" w:rsidP="009F3EEB">
            <w:pPr>
              <w:spacing w:after="0" w:line="240" w:lineRule="auto"/>
              <w:jc w:val="center"/>
              <w:rPr>
                <w:rFonts w:eastAsia="Arial Unicode MS"/>
                <w:bCs/>
                <w:color w:val="000000" w:themeColor="text1"/>
                <w:sz w:val="20"/>
              </w:rPr>
            </w:pPr>
          </w:p>
          <w:p w14:paraId="46C5DA09" w14:textId="77777777" w:rsidR="00CC0C9F" w:rsidRPr="00CC0C9F" w:rsidRDefault="00CC0C9F" w:rsidP="009F3EEB">
            <w:pPr>
              <w:spacing w:after="0" w:line="240" w:lineRule="auto"/>
              <w:jc w:val="center"/>
              <w:rPr>
                <w:rFonts w:eastAsia="Arial Unicode MS"/>
                <w:b/>
                <w:color w:val="000000" w:themeColor="text1"/>
                <w:sz w:val="18"/>
                <w:szCs w:val="18"/>
              </w:rPr>
            </w:pPr>
            <w:r w:rsidRPr="00CC0C9F">
              <w:rPr>
                <w:rFonts w:eastAsia="Arial Unicode MS"/>
                <w:b/>
                <w:color w:val="000000" w:themeColor="text1"/>
                <w:sz w:val="18"/>
                <w:szCs w:val="18"/>
              </w:rPr>
              <w:t>SECRETARIA MUNICIPAL DE ADMINISTRAÇÃO, FAZENDA E PLANEJAMENTO</w:t>
            </w:r>
          </w:p>
          <w:p w14:paraId="2F4A602A" w14:textId="77777777" w:rsidR="00CC0C9F" w:rsidRPr="00CC0C9F" w:rsidRDefault="00CC0C9F" w:rsidP="009F3EEB">
            <w:pPr>
              <w:spacing w:after="0" w:line="240" w:lineRule="auto"/>
              <w:ind w:firstLine="709"/>
              <w:rPr>
                <w:rFonts w:eastAsia="Arial Unicode MS"/>
                <w:bCs/>
                <w:color w:val="000000" w:themeColor="text1"/>
                <w:sz w:val="18"/>
                <w:szCs w:val="18"/>
              </w:rPr>
            </w:pPr>
            <w:r w:rsidRPr="00CC0C9F">
              <w:rPr>
                <w:rFonts w:eastAsia="Arial Unicode MS" w:hint="eastAsia"/>
                <w:bCs/>
                <w:color w:val="000000" w:themeColor="text1"/>
                <w:sz w:val="18"/>
                <w:szCs w:val="18"/>
              </w:rPr>
              <w:t>Parecer conclusivo de ciência e aprovação:</w:t>
            </w:r>
          </w:p>
          <w:p w14:paraId="5357FD61" w14:textId="77777777" w:rsidR="00CC0C9F" w:rsidRPr="00CC0C9F" w:rsidRDefault="00CC0C9F" w:rsidP="009F3EEB">
            <w:pPr>
              <w:spacing w:after="0" w:line="240" w:lineRule="auto"/>
              <w:ind w:firstLine="1156"/>
              <w:rPr>
                <w:rFonts w:eastAsia="Arial Unicode MS"/>
                <w:bCs/>
                <w:color w:val="000000" w:themeColor="text1"/>
                <w:sz w:val="18"/>
                <w:szCs w:val="18"/>
              </w:rPr>
            </w:pPr>
            <w:r w:rsidRPr="00CC0C9F">
              <w:rPr>
                <w:rFonts w:eastAsia="Arial Unicode MS" w:hint="eastAsia"/>
                <w:bCs/>
                <w:color w:val="000000" w:themeColor="text1"/>
                <w:sz w:val="18"/>
                <w:szCs w:val="18"/>
              </w:rPr>
              <w:t>(    ) Defiro; ou</w:t>
            </w:r>
          </w:p>
          <w:p w14:paraId="71A04F12" w14:textId="77777777" w:rsidR="00CC0C9F" w:rsidRPr="00CC0C9F" w:rsidRDefault="00CC0C9F" w:rsidP="009F3EEB">
            <w:pPr>
              <w:spacing w:after="0" w:line="240" w:lineRule="auto"/>
              <w:ind w:firstLine="1156"/>
              <w:rPr>
                <w:rFonts w:eastAsia="Arial Unicode MS"/>
                <w:bCs/>
                <w:color w:val="000000" w:themeColor="text1"/>
                <w:sz w:val="18"/>
                <w:szCs w:val="18"/>
              </w:rPr>
            </w:pPr>
            <w:r w:rsidRPr="00CC0C9F">
              <w:rPr>
                <w:rFonts w:eastAsia="Arial Unicode MS" w:hint="eastAsia"/>
                <w:bCs/>
                <w:color w:val="000000" w:themeColor="text1"/>
                <w:sz w:val="18"/>
                <w:szCs w:val="18"/>
              </w:rPr>
              <w:t>(    ) Indefiro</w:t>
            </w:r>
          </w:p>
          <w:p w14:paraId="2E0667C4" w14:textId="77777777" w:rsidR="00CC0C9F" w:rsidRPr="00CC0C9F" w:rsidRDefault="00CC0C9F" w:rsidP="009F3EEB">
            <w:pPr>
              <w:spacing w:after="0" w:line="240" w:lineRule="auto"/>
              <w:ind w:firstLine="709"/>
              <w:rPr>
                <w:rFonts w:eastAsia="Arial Unicode MS"/>
                <w:bCs/>
                <w:color w:val="000000" w:themeColor="text1"/>
                <w:sz w:val="18"/>
                <w:szCs w:val="18"/>
              </w:rPr>
            </w:pPr>
            <w:r w:rsidRPr="00CC0C9F">
              <w:rPr>
                <w:rFonts w:eastAsia="Arial Unicode MS" w:hint="eastAsia"/>
                <w:bCs/>
                <w:color w:val="000000" w:themeColor="text1"/>
                <w:sz w:val="18"/>
                <w:szCs w:val="18"/>
              </w:rPr>
              <w:t>Motivar: __________________________________________________________________</w:t>
            </w:r>
          </w:p>
          <w:p w14:paraId="46C7985A" w14:textId="77777777" w:rsidR="00CC0C9F" w:rsidRPr="00CC0C9F" w:rsidRDefault="00CC0C9F" w:rsidP="009F3EEB">
            <w:pPr>
              <w:spacing w:after="0" w:line="240" w:lineRule="auto"/>
              <w:jc w:val="center"/>
              <w:rPr>
                <w:rFonts w:eastAsia="Arial Unicode MS"/>
                <w:bCs/>
                <w:color w:val="000000" w:themeColor="text1"/>
                <w:sz w:val="18"/>
                <w:szCs w:val="18"/>
              </w:rPr>
            </w:pPr>
          </w:p>
          <w:p w14:paraId="722C9FD7" w14:textId="77777777" w:rsidR="00CC0C9F" w:rsidRPr="00CC0C9F" w:rsidRDefault="00CC0C9F" w:rsidP="009F3EEB">
            <w:pPr>
              <w:spacing w:after="0" w:line="240" w:lineRule="auto"/>
              <w:jc w:val="center"/>
              <w:rPr>
                <w:rFonts w:eastAsia="Arial Unicode MS"/>
                <w:bCs/>
                <w:color w:val="000000" w:themeColor="text1"/>
                <w:sz w:val="18"/>
                <w:szCs w:val="18"/>
              </w:rPr>
            </w:pPr>
            <w:r w:rsidRPr="00CC0C9F">
              <w:rPr>
                <w:rFonts w:eastAsia="Arial Unicode MS" w:hint="eastAsia"/>
                <w:bCs/>
                <w:color w:val="000000" w:themeColor="text1"/>
                <w:sz w:val="18"/>
                <w:szCs w:val="18"/>
              </w:rPr>
              <w:t xml:space="preserve">Paverama/RS, </w:t>
            </w:r>
            <w:r w:rsidRPr="00CC0C9F">
              <w:rPr>
                <w:rFonts w:eastAsia="Arial Unicode MS"/>
                <w:bCs/>
                <w:color w:val="000000" w:themeColor="text1"/>
                <w:sz w:val="18"/>
                <w:szCs w:val="18"/>
              </w:rPr>
              <w:t xml:space="preserve">02 </w:t>
            </w:r>
            <w:r w:rsidRPr="00CC0C9F">
              <w:rPr>
                <w:rFonts w:eastAsia="Arial Unicode MS" w:hint="eastAsia"/>
                <w:bCs/>
                <w:color w:val="000000" w:themeColor="text1"/>
                <w:sz w:val="18"/>
                <w:szCs w:val="18"/>
              </w:rPr>
              <w:t>de</w:t>
            </w:r>
            <w:r w:rsidRPr="00CC0C9F">
              <w:rPr>
                <w:rFonts w:eastAsia="Arial Unicode MS"/>
                <w:bCs/>
                <w:color w:val="000000" w:themeColor="text1"/>
                <w:sz w:val="18"/>
                <w:szCs w:val="18"/>
              </w:rPr>
              <w:t xml:space="preserve"> julho</w:t>
            </w:r>
            <w:r w:rsidRPr="00CC0C9F">
              <w:rPr>
                <w:rFonts w:eastAsia="Arial Unicode MS" w:hint="eastAsia"/>
                <w:bCs/>
                <w:color w:val="000000" w:themeColor="text1"/>
                <w:sz w:val="18"/>
                <w:szCs w:val="18"/>
              </w:rPr>
              <w:t xml:space="preserve"> de </w:t>
            </w:r>
            <w:r w:rsidRPr="00CC0C9F">
              <w:rPr>
                <w:rFonts w:eastAsia="Arial Unicode MS"/>
                <w:bCs/>
                <w:color w:val="000000" w:themeColor="text1"/>
                <w:sz w:val="18"/>
                <w:szCs w:val="18"/>
              </w:rPr>
              <w:t>2026.</w:t>
            </w:r>
          </w:p>
          <w:p w14:paraId="34FCF191" w14:textId="77777777" w:rsidR="00CC0C9F" w:rsidRDefault="00CC0C9F" w:rsidP="009F3EEB">
            <w:pPr>
              <w:widowControl w:val="0"/>
              <w:spacing w:after="0" w:line="240" w:lineRule="auto"/>
              <w:rPr>
                <w:rFonts w:eastAsia="Arial Unicode MS"/>
                <w:bCs/>
                <w:color w:val="000000" w:themeColor="text1"/>
                <w:sz w:val="18"/>
                <w:szCs w:val="18"/>
              </w:rPr>
            </w:pPr>
          </w:p>
          <w:p w14:paraId="3A90A38D" w14:textId="77777777" w:rsidR="009F3EEB" w:rsidRPr="00CC0C9F" w:rsidRDefault="009F3EEB" w:rsidP="009F3EEB">
            <w:pPr>
              <w:widowControl w:val="0"/>
              <w:spacing w:after="0" w:line="240" w:lineRule="auto"/>
              <w:rPr>
                <w:rFonts w:eastAsia="Arial Unicode MS"/>
                <w:bCs/>
                <w:color w:val="000000" w:themeColor="text1"/>
                <w:sz w:val="18"/>
                <w:szCs w:val="18"/>
              </w:rPr>
            </w:pPr>
          </w:p>
          <w:p w14:paraId="66CC2842" w14:textId="77777777" w:rsidR="00CC0C9F" w:rsidRPr="00CC0C9F" w:rsidRDefault="00CC0C9F" w:rsidP="009F3EEB">
            <w:pPr>
              <w:widowControl w:val="0"/>
              <w:spacing w:after="0" w:line="240" w:lineRule="auto"/>
              <w:rPr>
                <w:rFonts w:eastAsia="Arial Unicode MS"/>
                <w:bCs/>
                <w:color w:val="000000" w:themeColor="text1"/>
                <w:sz w:val="18"/>
                <w:szCs w:val="18"/>
              </w:rPr>
            </w:pPr>
          </w:p>
          <w:p w14:paraId="41314AFC" w14:textId="77777777" w:rsidR="00CC0C9F" w:rsidRPr="00CC0C9F" w:rsidRDefault="00CC0C9F" w:rsidP="009F3EEB">
            <w:pPr>
              <w:widowControl w:val="0"/>
              <w:spacing w:after="0" w:line="240" w:lineRule="auto"/>
              <w:jc w:val="center"/>
              <w:rPr>
                <w:rFonts w:eastAsia="Arial Unicode MS"/>
                <w:b/>
                <w:color w:val="000000" w:themeColor="text1"/>
                <w:sz w:val="18"/>
                <w:szCs w:val="18"/>
                <w:lang w:eastAsia="x-none"/>
              </w:rPr>
            </w:pPr>
            <w:r w:rsidRPr="00CC0C9F">
              <w:rPr>
                <w:rFonts w:eastAsia="Arial Unicode MS"/>
                <w:b/>
                <w:color w:val="000000" w:themeColor="text1"/>
                <w:sz w:val="18"/>
                <w:szCs w:val="18"/>
                <w:lang w:eastAsia="x-none"/>
              </w:rPr>
              <w:t>ALEXANDRE LUÍS KLEBER</w:t>
            </w:r>
          </w:p>
          <w:p w14:paraId="6E72C168" w14:textId="77777777" w:rsidR="00CC0C9F" w:rsidRDefault="00CC0C9F" w:rsidP="009F3EEB">
            <w:pPr>
              <w:widowControl w:val="0"/>
              <w:spacing w:after="0" w:line="240" w:lineRule="auto"/>
              <w:jc w:val="center"/>
              <w:rPr>
                <w:rFonts w:eastAsia="Arial Unicode MS"/>
                <w:b/>
                <w:color w:val="000000" w:themeColor="text1"/>
                <w:sz w:val="18"/>
                <w:szCs w:val="18"/>
                <w:lang w:eastAsia="x-none"/>
              </w:rPr>
            </w:pPr>
            <w:r w:rsidRPr="00CC0C9F">
              <w:rPr>
                <w:rFonts w:eastAsia="Arial Unicode MS"/>
                <w:b/>
                <w:color w:val="000000" w:themeColor="text1"/>
                <w:sz w:val="18"/>
                <w:szCs w:val="18"/>
                <w:lang w:eastAsia="x-none"/>
              </w:rPr>
              <w:t>Secretário Municipal de Administração, Fazenda e Planejamento</w:t>
            </w:r>
          </w:p>
          <w:p w14:paraId="1B168BAD" w14:textId="77777777" w:rsidR="009F3EEB" w:rsidRPr="00B65696" w:rsidRDefault="009F3EEB" w:rsidP="009F3EEB">
            <w:pPr>
              <w:widowControl w:val="0"/>
              <w:spacing w:after="0" w:line="240" w:lineRule="auto"/>
              <w:jc w:val="center"/>
              <w:rPr>
                <w:rFonts w:eastAsia="Arial Unicode MS"/>
                <w:b/>
                <w:color w:val="000000" w:themeColor="text1"/>
                <w:sz w:val="20"/>
                <w:lang w:eastAsia="x-none"/>
              </w:rPr>
            </w:pPr>
          </w:p>
        </w:tc>
      </w:tr>
    </w:tbl>
    <w:p w14:paraId="0DCBCC14" w14:textId="77777777" w:rsidR="00425779" w:rsidRPr="00EF52E1" w:rsidRDefault="00425779" w:rsidP="00E16BA6">
      <w:pPr>
        <w:widowControl w:val="0"/>
        <w:spacing w:after="0" w:line="240" w:lineRule="auto"/>
        <w:jc w:val="center"/>
        <w:rPr>
          <w:rFonts w:eastAsia="Arial Unicode MS"/>
          <w:bCs/>
          <w:color w:val="000000" w:themeColor="text1"/>
          <w:sz w:val="20"/>
          <w:u w:val="single"/>
          <w:lang w:eastAsia="x-none"/>
        </w:rPr>
      </w:pPr>
    </w:p>
    <w:p w14:paraId="6A354F1F" w14:textId="77777777" w:rsidR="00E16BA6" w:rsidRPr="00EF52E1" w:rsidRDefault="00E16BA6" w:rsidP="00B65696">
      <w:pPr>
        <w:spacing w:line="240" w:lineRule="auto"/>
        <w:rPr>
          <w:rFonts w:eastAsia="Arial Unicode MS"/>
          <w:bCs/>
          <w:color w:val="000000" w:themeColor="text1"/>
          <w:sz w:val="20"/>
        </w:rPr>
      </w:pPr>
    </w:p>
    <w:sectPr w:rsidR="00E16BA6" w:rsidRPr="00EF52E1" w:rsidSect="006A7D47">
      <w:type w:val="continuous"/>
      <w:pgSz w:w="11906" w:h="16838"/>
      <w:pgMar w:top="2127" w:right="1134" w:bottom="156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794B08" w14:textId="77777777" w:rsidR="00B31A81" w:rsidRDefault="00B31A81">
      <w:pPr>
        <w:spacing w:after="0" w:line="240" w:lineRule="auto"/>
      </w:pPr>
      <w:r>
        <w:separator/>
      </w:r>
    </w:p>
  </w:endnote>
  <w:endnote w:type="continuationSeparator" w:id="0">
    <w:p w14:paraId="3A2DC9FB" w14:textId="77777777" w:rsidR="00B31A81" w:rsidRDefault="00B31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FE6B8" w14:textId="77777777" w:rsidR="00CC2FEC" w:rsidRDefault="0007260B" w:rsidP="0052336E">
    <w:pPr>
      <w:pStyle w:val="Rodap"/>
      <w:tabs>
        <w:tab w:val="clear" w:pos="4252"/>
        <w:tab w:val="clear" w:pos="8504"/>
        <w:tab w:val="left" w:pos="3060"/>
      </w:tabs>
    </w:pPr>
    <w:r>
      <w:rPr>
        <w:noProof/>
      </w:rPr>
      <w:drawing>
        <wp:anchor distT="0" distB="0" distL="114300" distR="114300" simplePos="0" relativeHeight="251660288" behindDoc="1" locked="0" layoutInCell="1" allowOverlap="1" wp14:anchorId="419546D4" wp14:editId="58A0576C">
          <wp:simplePos x="0" y="0"/>
          <wp:positionH relativeFrom="page">
            <wp:align>center</wp:align>
          </wp:positionH>
          <wp:positionV relativeFrom="paragraph">
            <wp:posOffset>-26558</wp:posOffset>
          </wp:positionV>
          <wp:extent cx="4069977" cy="674309"/>
          <wp:effectExtent l="0" t="0" r="0" b="0"/>
          <wp:wrapNone/>
          <wp:docPr id="131761168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69977" cy="674309"/>
                  </a:xfrm>
                  <a:prstGeom prst="rect">
                    <a:avLst/>
                  </a:prstGeom>
                  <a:noFill/>
                </pic:spPr>
              </pic:pic>
            </a:graphicData>
          </a:graphic>
          <wp14:sizeRelH relativeFrom="page">
            <wp14:pctWidth>0</wp14:pctWidth>
          </wp14:sizeRelH>
          <wp14:sizeRelV relativeFrom="page">
            <wp14:pctHeight>0</wp14:pctHeight>
          </wp14:sizeRelV>
        </wp:anchor>
      </w:drawing>
    </w:r>
    <w:r w:rsidR="0052336E">
      <w:tab/>
    </w:r>
  </w:p>
  <w:p w14:paraId="4522FDD4" w14:textId="77777777" w:rsidR="00CC2FEC" w:rsidRDefault="00CC2FE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4434E1" w14:textId="77777777" w:rsidR="00B31A81" w:rsidRDefault="00B31A81">
      <w:pPr>
        <w:spacing w:after="0" w:line="240" w:lineRule="auto"/>
      </w:pPr>
      <w:r>
        <w:separator/>
      </w:r>
    </w:p>
  </w:footnote>
  <w:footnote w:type="continuationSeparator" w:id="0">
    <w:p w14:paraId="0265BB6A" w14:textId="77777777" w:rsidR="00B31A81" w:rsidRDefault="00B31A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7698B" w14:textId="77777777" w:rsidR="00CC2FEC" w:rsidRDefault="00CC2FEC">
    <w:pPr>
      <w:pStyle w:val="Cabealho"/>
    </w:pPr>
    <w:r>
      <w:rPr>
        <w:noProof/>
        <w:lang w:eastAsia="pt-BR"/>
      </w:rPr>
      <w:drawing>
        <wp:anchor distT="0" distB="0" distL="114300" distR="114300" simplePos="0" relativeHeight="251659264" behindDoc="1" locked="0" layoutInCell="1" allowOverlap="1" wp14:anchorId="60770188" wp14:editId="5082B637">
          <wp:simplePos x="0" y="0"/>
          <wp:positionH relativeFrom="margin">
            <wp:align>center</wp:align>
          </wp:positionH>
          <wp:positionV relativeFrom="paragraph">
            <wp:posOffset>-240030</wp:posOffset>
          </wp:positionV>
          <wp:extent cx="4381500" cy="981710"/>
          <wp:effectExtent l="0" t="0" r="0" b="8890"/>
          <wp:wrapNone/>
          <wp:docPr id="1317611685" name="Imagem 131761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1500" cy="981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D8E59E" w14:textId="77777777" w:rsidR="00CC2FEC" w:rsidRDefault="00CC2FE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3AACBA4"/>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D510FB"/>
    <w:multiLevelType w:val="multilevel"/>
    <w:tmpl w:val="6742E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505950"/>
    <w:multiLevelType w:val="multilevel"/>
    <w:tmpl w:val="35A450D4"/>
    <w:lvl w:ilvl="0">
      <w:start w:val="5"/>
      <w:numFmt w:val="decimal"/>
      <w:lvlText w:val="%1"/>
      <w:lvlJc w:val="left"/>
      <w:pPr>
        <w:ind w:left="360" w:hanging="360"/>
      </w:pPr>
      <w:rPr>
        <w:rFonts w:hint="default"/>
        <w:b/>
      </w:rPr>
    </w:lvl>
    <w:lvl w:ilvl="1">
      <w:start w:val="9"/>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57F64BC4"/>
    <w:multiLevelType w:val="multilevel"/>
    <w:tmpl w:val="BC6CF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8A5AEA"/>
    <w:multiLevelType w:val="multilevel"/>
    <w:tmpl w:val="195A1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AF21B13"/>
    <w:multiLevelType w:val="multilevel"/>
    <w:tmpl w:val="BADAA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0611BFD"/>
    <w:multiLevelType w:val="hybridMultilevel"/>
    <w:tmpl w:val="BC0A736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75131B73"/>
    <w:multiLevelType w:val="multilevel"/>
    <w:tmpl w:val="89028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AC7987"/>
    <w:multiLevelType w:val="multilevel"/>
    <w:tmpl w:val="0CDEF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50508964">
    <w:abstractNumId w:val="6"/>
  </w:num>
  <w:num w:numId="2" w16cid:durableId="2010596738">
    <w:abstractNumId w:val="4"/>
  </w:num>
  <w:num w:numId="3" w16cid:durableId="1140344382">
    <w:abstractNumId w:val="3"/>
  </w:num>
  <w:num w:numId="4" w16cid:durableId="2096589723">
    <w:abstractNumId w:val="1"/>
  </w:num>
  <w:num w:numId="5" w16cid:durableId="454983210">
    <w:abstractNumId w:val="5"/>
  </w:num>
  <w:num w:numId="6" w16cid:durableId="681202129">
    <w:abstractNumId w:val="2"/>
  </w:num>
  <w:num w:numId="7" w16cid:durableId="1815373773">
    <w:abstractNumId w:val="7"/>
  </w:num>
  <w:num w:numId="8" w16cid:durableId="658657751">
    <w:abstractNumId w:val="8"/>
  </w:num>
  <w:num w:numId="9" w16cid:durableId="4572650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2CA"/>
    <w:rsid w:val="00005532"/>
    <w:rsid w:val="000175DE"/>
    <w:rsid w:val="000254E2"/>
    <w:rsid w:val="00032CB4"/>
    <w:rsid w:val="000338E9"/>
    <w:rsid w:val="00037BAF"/>
    <w:rsid w:val="000505F2"/>
    <w:rsid w:val="000511A6"/>
    <w:rsid w:val="000648A3"/>
    <w:rsid w:val="0007260B"/>
    <w:rsid w:val="000829DF"/>
    <w:rsid w:val="00090D5F"/>
    <w:rsid w:val="00095AF3"/>
    <w:rsid w:val="000B12F1"/>
    <w:rsid w:val="000C79A4"/>
    <w:rsid w:val="000D11DB"/>
    <w:rsid w:val="000F457C"/>
    <w:rsid w:val="00124B8B"/>
    <w:rsid w:val="001252AF"/>
    <w:rsid w:val="00140BED"/>
    <w:rsid w:val="001433DA"/>
    <w:rsid w:val="00153773"/>
    <w:rsid w:val="00173EB2"/>
    <w:rsid w:val="00186683"/>
    <w:rsid w:val="001B28EE"/>
    <w:rsid w:val="001B2EEA"/>
    <w:rsid w:val="001C6612"/>
    <w:rsid w:val="001C786C"/>
    <w:rsid w:val="001D00C8"/>
    <w:rsid w:val="001D7A2D"/>
    <w:rsid w:val="001F0B91"/>
    <w:rsid w:val="00211225"/>
    <w:rsid w:val="00242D32"/>
    <w:rsid w:val="002451EC"/>
    <w:rsid w:val="00245F97"/>
    <w:rsid w:val="0024760C"/>
    <w:rsid w:val="00253DEF"/>
    <w:rsid w:val="0026309E"/>
    <w:rsid w:val="00266AE2"/>
    <w:rsid w:val="00275D93"/>
    <w:rsid w:val="00276039"/>
    <w:rsid w:val="00295590"/>
    <w:rsid w:val="002A64AC"/>
    <w:rsid w:val="002C0126"/>
    <w:rsid w:val="002E7B24"/>
    <w:rsid w:val="002F059C"/>
    <w:rsid w:val="002F11F4"/>
    <w:rsid w:val="002F758D"/>
    <w:rsid w:val="00313724"/>
    <w:rsid w:val="0032794E"/>
    <w:rsid w:val="00333358"/>
    <w:rsid w:val="00337414"/>
    <w:rsid w:val="0034161A"/>
    <w:rsid w:val="00344467"/>
    <w:rsid w:val="003449E4"/>
    <w:rsid w:val="00351B14"/>
    <w:rsid w:val="00390E17"/>
    <w:rsid w:val="00391F04"/>
    <w:rsid w:val="003933E4"/>
    <w:rsid w:val="00393F3F"/>
    <w:rsid w:val="003978C7"/>
    <w:rsid w:val="003A20BD"/>
    <w:rsid w:val="003A340B"/>
    <w:rsid w:val="003B1F7B"/>
    <w:rsid w:val="00400A77"/>
    <w:rsid w:val="004175C9"/>
    <w:rsid w:val="0042310F"/>
    <w:rsid w:val="00425779"/>
    <w:rsid w:val="00431396"/>
    <w:rsid w:val="004402A1"/>
    <w:rsid w:val="0045591F"/>
    <w:rsid w:val="0046337F"/>
    <w:rsid w:val="00485CE0"/>
    <w:rsid w:val="00486D6B"/>
    <w:rsid w:val="004979FD"/>
    <w:rsid w:val="004A0DDD"/>
    <w:rsid w:val="004D7505"/>
    <w:rsid w:val="004F1DEE"/>
    <w:rsid w:val="005074A0"/>
    <w:rsid w:val="005079FB"/>
    <w:rsid w:val="00517B65"/>
    <w:rsid w:val="0052336E"/>
    <w:rsid w:val="00527675"/>
    <w:rsid w:val="00532970"/>
    <w:rsid w:val="0053719A"/>
    <w:rsid w:val="00540062"/>
    <w:rsid w:val="005676AE"/>
    <w:rsid w:val="00575FBC"/>
    <w:rsid w:val="00595D67"/>
    <w:rsid w:val="005A2ED6"/>
    <w:rsid w:val="005B0162"/>
    <w:rsid w:val="005C0BB8"/>
    <w:rsid w:val="005C5607"/>
    <w:rsid w:val="005E1C0C"/>
    <w:rsid w:val="005E4F41"/>
    <w:rsid w:val="005E5775"/>
    <w:rsid w:val="005E7F2F"/>
    <w:rsid w:val="00601C03"/>
    <w:rsid w:val="00602B39"/>
    <w:rsid w:val="00631468"/>
    <w:rsid w:val="00631D55"/>
    <w:rsid w:val="00652924"/>
    <w:rsid w:val="00655D89"/>
    <w:rsid w:val="006634C5"/>
    <w:rsid w:val="006640C8"/>
    <w:rsid w:val="00676535"/>
    <w:rsid w:val="00680BEA"/>
    <w:rsid w:val="006A7D47"/>
    <w:rsid w:val="006B017F"/>
    <w:rsid w:val="006B01EB"/>
    <w:rsid w:val="006E633F"/>
    <w:rsid w:val="006E786C"/>
    <w:rsid w:val="006F00C8"/>
    <w:rsid w:val="00705053"/>
    <w:rsid w:val="00725A10"/>
    <w:rsid w:val="00733F97"/>
    <w:rsid w:val="00747719"/>
    <w:rsid w:val="007534F0"/>
    <w:rsid w:val="007714B8"/>
    <w:rsid w:val="007727A6"/>
    <w:rsid w:val="00794327"/>
    <w:rsid w:val="00795ECA"/>
    <w:rsid w:val="007C63E2"/>
    <w:rsid w:val="007D2FB8"/>
    <w:rsid w:val="00824996"/>
    <w:rsid w:val="008327CD"/>
    <w:rsid w:val="00851E42"/>
    <w:rsid w:val="00855977"/>
    <w:rsid w:val="00886F49"/>
    <w:rsid w:val="008A25A7"/>
    <w:rsid w:val="008A3835"/>
    <w:rsid w:val="008A4C70"/>
    <w:rsid w:val="008B00BF"/>
    <w:rsid w:val="008C59FA"/>
    <w:rsid w:val="008D1473"/>
    <w:rsid w:val="008F32AD"/>
    <w:rsid w:val="009076C2"/>
    <w:rsid w:val="00911E58"/>
    <w:rsid w:val="00916A86"/>
    <w:rsid w:val="009264B9"/>
    <w:rsid w:val="00931FFF"/>
    <w:rsid w:val="0094081F"/>
    <w:rsid w:val="00957AFA"/>
    <w:rsid w:val="00982FDC"/>
    <w:rsid w:val="009914EE"/>
    <w:rsid w:val="009A45E7"/>
    <w:rsid w:val="009B6FCB"/>
    <w:rsid w:val="009C130D"/>
    <w:rsid w:val="009C3746"/>
    <w:rsid w:val="009E0D8C"/>
    <w:rsid w:val="009F3EEB"/>
    <w:rsid w:val="009F4CCF"/>
    <w:rsid w:val="00A060D4"/>
    <w:rsid w:val="00A11551"/>
    <w:rsid w:val="00A3453C"/>
    <w:rsid w:val="00A56981"/>
    <w:rsid w:val="00A814C3"/>
    <w:rsid w:val="00AA3210"/>
    <w:rsid w:val="00AB1D36"/>
    <w:rsid w:val="00AB3C11"/>
    <w:rsid w:val="00AC3C00"/>
    <w:rsid w:val="00AC54FB"/>
    <w:rsid w:val="00AC7E05"/>
    <w:rsid w:val="00AD519C"/>
    <w:rsid w:val="00AF0695"/>
    <w:rsid w:val="00B0285E"/>
    <w:rsid w:val="00B14ECF"/>
    <w:rsid w:val="00B17D32"/>
    <w:rsid w:val="00B23088"/>
    <w:rsid w:val="00B31A81"/>
    <w:rsid w:val="00B46783"/>
    <w:rsid w:val="00B5393D"/>
    <w:rsid w:val="00B579C9"/>
    <w:rsid w:val="00B65696"/>
    <w:rsid w:val="00B81553"/>
    <w:rsid w:val="00B86484"/>
    <w:rsid w:val="00BA202F"/>
    <w:rsid w:val="00BB5D4D"/>
    <w:rsid w:val="00BC497D"/>
    <w:rsid w:val="00BD425B"/>
    <w:rsid w:val="00BD6FA5"/>
    <w:rsid w:val="00C00D5A"/>
    <w:rsid w:val="00C2365A"/>
    <w:rsid w:val="00C353F3"/>
    <w:rsid w:val="00C4718B"/>
    <w:rsid w:val="00C767AA"/>
    <w:rsid w:val="00C84007"/>
    <w:rsid w:val="00C9452A"/>
    <w:rsid w:val="00CA338C"/>
    <w:rsid w:val="00CA57F0"/>
    <w:rsid w:val="00CA6663"/>
    <w:rsid w:val="00CA7D61"/>
    <w:rsid w:val="00CB79EF"/>
    <w:rsid w:val="00CC0C9F"/>
    <w:rsid w:val="00CC2A6B"/>
    <w:rsid w:val="00CC2FEC"/>
    <w:rsid w:val="00CC77C0"/>
    <w:rsid w:val="00CC780A"/>
    <w:rsid w:val="00CD63BF"/>
    <w:rsid w:val="00CE6B9C"/>
    <w:rsid w:val="00D45F05"/>
    <w:rsid w:val="00D53D1E"/>
    <w:rsid w:val="00D569BA"/>
    <w:rsid w:val="00D70A66"/>
    <w:rsid w:val="00D76F99"/>
    <w:rsid w:val="00D772CA"/>
    <w:rsid w:val="00DA1A29"/>
    <w:rsid w:val="00DD2DED"/>
    <w:rsid w:val="00DE3FC8"/>
    <w:rsid w:val="00DE7945"/>
    <w:rsid w:val="00E069BF"/>
    <w:rsid w:val="00E11E43"/>
    <w:rsid w:val="00E16BA6"/>
    <w:rsid w:val="00E21276"/>
    <w:rsid w:val="00E21CD5"/>
    <w:rsid w:val="00E305F3"/>
    <w:rsid w:val="00E31DA2"/>
    <w:rsid w:val="00E430F2"/>
    <w:rsid w:val="00E4361E"/>
    <w:rsid w:val="00E55288"/>
    <w:rsid w:val="00E6249E"/>
    <w:rsid w:val="00E6668F"/>
    <w:rsid w:val="00E74D59"/>
    <w:rsid w:val="00E762DA"/>
    <w:rsid w:val="00E877DA"/>
    <w:rsid w:val="00EA150E"/>
    <w:rsid w:val="00ED0FB6"/>
    <w:rsid w:val="00EE2FAC"/>
    <w:rsid w:val="00EE6F4F"/>
    <w:rsid w:val="00EF52E1"/>
    <w:rsid w:val="00F04BF3"/>
    <w:rsid w:val="00F06D06"/>
    <w:rsid w:val="00F31E16"/>
    <w:rsid w:val="00F34CB8"/>
    <w:rsid w:val="00F430EC"/>
    <w:rsid w:val="00F436C4"/>
    <w:rsid w:val="00F46594"/>
    <w:rsid w:val="00F526D5"/>
    <w:rsid w:val="00F60AA2"/>
    <w:rsid w:val="00F62B74"/>
    <w:rsid w:val="00F640AA"/>
    <w:rsid w:val="00F67A4E"/>
    <w:rsid w:val="00F70529"/>
    <w:rsid w:val="00F8512A"/>
    <w:rsid w:val="00F85573"/>
    <w:rsid w:val="00F931ED"/>
    <w:rsid w:val="00FA0B37"/>
    <w:rsid w:val="00FA4C94"/>
    <w:rsid w:val="00FB2ACD"/>
    <w:rsid w:val="00FC3550"/>
    <w:rsid w:val="00FC67DF"/>
    <w:rsid w:val="00FC7AFE"/>
    <w:rsid w:val="00FE2E53"/>
    <w:rsid w:val="00FE2E87"/>
    <w:rsid w:val="00FF70B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E476BB"/>
  <w15:chartTrackingRefBased/>
  <w15:docId w15:val="{1FB07FDF-F23A-45FD-ADAB-BD955E337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Unicode MS" w:eastAsiaTheme="minorHAnsi" w:hAnsi="Arial Unicode MS" w:cs="Arial Unicode MS"/>
        <w:iCs/>
        <w:sz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772CA"/>
    <w:pPr>
      <w:tabs>
        <w:tab w:val="center" w:pos="4252"/>
        <w:tab w:val="right" w:pos="8504"/>
      </w:tabs>
      <w:spacing w:after="0" w:line="240" w:lineRule="auto"/>
    </w:pPr>
    <w:rPr>
      <w:rFonts w:ascii="Calibri" w:eastAsia="Calibri" w:hAnsi="Calibri" w:cs="Times New Roman"/>
      <w:iCs w:val="0"/>
      <w:szCs w:val="22"/>
    </w:rPr>
  </w:style>
  <w:style w:type="character" w:customStyle="1" w:styleId="CabealhoChar">
    <w:name w:val="Cabeçalho Char"/>
    <w:basedOn w:val="Fontepargpadro"/>
    <w:link w:val="Cabealho"/>
    <w:uiPriority w:val="99"/>
    <w:rsid w:val="00D772CA"/>
    <w:rPr>
      <w:rFonts w:ascii="Calibri" w:eastAsia="Calibri" w:hAnsi="Calibri" w:cs="Times New Roman"/>
      <w:iCs w:val="0"/>
      <w:szCs w:val="22"/>
    </w:rPr>
  </w:style>
  <w:style w:type="paragraph" w:styleId="Rodap">
    <w:name w:val="footer"/>
    <w:basedOn w:val="Normal"/>
    <w:link w:val="RodapChar"/>
    <w:uiPriority w:val="99"/>
    <w:unhideWhenUsed/>
    <w:rsid w:val="00D772CA"/>
    <w:pPr>
      <w:tabs>
        <w:tab w:val="center" w:pos="4252"/>
        <w:tab w:val="right" w:pos="8504"/>
      </w:tabs>
      <w:spacing w:after="0" w:line="240" w:lineRule="auto"/>
    </w:pPr>
    <w:rPr>
      <w:rFonts w:ascii="Calibri" w:eastAsia="Calibri" w:hAnsi="Calibri" w:cs="Times New Roman"/>
      <w:iCs w:val="0"/>
      <w:szCs w:val="22"/>
    </w:rPr>
  </w:style>
  <w:style w:type="character" w:customStyle="1" w:styleId="RodapChar">
    <w:name w:val="Rodapé Char"/>
    <w:basedOn w:val="Fontepargpadro"/>
    <w:link w:val="Rodap"/>
    <w:uiPriority w:val="99"/>
    <w:rsid w:val="00D772CA"/>
    <w:rPr>
      <w:rFonts w:ascii="Calibri" w:eastAsia="Calibri" w:hAnsi="Calibri" w:cs="Times New Roman"/>
      <w:iCs w:val="0"/>
      <w:szCs w:val="22"/>
    </w:rPr>
  </w:style>
  <w:style w:type="character" w:styleId="Hyperlink">
    <w:name w:val="Hyperlink"/>
    <w:uiPriority w:val="99"/>
    <w:rsid w:val="00D772CA"/>
    <w:rPr>
      <w:color w:val="0000FF"/>
      <w:u w:val="single"/>
    </w:rPr>
  </w:style>
  <w:style w:type="table" w:styleId="Tabelacomgrade">
    <w:name w:val="Table Grid"/>
    <w:basedOn w:val="Tabelanormal"/>
    <w:uiPriority w:val="59"/>
    <w:rsid w:val="0045591F"/>
    <w:pPr>
      <w:spacing w:after="0" w:line="240" w:lineRule="auto"/>
      <w:jc w:val="center"/>
    </w:pPr>
    <w:rPr>
      <w:rFonts w:asciiTheme="minorHAnsi" w:hAnsiTheme="minorHAnsi" w:cstheme="minorBidi"/>
      <w:iCs w:val="0"/>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grafodaLista">
    <w:name w:val="List Paragraph"/>
    <w:basedOn w:val="Normal"/>
    <w:uiPriority w:val="34"/>
    <w:qFormat/>
    <w:rsid w:val="00DA1A29"/>
    <w:pPr>
      <w:ind w:left="720"/>
      <w:contextualSpacing/>
    </w:pPr>
  </w:style>
  <w:style w:type="character" w:styleId="Refdecomentrio">
    <w:name w:val="annotation reference"/>
    <w:basedOn w:val="Fontepargpadro"/>
    <w:uiPriority w:val="99"/>
    <w:semiHidden/>
    <w:unhideWhenUsed/>
    <w:rsid w:val="002C0126"/>
    <w:rPr>
      <w:sz w:val="16"/>
      <w:szCs w:val="16"/>
    </w:rPr>
  </w:style>
  <w:style w:type="paragraph" w:styleId="Textodecomentrio">
    <w:name w:val="annotation text"/>
    <w:basedOn w:val="Normal"/>
    <w:link w:val="TextodecomentrioChar"/>
    <w:uiPriority w:val="99"/>
    <w:semiHidden/>
    <w:unhideWhenUsed/>
    <w:rsid w:val="002C0126"/>
    <w:pPr>
      <w:spacing w:line="240" w:lineRule="auto"/>
    </w:pPr>
    <w:rPr>
      <w:sz w:val="20"/>
    </w:rPr>
  </w:style>
  <w:style w:type="character" w:customStyle="1" w:styleId="TextodecomentrioChar">
    <w:name w:val="Texto de comentário Char"/>
    <w:basedOn w:val="Fontepargpadro"/>
    <w:link w:val="Textodecomentrio"/>
    <w:uiPriority w:val="99"/>
    <w:semiHidden/>
    <w:rsid w:val="002C0126"/>
    <w:rPr>
      <w:sz w:val="20"/>
    </w:rPr>
  </w:style>
  <w:style w:type="paragraph" w:styleId="Assuntodocomentrio">
    <w:name w:val="annotation subject"/>
    <w:basedOn w:val="Textodecomentrio"/>
    <w:next w:val="Textodecomentrio"/>
    <w:link w:val="AssuntodocomentrioChar"/>
    <w:uiPriority w:val="99"/>
    <w:semiHidden/>
    <w:unhideWhenUsed/>
    <w:rsid w:val="002C0126"/>
    <w:rPr>
      <w:b/>
      <w:bCs/>
    </w:rPr>
  </w:style>
  <w:style w:type="character" w:customStyle="1" w:styleId="AssuntodocomentrioChar">
    <w:name w:val="Assunto do comentário Char"/>
    <w:basedOn w:val="TextodecomentrioChar"/>
    <w:link w:val="Assuntodocomentrio"/>
    <w:uiPriority w:val="99"/>
    <w:semiHidden/>
    <w:rsid w:val="002C0126"/>
    <w:rPr>
      <w:b/>
      <w:bCs/>
      <w:sz w:val="20"/>
    </w:rPr>
  </w:style>
  <w:style w:type="character" w:styleId="MenoPendente">
    <w:name w:val="Unresolved Mention"/>
    <w:basedOn w:val="Fontepargpadro"/>
    <w:uiPriority w:val="99"/>
    <w:semiHidden/>
    <w:unhideWhenUsed/>
    <w:rsid w:val="00ED0FB6"/>
    <w:rPr>
      <w:color w:val="605E5C"/>
      <w:shd w:val="clear" w:color="auto" w:fill="E1DFDD"/>
    </w:rPr>
  </w:style>
  <w:style w:type="paragraph" w:styleId="Commarcadores">
    <w:name w:val="List Bullet"/>
    <w:basedOn w:val="Normal"/>
    <w:uiPriority w:val="99"/>
    <w:unhideWhenUsed/>
    <w:rsid w:val="00CC0C9F"/>
    <w:pPr>
      <w:numPr>
        <w:numId w:val="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5993">
      <w:bodyDiv w:val="1"/>
      <w:marLeft w:val="0"/>
      <w:marRight w:val="0"/>
      <w:marTop w:val="0"/>
      <w:marBottom w:val="0"/>
      <w:divBdr>
        <w:top w:val="none" w:sz="0" w:space="0" w:color="auto"/>
        <w:left w:val="none" w:sz="0" w:space="0" w:color="auto"/>
        <w:bottom w:val="none" w:sz="0" w:space="0" w:color="auto"/>
        <w:right w:val="none" w:sz="0" w:space="0" w:color="auto"/>
      </w:divBdr>
    </w:div>
    <w:div w:id="18624707">
      <w:bodyDiv w:val="1"/>
      <w:marLeft w:val="0"/>
      <w:marRight w:val="0"/>
      <w:marTop w:val="0"/>
      <w:marBottom w:val="0"/>
      <w:divBdr>
        <w:top w:val="none" w:sz="0" w:space="0" w:color="auto"/>
        <w:left w:val="none" w:sz="0" w:space="0" w:color="auto"/>
        <w:bottom w:val="none" w:sz="0" w:space="0" w:color="auto"/>
        <w:right w:val="none" w:sz="0" w:space="0" w:color="auto"/>
      </w:divBdr>
    </w:div>
    <w:div w:id="19622965">
      <w:bodyDiv w:val="1"/>
      <w:marLeft w:val="0"/>
      <w:marRight w:val="0"/>
      <w:marTop w:val="0"/>
      <w:marBottom w:val="0"/>
      <w:divBdr>
        <w:top w:val="none" w:sz="0" w:space="0" w:color="auto"/>
        <w:left w:val="none" w:sz="0" w:space="0" w:color="auto"/>
        <w:bottom w:val="none" w:sz="0" w:space="0" w:color="auto"/>
        <w:right w:val="none" w:sz="0" w:space="0" w:color="auto"/>
      </w:divBdr>
    </w:div>
    <w:div w:id="49502825">
      <w:bodyDiv w:val="1"/>
      <w:marLeft w:val="0"/>
      <w:marRight w:val="0"/>
      <w:marTop w:val="0"/>
      <w:marBottom w:val="0"/>
      <w:divBdr>
        <w:top w:val="none" w:sz="0" w:space="0" w:color="auto"/>
        <w:left w:val="none" w:sz="0" w:space="0" w:color="auto"/>
        <w:bottom w:val="none" w:sz="0" w:space="0" w:color="auto"/>
        <w:right w:val="none" w:sz="0" w:space="0" w:color="auto"/>
      </w:divBdr>
    </w:div>
    <w:div w:id="56561386">
      <w:bodyDiv w:val="1"/>
      <w:marLeft w:val="0"/>
      <w:marRight w:val="0"/>
      <w:marTop w:val="0"/>
      <w:marBottom w:val="0"/>
      <w:divBdr>
        <w:top w:val="none" w:sz="0" w:space="0" w:color="auto"/>
        <w:left w:val="none" w:sz="0" w:space="0" w:color="auto"/>
        <w:bottom w:val="none" w:sz="0" w:space="0" w:color="auto"/>
        <w:right w:val="none" w:sz="0" w:space="0" w:color="auto"/>
      </w:divBdr>
    </w:div>
    <w:div w:id="66660855">
      <w:bodyDiv w:val="1"/>
      <w:marLeft w:val="0"/>
      <w:marRight w:val="0"/>
      <w:marTop w:val="0"/>
      <w:marBottom w:val="0"/>
      <w:divBdr>
        <w:top w:val="none" w:sz="0" w:space="0" w:color="auto"/>
        <w:left w:val="none" w:sz="0" w:space="0" w:color="auto"/>
        <w:bottom w:val="none" w:sz="0" w:space="0" w:color="auto"/>
        <w:right w:val="none" w:sz="0" w:space="0" w:color="auto"/>
      </w:divBdr>
    </w:div>
    <w:div w:id="67045295">
      <w:bodyDiv w:val="1"/>
      <w:marLeft w:val="0"/>
      <w:marRight w:val="0"/>
      <w:marTop w:val="0"/>
      <w:marBottom w:val="0"/>
      <w:divBdr>
        <w:top w:val="none" w:sz="0" w:space="0" w:color="auto"/>
        <w:left w:val="none" w:sz="0" w:space="0" w:color="auto"/>
        <w:bottom w:val="none" w:sz="0" w:space="0" w:color="auto"/>
        <w:right w:val="none" w:sz="0" w:space="0" w:color="auto"/>
      </w:divBdr>
    </w:div>
    <w:div w:id="67698727">
      <w:bodyDiv w:val="1"/>
      <w:marLeft w:val="0"/>
      <w:marRight w:val="0"/>
      <w:marTop w:val="0"/>
      <w:marBottom w:val="0"/>
      <w:divBdr>
        <w:top w:val="none" w:sz="0" w:space="0" w:color="auto"/>
        <w:left w:val="none" w:sz="0" w:space="0" w:color="auto"/>
        <w:bottom w:val="none" w:sz="0" w:space="0" w:color="auto"/>
        <w:right w:val="none" w:sz="0" w:space="0" w:color="auto"/>
      </w:divBdr>
    </w:div>
    <w:div w:id="137497019">
      <w:bodyDiv w:val="1"/>
      <w:marLeft w:val="0"/>
      <w:marRight w:val="0"/>
      <w:marTop w:val="0"/>
      <w:marBottom w:val="0"/>
      <w:divBdr>
        <w:top w:val="none" w:sz="0" w:space="0" w:color="auto"/>
        <w:left w:val="none" w:sz="0" w:space="0" w:color="auto"/>
        <w:bottom w:val="none" w:sz="0" w:space="0" w:color="auto"/>
        <w:right w:val="none" w:sz="0" w:space="0" w:color="auto"/>
      </w:divBdr>
      <w:divsChild>
        <w:div w:id="1612202709">
          <w:marLeft w:val="0"/>
          <w:marRight w:val="0"/>
          <w:marTop w:val="0"/>
          <w:marBottom w:val="0"/>
          <w:divBdr>
            <w:top w:val="none" w:sz="0" w:space="0" w:color="auto"/>
            <w:left w:val="none" w:sz="0" w:space="0" w:color="auto"/>
            <w:bottom w:val="none" w:sz="0" w:space="0" w:color="auto"/>
            <w:right w:val="none" w:sz="0" w:space="0" w:color="auto"/>
          </w:divBdr>
          <w:divsChild>
            <w:div w:id="178658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03705">
      <w:bodyDiv w:val="1"/>
      <w:marLeft w:val="0"/>
      <w:marRight w:val="0"/>
      <w:marTop w:val="0"/>
      <w:marBottom w:val="0"/>
      <w:divBdr>
        <w:top w:val="none" w:sz="0" w:space="0" w:color="auto"/>
        <w:left w:val="none" w:sz="0" w:space="0" w:color="auto"/>
        <w:bottom w:val="none" w:sz="0" w:space="0" w:color="auto"/>
        <w:right w:val="none" w:sz="0" w:space="0" w:color="auto"/>
      </w:divBdr>
    </w:div>
    <w:div w:id="143477100">
      <w:bodyDiv w:val="1"/>
      <w:marLeft w:val="0"/>
      <w:marRight w:val="0"/>
      <w:marTop w:val="0"/>
      <w:marBottom w:val="0"/>
      <w:divBdr>
        <w:top w:val="none" w:sz="0" w:space="0" w:color="auto"/>
        <w:left w:val="none" w:sz="0" w:space="0" w:color="auto"/>
        <w:bottom w:val="none" w:sz="0" w:space="0" w:color="auto"/>
        <w:right w:val="none" w:sz="0" w:space="0" w:color="auto"/>
      </w:divBdr>
    </w:div>
    <w:div w:id="185992371">
      <w:bodyDiv w:val="1"/>
      <w:marLeft w:val="0"/>
      <w:marRight w:val="0"/>
      <w:marTop w:val="0"/>
      <w:marBottom w:val="0"/>
      <w:divBdr>
        <w:top w:val="none" w:sz="0" w:space="0" w:color="auto"/>
        <w:left w:val="none" w:sz="0" w:space="0" w:color="auto"/>
        <w:bottom w:val="none" w:sz="0" w:space="0" w:color="auto"/>
        <w:right w:val="none" w:sz="0" w:space="0" w:color="auto"/>
      </w:divBdr>
    </w:div>
    <w:div w:id="245309117">
      <w:bodyDiv w:val="1"/>
      <w:marLeft w:val="0"/>
      <w:marRight w:val="0"/>
      <w:marTop w:val="0"/>
      <w:marBottom w:val="0"/>
      <w:divBdr>
        <w:top w:val="none" w:sz="0" w:space="0" w:color="auto"/>
        <w:left w:val="none" w:sz="0" w:space="0" w:color="auto"/>
        <w:bottom w:val="none" w:sz="0" w:space="0" w:color="auto"/>
        <w:right w:val="none" w:sz="0" w:space="0" w:color="auto"/>
      </w:divBdr>
    </w:div>
    <w:div w:id="259224071">
      <w:bodyDiv w:val="1"/>
      <w:marLeft w:val="0"/>
      <w:marRight w:val="0"/>
      <w:marTop w:val="0"/>
      <w:marBottom w:val="0"/>
      <w:divBdr>
        <w:top w:val="none" w:sz="0" w:space="0" w:color="auto"/>
        <w:left w:val="none" w:sz="0" w:space="0" w:color="auto"/>
        <w:bottom w:val="none" w:sz="0" w:space="0" w:color="auto"/>
        <w:right w:val="none" w:sz="0" w:space="0" w:color="auto"/>
      </w:divBdr>
    </w:div>
    <w:div w:id="272635795">
      <w:bodyDiv w:val="1"/>
      <w:marLeft w:val="0"/>
      <w:marRight w:val="0"/>
      <w:marTop w:val="0"/>
      <w:marBottom w:val="0"/>
      <w:divBdr>
        <w:top w:val="none" w:sz="0" w:space="0" w:color="auto"/>
        <w:left w:val="none" w:sz="0" w:space="0" w:color="auto"/>
        <w:bottom w:val="none" w:sz="0" w:space="0" w:color="auto"/>
        <w:right w:val="none" w:sz="0" w:space="0" w:color="auto"/>
      </w:divBdr>
    </w:div>
    <w:div w:id="487210809">
      <w:bodyDiv w:val="1"/>
      <w:marLeft w:val="0"/>
      <w:marRight w:val="0"/>
      <w:marTop w:val="0"/>
      <w:marBottom w:val="0"/>
      <w:divBdr>
        <w:top w:val="none" w:sz="0" w:space="0" w:color="auto"/>
        <w:left w:val="none" w:sz="0" w:space="0" w:color="auto"/>
        <w:bottom w:val="none" w:sz="0" w:space="0" w:color="auto"/>
        <w:right w:val="none" w:sz="0" w:space="0" w:color="auto"/>
      </w:divBdr>
    </w:div>
    <w:div w:id="527454080">
      <w:bodyDiv w:val="1"/>
      <w:marLeft w:val="0"/>
      <w:marRight w:val="0"/>
      <w:marTop w:val="0"/>
      <w:marBottom w:val="0"/>
      <w:divBdr>
        <w:top w:val="none" w:sz="0" w:space="0" w:color="auto"/>
        <w:left w:val="none" w:sz="0" w:space="0" w:color="auto"/>
        <w:bottom w:val="none" w:sz="0" w:space="0" w:color="auto"/>
        <w:right w:val="none" w:sz="0" w:space="0" w:color="auto"/>
      </w:divBdr>
    </w:div>
    <w:div w:id="707991856">
      <w:bodyDiv w:val="1"/>
      <w:marLeft w:val="0"/>
      <w:marRight w:val="0"/>
      <w:marTop w:val="0"/>
      <w:marBottom w:val="0"/>
      <w:divBdr>
        <w:top w:val="none" w:sz="0" w:space="0" w:color="auto"/>
        <w:left w:val="none" w:sz="0" w:space="0" w:color="auto"/>
        <w:bottom w:val="none" w:sz="0" w:space="0" w:color="auto"/>
        <w:right w:val="none" w:sz="0" w:space="0" w:color="auto"/>
      </w:divBdr>
    </w:div>
    <w:div w:id="766314292">
      <w:bodyDiv w:val="1"/>
      <w:marLeft w:val="0"/>
      <w:marRight w:val="0"/>
      <w:marTop w:val="0"/>
      <w:marBottom w:val="0"/>
      <w:divBdr>
        <w:top w:val="none" w:sz="0" w:space="0" w:color="auto"/>
        <w:left w:val="none" w:sz="0" w:space="0" w:color="auto"/>
        <w:bottom w:val="none" w:sz="0" w:space="0" w:color="auto"/>
        <w:right w:val="none" w:sz="0" w:space="0" w:color="auto"/>
      </w:divBdr>
    </w:div>
    <w:div w:id="876820989">
      <w:bodyDiv w:val="1"/>
      <w:marLeft w:val="0"/>
      <w:marRight w:val="0"/>
      <w:marTop w:val="0"/>
      <w:marBottom w:val="0"/>
      <w:divBdr>
        <w:top w:val="none" w:sz="0" w:space="0" w:color="auto"/>
        <w:left w:val="none" w:sz="0" w:space="0" w:color="auto"/>
        <w:bottom w:val="none" w:sz="0" w:space="0" w:color="auto"/>
        <w:right w:val="none" w:sz="0" w:space="0" w:color="auto"/>
      </w:divBdr>
    </w:div>
    <w:div w:id="883950162">
      <w:bodyDiv w:val="1"/>
      <w:marLeft w:val="0"/>
      <w:marRight w:val="0"/>
      <w:marTop w:val="0"/>
      <w:marBottom w:val="0"/>
      <w:divBdr>
        <w:top w:val="none" w:sz="0" w:space="0" w:color="auto"/>
        <w:left w:val="none" w:sz="0" w:space="0" w:color="auto"/>
        <w:bottom w:val="none" w:sz="0" w:space="0" w:color="auto"/>
        <w:right w:val="none" w:sz="0" w:space="0" w:color="auto"/>
      </w:divBdr>
    </w:div>
    <w:div w:id="906380254">
      <w:bodyDiv w:val="1"/>
      <w:marLeft w:val="0"/>
      <w:marRight w:val="0"/>
      <w:marTop w:val="0"/>
      <w:marBottom w:val="0"/>
      <w:divBdr>
        <w:top w:val="none" w:sz="0" w:space="0" w:color="auto"/>
        <w:left w:val="none" w:sz="0" w:space="0" w:color="auto"/>
        <w:bottom w:val="none" w:sz="0" w:space="0" w:color="auto"/>
        <w:right w:val="none" w:sz="0" w:space="0" w:color="auto"/>
      </w:divBdr>
    </w:div>
    <w:div w:id="916941990">
      <w:bodyDiv w:val="1"/>
      <w:marLeft w:val="0"/>
      <w:marRight w:val="0"/>
      <w:marTop w:val="0"/>
      <w:marBottom w:val="0"/>
      <w:divBdr>
        <w:top w:val="none" w:sz="0" w:space="0" w:color="auto"/>
        <w:left w:val="none" w:sz="0" w:space="0" w:color="auto"/>
        <w:bottom w:val="none" w:sz="0" w:space="0" w:color="auto"/>
        <w:right w:val="none" w:sz="0" w:space="0" w:color="auto"/>
      </w:divBdr>
    </w:div>
    <w:div w:id="925307523">
      <w:bodyDiv w:val="1"/>
      <w:marLeft w:val="0"/>
      <w:marRight w:val="0"/>
      <w:marTop w:val="0"/>
      <w:marBottom w:val="0"/>
      <w:divBdr>
        <w:top w:val="none" w:sz="0" w:space="0" w:color="auto"/>
        <w:left w:val="none" w:sz="0" w:space="0" w:color="auto"/>
        <w:bottom w:val="none" w:sz="0" w:space="0" w:color="auto"/>
        <w:right w:val="none" w:sz="0" w:space="0" w:color="auto"/>
      </w:divBdr>
    </w:div>
    <w:div w:id="995499182">
      <w:bodyDiv w:val="1"/>
      <w:marLeft w:val="0"/>
      <w:marRight w:val="0"/>
      <w:marTop w:val="0"/>
      <w:marBottom w:val="0"/>
      <w:divBdr>
        <w:top w:val="none" w:sz="0" w:space="0" w:color="auto"/>
        <w:left w:val="none" w:sz="0" w:space="0" w:color="auto"/>
        <w:bottom w:val="none" w:sz="0" w:space="0" w:color="auto"/>
        <w:right w:val="none" w:sz="0" w:space="0" w:color="auto"/>
      </w:divBdr>
    </w:div>
    <w:div w:id="1066416540">
      <w:bodyDiv w:val="1"/>
      <w:marLeft w:val="0"/>
      <w:marRight w:val="0"/>
      <w:marTop w:val="0"/>
      <w:marBottom w:val="0"/>
      <w:divBdr>
        <w:top w:val="none" w:sz="0" w:space="0" w:color="auto"/>
        <w:left w:val="none" w:sz="0" w:space="0" w:color="auto"/>
        <w:bottom w:val="none" w:sz="0" w:space="0" w:color="auto"/>
        <w:right w:val="none" w:sz="0" w:space="0" w:color="auto"/>
      </w:divBdr>
    </w:div>
    <w:div w:id="1080911005">
      <w:bodyDiv w:val="1"/>
      <w:marLeft w:val="0"/>
      <w:marRight w:val="0"/>
      <w:marTop w:val="0"/>
      <w:marBottom w:val="0"/>
      <w:divBdr>
        <w:top w:val="none" w:sz="0" w:space="0" w:color="auto"/>
        <w:left w:val="none" w:sz="0" w:space="0" w:color="auto"/>
        <w:bottom w:val="none" w:sz="0" w:space="0" w:color="auto"/>
        <w:right w:val="none" w:sz="0" w:space="0" w:color="auto"/>
      </w:divBdr>
    </w:div>
    <w:div w:id="1090739427">
      <w:bodyDiv w:val="1"/>
      <w:marLeft w:val="0"/>
      <w:marRight w:val="0"/>
      <w:marTop w:val="0"/>
      <w:marBottom w:val="0"/>
      <w:divBdr>
        <w:top w:val="none" w:sz="0" w:space="0" w:color="auto"/>
        <w:left w:val="none" w:sz="0" w:space="0" w:color="auto"/>
        <w:bottom w:val="none" w:sz="0" w:space="0" w:color="auto"/>
        <w:right w:val="none" w:sz="0" w:space="0" w:color="auto"/>
      </w:divBdr>
    </w:div>
    <w:div w:id="1139686488">
      <w:bodyDiv w:val="1"/>
      <w:marLeft w:val="0"/>
      <w:marRight w:val="0"/>
      <w:marTop w:val="0"/>
      <w:marBottom w:val="0"/>
      <w:divBdr>
        <w:top w:val="none" w:sz="0" w:space="0" w:color="auto"/>
        <w:left w:val="none" w:sz="0" w:space="0" w:color="auto"/>
        <w:bottom w:val="none" w:sz="0" w:space="0" w:color="auto"/>
        <w:right w:val="none" w:sz="0" w:space="0" w:color="auto"/>
      </w:divBdr>
    </w:div>
    <w:div w:id="1149326676">
      <w:bodyDiv w:val="1"/>
      <w:marLeft w:val="0"/>
      <w:marRight w:val="0"/>
      <w:marTop w:val="0"/>
      <w:marBottom w:val="0"/>
      <w:divBdr>
        <w:top w:val="none" w:sz="0" w:space="0" w:color="auto"/>
        <w:left w:val="none" w:sz="0" w:space="0" w:color="auto"/>
        <w:bottom w:val="none" w:sz="0" w:space="0" w:color="auto"/>
        <w:right w:val="none" w:sz="0" w:space="0" w:color="auto"/>
      </w:divBdr>
    </w:div>
    <w:div w:id="1168910080">
      <w:bodyDiv w:val="1"/>
      <w:marLeft w:val="0"/>
      <w:marRight w:val="0"/>
      <w:marTop w:val="0"/>
      <w:marBottom w:val="0"/>
      <w:divBdr>
        <w:top w:val="none" w:sz="0" w:space="0" w:color="auto"/>
        <w:left w:val="none" w:sz="0" w:space="0" w:color="auto"/>
        <w:bottom w:val="none" w:sz="0" w:space="0" w:color="auto"/>
        <w:right w:val="none" w:sz="0" w:space="0" w:color="auto"/>
      </w:divBdr>
    </w:div>
    <w:div w:id="1250042023">
      <w:bodyDiv w:val="1"/>
      <w:marLeft w:val="0"/>
      <w:marRight w:val="0"/>
      <w:marTop w:val="0"/>
      <w:marBottom w:val="0"/>
      <w:divBdr>
        <w:top w:val="none" w:sz="0" w:space="0" w:color="auto"/>
        <w:left w:val="none" w:sz="0" w:space="0" w:color="auto"/>
        <w:bottom w:val="none" w:sz="0" w:space="0" w:color="auto"/>
        <w:right w:val="none" w:sz="0" w:space="0" w:color="auto"/>
      </w:divBdr>
    </w:div>
    <w:div w:id="1261639043">
      <w:bodyDiv w:val="1"/>
      <w:marLeft w:val="0"/>
      <w:marRight w:val="0"/>
      <w:marTop w:val="0"/>
      <w:marBottom w:val="0"/>
      <w:divBdr>
        <w:top w:val="none" w:sz="0" w:space="0" w:color="auto"/>
        <w:left w:val="none" w:sz="0" w:space="0" w:color="auto"/>
        <w:bottom w:val="none" w:sz="0" w:space="0" w:color="auto"/>
        <w:right w:val="none" w:sz="0" w:space="0" w:color="auto"/>
      </w:divBdr>
    </w:div>
    <w:div w:id="1296444009">
      <w:bodyDiv w:val="1"/>
      <w:marLeft w:val="0"/>
      <w:marRight w:val="0"/>
      <w:marTop w:val="0"/>
      <w:marBottom w:val="0"/>
      <w:divBdr>
        <w:top w:val="none" w:sz="0" w:space="0" w:color="auto"/>
        <w:left w:val="none" w:sz="0" w:space="0" w:color="auto"/>
        <w:bottom w:val="none" w:sz="0" w:space="0" w:color="auto"/>
        <w:right w:val="none" w:sz="0" w:space="0" w:color="auto"/>
      </w:divBdr>
    </w:div>
    <w:div w:id="1309742532">
      <w:bodyDiv w:val="1"/>
      <w:marLeft w:val="0"/>
      <w:marRight w:val="0"/>
      <w:marTop w:val="0"/>
      <w:marBottom w:val="0"/>
      <w:divBdr>
        <w:top w:val="none" w:sz="0" w:space="0" w:color="auto"/>
        <w:left w:val="none" w:sz="0" w:space="0" w:color="auto"/>
        <w:bottom w:val="none" w:sz="0" w:space="0" w:color="auto"/>
        <w:right w:val="none" w:sz="0" w:space="0" w:color="auto"/>
      </w:divBdr>
    </w:div>
    <w:div w:id="1310869173">
      <w:bodyDiv w:val="1"/>
      <w:marLeft w:val="0"/>
      <w:marRight w:val="0"/>
      <w:marTop w:val="0"/>
      <w:marBottom w:val="0"/>
      <w:divBdr>
        <w:top w:val="none" w:sz="0" w:space="0" w:color="auto"/>
        <w:left w:val="none" w:sz="0" w:space="0" w:color="auto"/>
        <w:bottom w:val="none" w:sz="0" w:space="0" w:color="auto"/>
        <w:right w:val="none" w:sz="0" w:space="0" w:color="auto"/>
      </w:divBdr>
    </w:div>
    <w:div w:id="1372268516">
      <w:bodyDiv w:val="1"/>
      <w:marLeft w:val="0"/>
      <w:marRight w:val="0"/>
      <w:marTop w:val="0"/>
      <w:marBottom w:val="0"/>
      <w:divBdr>
        <w:top w:val="none" w:sz="0" w:space="0" w:color="auto"/>
        <w:left w:val="none" w:sz="0" w:space="0" w:color="auto"/>
        <w:bottom w:val="none" w:sz="0" w:space="0" w:color="auto"/>
        <w:right w:val="none" w:sz="0" w:space="0" w:color="auto"/>
      </w:divBdr>
    </w:div>
    <w:div w:id="1393194500">
      <w:bodyDiv w:val="1"/>
      <w:marLeft w:val="0"/>
      <w:marRight w:val="0"/>
      <w:marTop w:val="0"/>
      <w:marBottom w:val="0"/>
      <w:divBdr>
        <w:top w:val="none" w:sz="0" w:space="0" w:color="auto"/>
        <w:left w:val="none" w:sz="0" w:space="0" w:color="auto"/>
        <w:bottom w:val="none" w:sz="0" w:space="0" w:color="auto"/>
        <w:right w:val="none" w:sz="0" w:space="0" w:color="auto"/>
      </w:divBdr>
    </w:div>
    <w:div w:id="1417049824">
      <w:bodyDiv w:val="1"/>
      <w:marLeft w:val="0"/>
      <w:marRight w:val="0"/>
      <w:marTop w:val="0"/>
      <w:marBottom w:val="0"/>
      <w:divBdr>
        <w:top w:val="none" w:sz="0" w:space="0" w:color="auto"/>
        <w:left w:val="none" w:sz="0" w:space="0" w:color="auto"/>
        <w:bottom w:val="none" w:sz="0" w:space="0" w:color="auto"/>
        <w:right w:val="none" w:sz="0" w:space="0" w:color="auto"/>
      </w:divBdr>
    </w:div>
    <w:div w:id="1426459642">
      <w:bodyDiv w:val="1"/>
      <w:marLeft w:val="0"/>
      <w:marRight w:val="0"/>
      <w:marTop w:val="0"/>
      <w:marBottom w:val="0"/>
      <w:divBdr>
        <w:top w:val="none" w:sz="0" w:space="0" w:color="auto"/>
        <w:left w:val="none" w:sz="0" w:space="0" w:color="auto"/>
        <w:bottom w:val="none" w:sz="0" w:space="0" w:color="auto"/>
        <w:right w:val="none" w:sz="0" w:space="0" w:color="auto"/>
      </w:divBdr>
    </w:div>
    <w:div w:id="1430003922">
      <w:bodyDiv w:val="1"/>
      <w:marLeft w:val="0"/>
      <w:marRight w:val="0"/>
      <w:marTop w:val="0"/>
      <w:marBottom w:val="0"/>
      <w:divBdr>
        <w:top w:val="none" w:sz="0" w:space="0" w:color="auto"/>
        <w:left w:val="none" w:sz="0" w:space="0" w:color="auto"/>
        <w:bottom w:val="none" w:sz="0" w:space="0" w:color="auto"/>
        <w:right w:val="none" w:sz="0" w:space="0" w:color="auto"/>
      </w:divBdr>
    </w:div>
    <w:div w:id="1490437039">
      <w:bodyDiv w:val="1"/>
      <w:marLeft w:val="0"/>
      <w:marRight w:val="0"/>
      <w:marTop w:val="0"/>
      <w:marBottom w:val="0"/>
      <w:divBdr>
        <w:top w:val="none" w:sz="0" w:space="0" w:color="auto"/>
        <w:left w:val="none" w:sz="0" w:space="0" w:color="auto"/>
        <w:bottom w:val="none" w:sz="0" w:space="0" w:color="auto"/>
        <w:right w:val="none" w:sz="0" w:space="0" w:color="auto"/>
      </w:divBdr>
    </w:div>
    <w:div w:id="1492600605">
      <w:bodyDiv w:val="1"/>
      <w:marLeft w:val="0"/>
      <w:marRight w:val="0"/>
      <w:marTop w:val="0"/>
      <w:marBottom w:val="0"/>
      <w:divBdr>
        <w:top w:val="none" w:sz="0" w:space="0" w:color="auto"/>
        <w:left w:val="none" w:sz="0" w:space="0" w:color="auto"/>
        <w:bottom w:val="none" w:sz="0" w:space="0" w:color="auto"/>
        <w:right w:val="none" w:sz="0" w:space="0" w:color="auto"/>
      </w:divBdr>
    </w:div>
    <w:div w:id="1584022013">
      <w:bodyDiv w:val="1"/>
      <w:marLeft w:val="0"/>
      <w:marRight w:val="0"/>
      <w:marTop w:val="0"/>
      <w:marBottom w:val="0"/>
      <w:divBdr>
        <w:top w:val="none" w:sz="0" w:space="0" w:color="auto"/>
        <w:left w:val="none" w:sz="0" w:space="0" w:color="auto"/>
        <w:bottom w:val="none" w:sz="0" w:space="0" w:color="auto"/>
        <w:right w:val="none" w:sz="0" w:space="0" w:color="auto"/>
      </w:divBdr>
    </w:div>
    <w:div w:id="1608272578">
      <w:bodyDiv w:val="1"/>
      <w:marLeft w:val="0"/>
      <w:marRight w:val="0"/>
      <w:marTop w:val="0"/>
      <w:marBottom w:val="0"/>
      <w:divBdr>
        <w:top w:val="none" w:sz="0" w:space="0" w:color="auto"/>
        <w:left w:val="none" w:sz="0" w:space="0" w:color="auto"/>
        <w:bottom w:val="none" w:sz="0" w:space="0" w:color="auto"/>
        <w:right w:val="none" w:sz="0" w:space="0" w:color="auto"/>
      </w:divBdr>
    </w:div>
    <w:div w:id="1755007696">
      <w:bodyDiv w:val="1"/>
      <w:marLeft w:val="0"/>
      <w:marRight w:val="0"/>
      <w:marTop w:val="0"/>
      <w:marBottom w:val="0"/>
      <w:divBdr>
        <w:top w:val="none" w:sz="0" w:space="0" w:color="auto"/>
        <w:left w:val="none" w:sz="0" w:space="0" w:color="auto"/>
        <w:bottom w:val="none" w:sz="0" w:space="0" w:color="auto"/>
        <w:right w:val="none" w:sz="0" w:space="0" w:color="auto"/>
      </w:divBdr>
    </w:div>
    <w:div w:id="1894152510">
      <w:bodyDiv w:val="1"/>
      <w:marLeft w:val="0"/>
      <w:marRight w:val="0"/>
      <w:marTop w:val="0"/>
      <w:marBottom w:val="0"/>
      <w:divBdr>
        <w:top w:val="none" w:sz="0" w:space="0" w:color="auto"/>
        <w:left w:val="none" w:sz="0" w:space="0" w:color="auto"/>
        <w:bottom w:val="none" w:sz="0" w:space="0" w:color="auto"/>
        <w:right w:val="none" w:sz="0" w:space="0" w:color="auto"/>
      </w:divBdr>
    </w:div>
    <w:div w:id="1898855172">
      <w:bodyDiv w:val="1"/>
      <w:marLeft w:val="0"/>
      <w:marRight w:val="0"/>
      <w:marTop w:val="0"/>
      <w:marBottom w:val="0"/>
      <w:divBdr>
        <w:top w:val="none" w:sz="0" w:space="0" w:color="auto"/>
        <w:left w:val="none" w:sz="0" w:space="0" w:color="auto"/>
        <w:bottom w:val="none" w:sz="0" w:space="0" w:color="auto"/>
        <w:right w:val="none" w:sz="0" w:space="0" w:color="auto"/>
      </w:divBdr>
    </w:div>
    <w:div w:id="1944411768">
      <w:bodyDiv w:val="1"/>
      <w:marLeft w:val="0"/>
      <w:marRight w:val="0"/>
      <w:marTop w:val="0"/>
      <w:marBottom w:val="0"/>
      <w:divBdr>
        <w:top w:val="none" w:sz="0" w:space="0" w:color="auto"/>
        <w:left w:val="none" w:sz="0" w:space="0" w:color="auto"/>
        <w:bottom w:val="none" w:sz="0" w:space="0" w:color="auto"/>
        <w:right w:val="none" w:sz="0" w:space="0" w:color="auto"/>
      </w:divBdr>
    </w:div>
    <w:div w:id="1964723254">
      <w:bodyDiv w:val="1"/>
      <w:marLeft w:val="0"/>
      <w:marRight w:val="0"/>
      <w:marTop w:val="0"/>
      <w:marBottom w:val="0"/>
      <w:divBdr>
        <w:top w:val="none" w:sz="0" w:space="0" w:color="auto"/>
        <w:left w:val="none" w:sz="0" w:space="0" w:color="auto"/>
        <w:bottom w:val="none" w:sz="0" w:space="0" w:color="auto"/>
        <w:right w:val="none" w:sz="0" w:space="0" w:color="auto"/>
      </w:divBdr>
    </w:div>
    <w:div w:id="1975401975">
      <w:bodyDiv w:val="1"/>
      <w:marLeft w:val="0"/>
      <w:marRight w:val="0"/>
      <w:marTop w:val="0"/>
      <w:marBottom w:val="0"/>
      <w:divBdr>
        <w:top w:val="none" w:sz="0" w:space="0" w:color="auto"/>
        <w:left w:val="none" w:sz="0" w:space="0" w:color="auto"/>
        <w:bottom w:val="none" w:sz="0" w:space="0" w:color="auto"/>
        <w:right w:val="none" w:sz="0" w:space="0" w:color="auto"/>
      </w:divBdr>
    </w:div>
    <w:div w:id="2008828510">
      <w:bodyDiv w:val="1"/>
      <w:marLeft w:val="0"/>
      <w:marRight w:val="0"/>
      <w:marTop w:val="0"/>
      <w:marBottom w:val="0"/>
      <w:divBdr>
        <w:top w:val="none" w:sz="0" w:space="0" w:color="auto"/>
        <w:left w:val="none" w:sz="0" w:space="0" w:color="auto"/>
        <w:bottom w:val="none" w:sz="0" w:space="0" w:color="auto"/>
        <w:right w:val="none" w:sz="0" w:space="0" w:color="auto"/>
      </w:divBdr>
    </w:div>
    <w:div w:id="2066172467">
      <w:bodyDiv w:val="1"/>
      <w:marLeft w:val="0"/>
      <w:marRight w:val="0"/>
      <w:marTop w:val="0"/>
      <w:marBottom w:val="0"/>
      <w:divBdr>
        <w:top w:val="none" w:sz="0" w:space="0" w:color="auto"/>
        <w:left w:val="none" w:sz="0" w:space="0" w:color="auto"/>
        <w:bottom w:val="none" w:sz="0" w:space="0" w:color="auto"/>
        <w:right w:val="none" w:sz="0" w:space="0" w:color="auto"/>
      </w:divBdr>
    </w:div>
    <w:div w:id="2071805026">
      <w:bodyDiv w:val="1"/>
      <w:marLeft w:val="0"/>
      <w:marRight w:val="0"/>
      <w:marTop w:val="0"/>
      <w:marBottom w:val="0"/>
      <w:divBdr>
        <w:top w:val="none" w:sz="0" w:space="0" w:color="auto"/>
        <w:left w:val="none" w:sz="0" w:space="0" w:color="auto"/>
        <w:bottom w:val="none" w:sz="0" w:space="0" w:color="auto"/>
        <w:right w:val="none" w:sz="0" w:space="0" w:color="auto"/>
      </w:divBdr>
    </w:div>
    <w:div w:id="2119173297">
      <w:bodyDiv w:val="1"/>
      <w:marLeft w:val="0"/>
      <w:marRight w:val="0"/>
      <w:marTop w:val="0"/>
      <w:marBottom w:val="0"/>
      <w:divBdr>
        <w:top w:val="none" w:sz="0" w:space="0" w:color="auto"/>
        <w:left w:val="none" w:sz="0" w:space="0" w:color="auto"/>
        <w:bottom w:val="none" w:sz="0" w:space="0" w:color="auto"/>
        <w:right w:val="none" w:sz="0" w:space="0" w:color="auto"/>
      </w:divBdr>
    </w:div>
    <w:div w:id="2124961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pras@paverama.rs.gov.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A3D9D4-6F97-4A28-AC1C-44621BA07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1628</TotalTime>
  <Pages>17</Pages>
  <Words>12020</Words>
  <Characters>64910</Characters>
  <Application>Microsoft Office Word</Application>
  <DocSecurity>0</DocSecurity>
  <Lines>540</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Admin</cp:lastModifiedBy>
  <cp:revision>88</cp:revision>
  <cp:lastPrinted>2026-04-20T18:43:00Z</cp:lastPrinted>
  <dcterms:created xsi:type="dcterms:W3CDTF">2024-01-29T12:19:00Z</dcterms:created>
  <dcterms:modified xsi:type="dcterms:W3CDTF">2026-07-06T17:58:00Z</dcterms:modified>
</cp:coreProperties>
</file>