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B2C70" w14:textId="3E3761E2" w:rsidR="00565F57" w:rsidRPr="00BE711E" w:rsidRDefault="00565F57" w:rsidP="00981221">
      <w:pPr>
        <w:spacing w:after="0"/>
        <w:jc w:val="center"/>
        <w:rPr>
          <w:rFonts w:ascii="Times New Roman" w:hAnsi="Times New Roman" w:cs="Times New Roman"/>
          <w:b/>
          <w:sz w:val="20"/>
          <w:szCs w:val="20"/>
        </w:rPr>
      </w:pPr>
    </w:p>
    <w:p w14:paraId="7C60CA64" w14:textId="3320AD75" w:rsidR="008F76F3" w:rsidRPr="00BE711E" w:rsidRDefault="008F76F3" w:rsidP="00981221">
      <w:pPr>
        <w:spacing w:after="0"/>
        <w:jc w:val="center"/>
        <w:rPr>
          <w:rFonts w:ascii="Times New Roman" w:hAnsi="Times New Roman" w:cs="Times New Roman"/>
          <w:b/>
          <w:sz w:val="24"/>
          <w:szCs w:val="24"/>
        </w:rPr>
      </w:pPr>
      <w:r w:rsidRPr="00BE711E">
        <w:rPr>
          <w:rFonts w:ascii="Times New Roman" w:hAnsi="Times New Roman" w:cs="Times New Roman"/>
          <w:b/>
          <w:sz w:val="24"/>
          <w:szCs w:val="24"/>
        </w:rPr>
        <w:t xml:space="preserve">ESTUDO TÉCNICO PRELIMINAR </w:t>
      </w:r>
    </w:p>
    <w:p w14:paraId="1C9A8B45" w14:textId="77777777" w:rsidR="008F76F3" w:rsidRPr="00BE711E" w:rsidRDefault="008F76F3" w:rsidP="00981221">
      <w:pPr>
        <w:spacing w:after="0"/>
        <w:rPr>
          <w:rFonts w:ascii="Times New Roman" w:hAnsi="Times New Roman" w:cs="Times New Roman"/>
          <w:sz w:val="20"/>
          <w:szCs w:val="20"/>
        </w:rPr>
      </w:pPr>
    </w:p>
    <w:tbl>
      <w:tblPr>
        <w:tblStyle w:val="Tabelacomgrade"/>
        <w:tblW w:w="9067" w:type="dxa"/>
        <w:tblLook w:val="04A0" w:firstRow="1" w:lastRow="0" w:firstColumn="1" w:lastColumn="0" w:noHBand="0" w:noVBand="1"/>
      </w:tblPr>
      <w:tblGrid>
        <w:gridCol w:w="9067"/>
      </w:tblGrid>
      <w:tr w:rsidR="005B7F89" w:rsidRPr="00BE711E" w14:paraId="04028805" w14:textId="77777777" w:rsidTr="008B3682">
        <w:tc>
          <w:tcPr>
            <w:tcW w:w="9067" w:type="dxa"/>
          </w:tcPr>
          <w:p w14:paraId="26396C75" w14:textId="0555DC19" w:rsidR="005B7F89" w:rsidRPr="00BE711E" w:rsidRDefault="008B3682" w:rsidP="00981221">
            <w:pPr>
              <w:spacing w:after="0"/>
              <w:ind w:firstLine="0"/>
              <w:rPr>
                <w:rFonts w:ascii="Times New Roman" w:hAnsi="Times New Roman" w:cs="Times New Roman"/>
                <w:b/>
                <w:sz w:val="20"/>
                <w:szCs w:val="20"/>
              </w:rPr>
            </w:pPr>
            <w:r w:rsidRPr="00BE711E">
              <w:rPr>
                <w:rFonts w:ascii="Times New Roman" w:hAnsi="Times New Roman" w:cs="Times New Roman"/>
                <w:b/>
                <w:sz w:val="20"/>
                <w:szCs w:val="20"/>
              </w:rPr>
              <w:t xml:space="preserve">1 – </w:t>
            </w:r>
            <w:r w:rsidR="00565F57" w:rsidRPr="00BE711E">
              <w:rPr>
                <w:rFonts w:ascii="Times New Roman" w:hAnsi="Times New Roman" w:cs="Times New Roman"/>
                <w:b/>
                <w:sz w:val="20"/>
                <w:szCs w:val="20"/>
              </w:rPr>
              <w:t xml:space="preserve">OBJETO: </w:t>
            </w:r>
          </w:p>
        </w:tc>
      </w:tr>
      <w:tr w:rsidR="008B3682" w:rsidRPr="00BE711E" w14:paraId="28D878C5" w14:textId="77777777" w:rsidTr="001E1A66">
        <w:tc>
          <w:tcPr>
            <w:tcW w:w="9067" w:type="dxa"/>
            <w:shd w:val="clear" w:color="auto" w:fill="EDEDED" w:themeFill="accent3" w:themeFillTint="33"/>
          </w:tcPr>
          <w:p w14:paraId="59AEFACD" w14:textId="2343F961" w:rsidR="008B3682" w:rsidRPr="00BE711E" w:rsidRDefault="00E734A5" w:rsidP="00981221">
            <w:pPr>
              <w:spacing w:after="0"/>
              <w:ind w:firstLine="0"/>
              <w:rPr>
                <w:rFonts w:ascii="Times New Roman" w:hAnsi="Times New Roman" w:cs="Times New Roman"/>
                <w:b/>
                <w:sz w:val="20"/>
                <w:szCs w:val="20"/>
              </w:rPr>
            </w:pPr>
            <w:r w:rsidRPr="00BE711E">
              <w:rPr>
                <w:rFonts w:ascii="Times New Roman" w:hAnsi="Times New Roman" w:cs="Times New Roman"/>
                <w:sz w:val="20"/>
                <w:szCs w:val="20"/>
              </w:rPr>
              <w:t>Credenciamento de pessoas jurídicas para a prestação de serviços de roçadas em geral, com roçadeira manual, incluindo material e mão-de-obra, inclusive combustível necessário para a execução dos serviços, em áreas públicas do Município de Paverama.</w:t>
            </w:r>
          </w:p>
        </w:tc>
      </w:tr>
      <w:tr w:rsidR="008B3682" w:rsidRPr="00BE711E" w14:paraId="47F0414E" w14:textId="77777777" w:rsidTr="008B3682">
        <w:tc>
          <w:tcPr>
            <w:tcW w:w="9067" w:type="dxa"/>
          </w:tcPr>
          <w:p w14:paraId="60F59209" w14:textId="10F1977F" w:rsidR="008B3682" w:rsidRPr="00BE711E" w:rsidRDefault="008B3682" w:rsidP="00981221">
            <w:pPr>
              <w:spacing w:after="0"/>
              <w:ind w:firstLine="0"/>
              <w:rPr>
                <w:rFonts w:ascii="Times New Roman" w:hAnsi="Times New Roman" w:cs="Times New Roman"/>
                <w:sz w:val="20"/>
                <w:szCs w:val="20"/>
              </w:rPr>
            </w:pPr>
            <w:r w:rsidRPr="00BE711E">
              <w:rPr>
                <w:rFonts w:ascii="Times New Roman" w:hAnsi="Times New Roman" w:cs="Times New Roman"/>
                <w:b/>
                <w:bCs/>
                <w:sz w:val="20"/>
                <w:szCs w:val="20"/>
              </w:rPr>
              <w:t>ÓRGÃO DEMANDANTE:</w:t>
            </w:r>
            <w:r w:rsidRPr="00BE711E">
              <w:rPr>
                <w:rFonts w:ascii="Times New Roman" w:hAnsi="Times New Roman" w:cs="Times New Roman"/>
                <w:sz w:val="20"/>
                <w:szCs w:val="20"/>
              </w:rPr>
              <w:t xml:space="preserve"> </w:t>
            </w:r>
            <w:r w:rsidR="00E734A5" w:rsidRPr="00BE711E">
              <w:rPr>
                <w:rFonts w:ascii="Times New Roman" w:hAnsi="Times New Roman" w:cs="Times New Roman"/>
                <w:sz w:val="20"/>
                <w:szCs w:val="20"/>
              </w:rPr>
              <w:t>Secretaria Municipal de Administração, Fazenda e Planejamento</w:t>
            </w:r>
          </w:p>
        </w:tc>
      </w:tr>
      <w:tr w:rsidR="008F76F3" w:rsidRPr="00BE711E" w14:paraId="58FCAF88" w14:textId="77777777" w:rsidTr="008B3682">
        <w:tc>
          <w:tcPr>
            <w:tcW w:w="9067" w:type="dxa"/>
            <w:tcBorders>
              <w:top w:val="single" w:sz="4" w:space="0" w:color="auto"/>
              <w:left w:val="nil"/>
              <w:bottom w:val="single" w:sz="4" w:space="0" w:color="auto"/>
              <w:right w:val="nil"/>
            </w:tcBorders>
          </w:tcPr>
          <w:p w14:paraId="678E4BBE" w14:textId="77777777" w:rsidR="008F76F3" w:rsidRPr="00BE711E" w:rsidRDefault="008F76F3" w:rsidP="00981221">
            <w:pPr>
              <w:spacing w:after="0"/>
              <w:rPr>
                <w:rFonts w:ascii="Times New Roman" w:hAnsi="Times New Roman" w:cs="Times New Roman"/>
                <w:b/>
                <w:sz w:val="20"/>
                <w:szCs w:val="20"/>
              </w:rPr>
            </w:pPr>
          </w:p>
        </w:tc>
      </w:tr>
      <w:tr w:rsidR="008F76F3" w:rsidRPr="00BE711E" w14:paraId="3DD24274" w14:textId="77777777" w:rsidTr="008B3682">
        <w:tc>
          <w:tcPr>
            <w:tcW w:w="9067" w:type="dxa"/>
            <w:tcBorders>
              <w:top w:val="single" w:sz="4" w:space="0" w:color="auto"/>
            </w:tcBorders>
          </w:tcPr>
          <w:p w14:paraId="1BF269D1" w14:textId="63B930A9" w:rsidR="008F76F3" w:rsidRPr="00BE711E" w:rsidRDefault="008B3682" w:rsidP="00981221">
            <w:pPr>
              <w:spacing w:after="0"/>
              <w:ind w:firstLine="0"/>
              <w:rPr>
                <w:rFonts w:ascii="Times New Roman" w:hAnsi="Times New Roman" w:cs="Times New Roman"/>
                <w:b/>
                <w:sz w:val="20"/>
                <w:szCs w:val="20"/>
              </w:rPr>
            </w:pPr>
            <w:r w:rsidRPr="00BE711E">
              <w:rPr>
                <w:rFonts w:ascii="Times New Roman" w:hAnsi="Times New Roman" w:cs="Times New Roman"/>
                <w:b/>
                <w:sz w:val="20"/>
                <w:szCs w:val="20"/>
              </w:rPr>
              <w:t>2</w:t>
            </w:r>
            <w:r w:rsidR="008F76F3" w:rsidRPr="00BE711E">
              <w:rPr>
                <w:rFonts w:ascii="Times New Roman" w:hAnsi="Times New Roman" w:cs="Times New Roman"/>
                <w:b/>
                <w:sz w:val="20"/>
                <w:szCs w:val="20"/>
              </w:rPr>
              <w:t xml:space="preserve"> </w:t>
            </w:r>
            <w:r w:rsidRPr="00BE711E">
              <w:rPr>
                <w:rFonts w:ascii="Times New Roman" w:hAnsi="Times New Roman" w:cs="Times New Roman"/>
                <w:b/>
                <w:sz w:val="20"/>
                <w:szCs w:val="20"/>
              </w:rPr>
              <w:t>–</w:t>
            </w:r>
            <w:r w:rsidR="008F76F3" w:rsidRPr="00BE711E">
              <w:rPr>
                <w:rFonts w:ascii="Times New Roman" w:hAnsi="Times New Roman" w:cs="Times New Roman"/>
                <w:b/>
                <w:sz w:val="20"/>
                <w:szCs w:val="20"/>
              </w:rPr>
              <w:t xml:space="preserve"> DESCRIÇÃO DA NECESSIDADE</w:t>
            </w:r>
            <w:r w:rsidR="00FC4923" w:rsidRPr="00BE711E">
              <w:rPr>
                <w:rFonts w:ascii="Times New Roman" w:hAnsi="Times New Roman" w:cs="Times New Roman"/>
                <w:b/>
                <w:sz w:val="20"/>
                <w:szCs w:val="20"/>
              </w:rPr>
              <w:t>:</w:t>
            </w:r>
          </w:p>
        </w:tc>
      </w:tr>
      <w:tr w:rsidR="008F76F3" w:rsidRPr="00BE711E" w14:paraId="7549A9A5" w14:textId="77777777" w:rsidTr="008B3682">
        <w:tc>
          <w:tcPr>
            <w:tcW w:w="9067" w:type="dxa"/>
            <w:shd w:val="clear" w:color="auto" w:fill="F2F2F2" w:themeFill="background1" w:themeFillShade="F2"/>
          </w:tcPr>
          <w:p w14:paraId="464C3993" w14:textId="36FEED89" w:rsidR="008F76F3" w:rsidRPr="00BE711E" w:rsidRDefault="008F76F3" w:rsidP="00981221">
            <w:pPr>
              <w:spacing w:after="0"/>
              <w:ind w:firstLine="0"/>
              <w:rPr>
                <w:rFonts w:ascii="Times New Roman" w:eastAsia="Times New Roman" w:hAnsi="Times New Roman" w:cs="Times New Roman"/>
                <w:b/>
                <w:color w:val="000000"/>
                <w:sz w:val="20"/>
                <w:szCs w:val="20"/>
                <w:lang w:eastAsia="pt-BR"/>
              </w:rPr>
            </w:pPr>
            <w:r w:rsidRPr="00BE711E">
              <w:rPr>
                <w:rFonts w:ascii="Times New Roman" w:eastAsia="Times New Roman" w:hAnsi="Times New Roman" w:cs="Times New Roman"/>
                <w:b/>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Descrição da necessidade da contratação, considerado o problema a ser resolvido sob a perspectiva do interesse público (inciso I do § 1° do art. 18 da Lei 14.133/2021)</w:t>
            </w:r>
            <w:r w:rsidRPr="00BE711E">
              <w:rPr>
                <w:rFonts w:ascii="Times New Roman" w:eastAsia="Times New Roman" w:hAnsi="Times New Roman" w:cs="Times New Roman"/>
                <w:b/>
                <w:color w:val="000000"/>
                <w:sz w:val="20"/>
                <w:szCs w:val="20"/>
                <w:lang w:eastAsia="pt-BR"/>
              </w:rPr>
              <w:t xml:space="preserve"> </w:t>
            </w:r>
          </w:p>
        </w:tc>
      </w:tr>
      <w:tr w:rsidR="008F76F3" w:rsidRPr="00BE711E" w14:paraId="20066B50" w14:textId="77777777" w:rsidTr="008B3682">
        <w:tc>
          <w:tcPr>
            <w:tcW w:w="9067" w:type="dxa"/>
          </w:tcPr>
          <w:p w14:paraId="4411C6C5" w14:textId="77777777" w:rsidR="00E734A5" w:rsidRPr="00BE711E" w:rsidRDefault="00E734A5"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O presente Estudo Técnico Preliminar tem por finalidade examinar, sob as perspectivas técnica, administrativa e econômica, a necessidade de credenciamento de pessoas jurídicas devidamente habilitadas para a prestação de serviços de roçadas em geral, com roçadeira manual, incluindo material e mão-de-obra, inclusive combustível necessário à execução dos serviços, em áreas públicas do Município de Paverama.</w:t>
            </w:r>
          </w:p>
          <w:p w14:paraId="3DEC488E" w14:textId="297E193C" w:rsidR="00BE711E" w:rsidRDefault="00BE711E"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A necessidade ora analisada insere-se na competência municipal para organizar e prestar serviços públicos de interesse local e promover, no que couber, o adequado ordenamento territorial, nos termos do art. 30, inciso V, da Constituição Federal, bem como na competência comum de proteção do meio ambiente prevista no art. 23, inciso VI.</w:t>
            </w:r>
          </w:p>
          <w:p w14:paraId="0F6F9870" w14:textId="07F7866A" w:rsidR="00E734A5" w:rsidRPr="00BE711E" w:rsidRDefault="00E734A5"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A ausência de roçada e limpeza periódica das áreas públicas — praças, canteiros, entornos de prédios públicos, escolas, unidades de saúde e demais logradouros municipais — favorece a proliferação de vetores transmissores de doenças, o acúmulo de resíduos, o comprometimento da visibilidade e da segurança viária e a degradação da paisagem urbana, além de gerar risco à saúde pública e ao meio ambiente. Trata-se, portanto, de serviço essencial e contínuo à manutenção da infraestrutura urbana e à qualidade de vida da população.</w:t>
            </w:r>
          </w:p>
          <w:p w14:paraId="4737C0C0" w14:textId="77777777" w:rsidR="00E734A5" w:rsidRPr="00BE711E" w:rsidRDefault="00E734A5"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O Município possui quadro reduzido de servidores efetivos lotados nos serviços de manutenção e conservação de áreas públicas, insuficiente para atender à totalidade da demanda existente, notadamente em razão da extensão territorial a ser coberta e da periodicidade necessária para manutenção adequada das áreas verdes e logradouros. Historicamente, essa insuficiência de mão de obra própria vem sendo suprida por meio de contratação de serviços terceirizados, tendo o Município realizado, para tal finalidade, o Edital de Chamamento Público nº 003/2021, fundamentado na Lei Municipal nº 2.942/2019 e na Lei Federal nº 8.666/93, o qual contemplava, entre outros itens, os serviços de roçada em geral por metro quadrado.</w:t>
            </w:r>
          </w:p>
          <w:p w14:paraId="7E872055" w14:textId="77777777" w:rsidR="00182E97" w:rsidRDefault="00182E97" w:rsidP="00981221">
            <w:pPr>
              <w:spacing w:after="0"/>
              <w:ind w:firstLine="737"/>
              <w:rPr>
                <w:rFonts w:ascii="Times New Roman" w:hAnsi="Times New Roman" w:cs="Times New Roman"/>
                <w:sz w:val="20"/>
                <w:szCs w:val="20"/>
              </w:rPr>
            </w:pPr>
            <w:r w:rsidRPr="00182E97">
              <w:rPr>
                <w:rFonts w:ascii="Times New Roman" w:hAnsi="Times New Roman" w:cs="Times New Roman"/>
                <w:sz w:val="20"/>
                <w:szCs w:val="20"/>
              </w:rPr>
              <w:t>Com o início da atual gestão, em 2025, foi identificada a necessidade de instauração de novo processo de credenciamento, inclusive em razão da conveniência de revisão do objeto, dos valores e das condições de execução. Por razões administrativas, o novo procedimento não foi concluído em tempo oportuno, tendo sido adotadas medidas transitórias para o atendimento das necessidades imediatas. Essa circunstância reforça a necessidade de célere regularização da contratação, mediante procedimento formal que assegure planejamento, transparência, fiscalização e segurança jurídica, sem que o presente Estudo Técnico Preliminar tenha por finalidade convalidar despesas pretéritas.</w:t>
            </w:r>
          </w:p>
          <w:p w14:paraId="2DDA688B" w14:textId="78EEDC52" w:rsidR="00BE711E" w:rsidRDefault="00BE711E"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Embora seja possível estimar a demanda para fins de planejamento administrativo e orçamentário, sua execução não ocorre de maneira uniforme ao longo do exercício, variando conforme as condições climáticas, o crescimento da vegetação, a localização das áreas e a necessidade de atendimento simultâneo de diferentes espaços públicos. Nesse contexto, a escolha do credenciamento não decorre da impossibilidade de estimar quantitativos, mas da viabilidade e da vantagem operacional de manter múltiplos prestadores habilitados, em condições padronizadas, permitindo a formação de frentes simultâneas de trabalho, a redução da dependência de uma única empresa e a distribuição objetiva das Ordens de Serviço conforme as necessidades efetivamente identificadas.</w:t>
            </w:r>
          </w:p>
          <w:p w14:paraId="25FE18B4" w14:textId="02CDD7BF" w:rsidR="00E46439" w:rsidRPr="00BE711E" w:rsidRDefault="00E734A5"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Diante do exposto, conclui-se que a necessidade administrativa consiste em assegurar a execução regular, contínua e adequada dos serviços de roçada nas áreas públicas do Município de Paverama, mediante solução contratual compatível com a insuficiência do quadro próprio de servidores, com a natureza pulverizada e variável da demanda e com a necessidade de regularização do vínculo atualmente mantido sem cobertura contratual.</w:t>
            </w:r>
          </w:p>
        </w:tc>
      </w:tr>
    </w:tbl>
    <w:p w14:paraId="314F9F33" w14:textId="77777777" w:rsidR="008F76F3" w:rsidRPr="00BE711E" w:rsidRDefault="008F76F3" w:rsidP="00981221">
      <w:pPr>
        <w:spacing w:after="0"/>
        <w:rPr>
          <w:rFonts w:ascii="Times New Roman" w:hAnsi="Times New Roman" w:cs="Times New Roman"/>
          <w:sz w:val="20"/>
          <w:szCs w:val="20"/>
        </w:rPr>
      </w:pPr>
    </w:p>
    <w:tbl>
      <w:tblPr>
        <w:tblStyle w:val="Tabelacomgrade"/>
        <w:tblW w:w="9067" w:type="dxa"/>
        <w:tblLook w:val="04A0" w:firstRow="1" w:lastRow="0" w:firstColumn="1" w:lastColumn="0" w:noHBand="0" w:noVBand="1"/>
      </w:tblPr>
      <w:tblGrid>
        <w:gridCol w:w="9067"/>
      </w:tblGrid>
      <w:tr w:rsidR="008F76F3" w:rsidRPr="00BE711E" w14:paraId="1BB79560" w14:textId="77777777" w:rsidTr="008B3682">
        <w:tc>
          <w:tcPr>
            <w:tcW w:w="9067" w:type="dxa"/>
          </w:tcPr>
          <w:p w14:paraId="569B37C6" w14:textId="00FD35E5" w:rsidR="008F76F3" w:rsidRPr="00BE711E" w:rsidRDefault="00693EB0" w:rsidP="00981221">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3</w:t>
            </w:r>
            <w:r w:rsidR="008F76F3" w:rsidRPr="00BE711E">
              <w:rPr>
                <w:rFonts w:ascii="Times New Roman" w:eastAsia="Times New Roman" w:hAnsi="Times New Roman" w:cs="Times New Roman"/>
                <w:b/>
                <w:bCs/>
                <w:color w:val="000000"/>
                <w:sz w:val="20"/>
                <w:szCs w:val="20"/>
                <w:lang w:eastAsia="pt-BR"/>
              </w:rPr>
              <w:t xml:space="preserve"> – PREVISÃO NO PLANO DE CONTRATAÇÕES ANUAL</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7498D87B" w14:textId="77777777" w:rsidTr="008B3682">
        <w:tc>
          <w:tcPr>
            <w:tcW w:w="9067" w:type="dxa"/>
            <w:shd w:val="clear" w:color="auto" w:fill="F2F2F2" w:themeFill="background1" w:themeFillShade="F2"/>
          </w:tcPr>
          <w:p w14:paraId="6CEA53AC" w14:textId="77777777" w:rsidR="008F76F3" w:rsidRPr="00BE711E" w:rsidRDefault="008F76F3" w:rsidP="00981221">
            <w:pPr>
              <w:pStyle w:val="Default"/>
              <w:jc w:val="both"/>
              <w:rPr>
                <w:rFonts w:eastAsia="Times New Roman"/>
                <w:sz w:val="20"/>
                <w:szCs w:val="20"/>
                <w:lang w:eastAsia="pt-BR"/>
              </w:rPr>
            </w:pPr>
            <w:r w:rsidRPr="00BE711E">
              <w:rPr>
                <w:rFonts w:eastAsia="Times New Roman"/>
                <w:bCs/>
                <w:sz w:val="20"/>
                <w:szCs w:val="20"/>
                <w:lang w:eastAsia="pt-BR"/>
              </w:rPr>
              <w:t xml:space="preserve">Fundamentação: </w:t>
            </w:r>
            <w:r w:rsidRPr="00BE711E">
              <w:rPr>
                <w:sz w:val="20"/>
                <w:szCs w:val="20"/>
              </w:rPr>
              <w:t xml:space="preserve">Demonstração da previsão da contratação no plano de contratações anual, sempre que elaborado, de modo a indicar o seu alinhamento com o planejamento da Administração </w:t>
            </w:r>
            <w:r w:rsidRPr="00BE711E">
              <w:rPr>
                <w:rFonts w:eastAsia="Times New Roman"/>
                <w:sz w:val="20"/>
                <w:szCs w:val="20"/>
                <w:lang w:eastAsia="pt-BR"/>
              </w:rPr>
              <w:t xml:space="preserve">(inciso II do § 1° do art. 18 da Lei 14.133/21); </w:t>
            </w:r>
          </w:p>
        </w:tc>
      </w:tr>
      <w:tr w:rsidR="008F76F3" w:rsidRPr="00BE711E" w14:paraId="27DB0D15" w14:textId="77777777" w:rsidTr="008B3682">
        <w:tc>
          <w:tcPr>
            <w:tcW w:w="9067" w:type="dxa"/>
          </w:tcPr>
          <w:p w14:paraId="05893129" w14:textId="77777777" w:rsidR="00E734A5" w:rsidRPr="00BE711E" w:rsidRDefault="00E734A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A contratação ora analisada encontra-se expressamente prevista no Plano de Contratações Anual – PCA 2026 do Município de Paverama, no item destinado ao credenciamento de pessoas jurídicas para a prestação de serviços de roçadas em geral em áreas públicas do Município, evidenciando que a demanda foi previamente identificada, planejada e incorporada ao ciclo formal de planejamento institucional.</w:t>
            </w:r>
          </w:p>
          <w:p w14:paraId="7B2FA6DE" w14:textId="77777777" w:rsidR="00E734A5" w:rsidRPr="00BE711E" w:rsidRDefault="00E734A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previsão no PCA demonstra que a contratação não decorre de necessidade eventual ou de decisão administrativa improvisada, mas de demanda contínua previamente reconhecida pela Administração, destinada a assegurar a manutenção, limpeza e conservação das áreas públicas do Município, mediante credenciamento de empresas especializadas na prestação desses serviços.</w:t>
            </w:r>
          </w:p>
          <w:p w14:paraId="26B5CF36" w14:textId="6E217C98" w:rsidR="004C2102" w:rsidRPr="00BE711E" w:rsidRDefault="00E734A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Nesse contexto, o credenciamento constitui desdobramento operacional das ações programadas pela Administração, demonstrando aderência entre o planejamento institucional, a previsão orçamentária e a execução dos serviços públicos necessários à manutenção da infraestrutura urbana e à qualidade de vida da população. Dessa forma, resta evidenciada a adequada integração entre o Plano de Contratações Anual – PCA 2026, os demais instrumentos de planejamento municipal e o presente Estudo Técnico Preliminar, em conformidade com o disposto no art. 18, § 1º, inciso II, da Lei Federal nº 14.133/2021.</w:t>
            </w:r>
          </w:p>
        </w:tc>
      </w:tr>
    </w:tbl>
    <w:p w14:paraId="19919687" w14:textId="77777777" w:rsidR="008F76F3" w:rsidRPr="00BE711E" w:rsidRDefault="008F76F3" w:rsidP="00981221">
      <w:pPr>
        <w:spacing w:after="0"/>
        <w:rPr>
          <w:rFonts w:ascii="Times New Roman" w:hAnsi="Times New Roman" w:cs="Times New Roman"/>
          <w:sz w:val="20"/>
          <w:szCs w:val="20"/>
        </w:rPr>
      </w:pPr>
    </w:p>
    <w:tbl>
      <w:tblPr>
        <w:tblStyle w:val="Tabelacomgrade"/>
        <w:tblW w:w="9067" w:type="dxa"/>
        <w:tblLook w:val="04A0" w:firstRow="1" w:lastRow="0" w:firstColumn="1" w:lastColumn="0" w:noHBand="0" w:noVBand="1"/>
      </w:tblPr>
      <w:tblGrid>
        <w:gridCol w:w="9067"/>
      </w:tblGrid>
      <w:tr w:rsidR="008F76F3" w:rsidRPr="00BE711E" w14:paraId="555D9A9F" w14:textId="77777777" w:rsidTr="008B3682">
        <w:tc>
          <w:tcPr>
            <w:tcW w:w="9067" w:type="dxa"/>
          </w:tcPr>
          <w:p w14:paraId="01487FDB" w14:textId="7FE8574C" w:rsidR="008F76F3" w:rsidRPr="00BE711E" w:rsidRDefault="00B54180" w:rsidP="00981221">
            <w:pPr>
              <w:spacing w:after="0"/>
              <w:ind w:firstLine="0"/>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4</w:t>
            </w:r>
            <w:r w:rsidR="008F76F3" w:rsidRPr="00BE711E">
              <w:rPr>
                <w:rFonts w:ascii="Times New Roman" w:eastAsia="Times New Roman" w:hAnsi="Times New Roman" w:cs="Times New Roman"/>
                <w:b/>
                <w:bCs/>
                <w:color w:val="000000"/>
                <w:sz w:val="20"/>
                <w:szCs w:val="20"/>
                <w:lang w:eastAsia="pt-BR"/>
              </w:rPr>
              <w:t xml:space="preserve"> – REQUISITOS DA CONTRATAÇÃO</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71E721F9" w14:textId="77777777" w:rsidTr="008B3682">
        <w:tc>
          <w:tcPr>
            <w:tcW w:w="9067" w:type="dxa"/>
            <w:shd w:val="clear" w:color="auto" w:fill="F2F2F2" w:themeFill="background1" w:themeFillShade="F2"/>
          </w:tcPr>
          <w:p w14:paraId="0301AA19"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 xml:space="preserve">Descrição dos requisitos necessários e suficientes à escolha da solução (inciso III do § 1° do art. 18 da Lei 14.133/2021); </w:t>
            </w:r>
          </w:p>
        </w:tc>
      </w:tr>
      <w:tr w:rsidR="008F76F3" w:rsidRPr="00BE711E" w14:paraId="23A4E659" w14:textId="77777777" w:rsidTr="008B3682">
        <w:tc>
          <w:tcPr>
            <w:tcW w:w="9067" w:type="dxa"/>
          </w:tcPr>
          <w:p w14:paraId="386B2BC1"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solução destinada à prestação de serviços de roçada deverá observar requisitos técnicos, operacionais e jurídicos capazes de assegurar a regularidade, a continuidade e a qualidade da execução nas áreas públicas do Município de Paverama.</w:t>
            </w:r>
          </w:p>
          <w:p w14:paraId="027A699A"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requisitos estabelecidos neste Estudo Técnico Preliminar constituem condições mínimas e suficientes para que a futura contratação atenda ao interesse público, assegure a adequada manutenção das áreas públicas e permita o adequado acompanhamento e controle da execução pela Administração Municipal.</w:t>
            </w:r>
          </w:p>
          <w:p w14:paraId="2D31EE4C" w14:textId="6632B749"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4.1. </w:t>
            </w:r>
            <w:r w:rsidR="00942283" w:rsidRPr="00BE711E">
              <w:rPr>
                <w:rFonts w:ascii="Times New Roman" w:hAnsi="Times New Roman" w:cs="Times New Roman"/>
                <w:sz w:val="20"/>
                <w:szCs w:val="20"/>
              </w:rPr>
              <w:t xml:space="preserve">Natureza </w:t>
            </w:r>
            <w:r w:rsidR="00942283">
              <w:rPr>
                <w:rFonts w:ascii="Times New Roman" w:hAnsi="Times New Roman" w:cs="Times New Roman"/>
                <w:sz w:val="20"/>
                <w:szCs w:val="20"/>
              </w:rPr>
              <w:t>d</w:t>
            </w:r>
            <w:r w:rsidR="00942283" w:rsidRPr="00BE711E">
              <w:rPr>
                <w:rFonts w:ascii="Times New Roman" w:hAnsi="Times New Roman" w:cs="Times New Roman"/>
                <w:sz w:val="20"/>
                <w:szCs w:val="20"/>
              </w:rPr>
              <w:t xml:space="preserve">a </w:t>
            </w:r>
            <w:r w:rsidR="00942283">
              <w:rPr>
                <w:rFonts w:ascii="Times New Roman" w:hAnsi="Times New Roman" w:cs="Times New Roman"/>
                <w:sz w:val="20"/>
                <w:szCs w:val="20"/>
              </w:rPr>
              <w:t>c</w:t>
            </w:r>
            <w:r w:rsidR="00942283" w:rsidRPr="00BE711E">
              <w:rPr>
                <w:rFonts w:ascii="Times New Roman" w:hAnsi="Times New Roman" w:cs="Times New Roman"/>
                <w:sz w:val="20"/>
                <w:szCs w:val="20"/>
              </w:rPr>
              <w:t>ontratação</w:t>
            </w:r>
            <w:r w:rsidR="00942283">
              <w:rPr>
                <w:rFonts w:ascii="Times New Roman" w:hAnsi="Times New Roman" w:cs="Times New Roman"/>
                <w:sz w:val="20"/>
                <w:szCs w:val="20"/>
              </w:rPr>
              <w:t>:</w:t>
            </w:r>
          </w:p>
          <w:p w14:paraId="6F8F99AC"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contratação caracteriza-se como prestação de serviços comuns, de natureza continuada e execução conforme demanda, mediante a realização de serviços de roçada em geral, com roçadeira manual, em áreas públicas do Município.</w:t>
            </w:r>
          </w:p>
          <w:p w14:paraId="730757F0"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padrões de desempenho, qualidade, forma de convocação, medição, comprovação e pagamento podem ser objetivamente definidos no Termo de Referência e no Edital de Chamamento Público, mediante especificações usuais no mercado.</w:t>
            </w:r>
          </w:p>
          <w:p w14:paraId="7BC58726"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serviços serão executados de forma parcelada, conforme as necessidades identificadas pelas Secretarias Municipais competentes, mediante emissão de Ordem de Serviço, sem garantia de quantitativo mínimo ao credenciado.</w:t>
            </w:r>
          </w:p>
          <w:p w14:paraId="63DEAB7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pagamento será condicionado à área efetivamente roçada, medida, comprovada e atestada pela fiscalização contratual, preservando-se a proporcionalidade entre a despesa pública e o serviço efetivamente entregue.</w:t>
            </w:r>
          </w:p>
          <w:p w14:paraId="706525BC"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Considerando o caráter contínuo, pulverizado geograficamente e variável da demanda, a possibilidade de contratação simultânea de todos os interessados que atendam às condições padronizadas e a conveniência de ampliar a rede de prestadores, a solução deverá ser implementada por meio de Chamamento Público para Credenciamento, na hipótese de contratação paralela e não excludente, nos termos do Decreto Municipal nº 1.178/2022.</w:t>
            </w:r>
          </w:p>
          <w:p w14:paraId="736582E6" w14:textId="2D995203"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4.2. </w:t>
            </w:r>
            <w:r w:rsidR="00942283">
              <w:rPr>
                <w:rFonts w:ascii="Times New Roman" w:hAnsi="Times New Roman" w:cs="Times New Roman"/>
                <w:sz w:val="20"/>
                <w:szCs w:val="20"/>
              </w:rPr>
              <w:t>D</w:t>
            </w:r>
            <w:r w:rsidR="00942283" w:rsidRPr="00BE711E">
              <w:rPr>
                <w:rFonts w:ascii="Times New Roman" w:hAnsi="Times New Roman" w:cs="Times New Roman"/>
                <w:sz w:val="20"/>
                <w:szCs w:val="20"/>
              </w:rPr>
              <w:t>isposições gerais e requisitos técnicos mínimos</w:t>
            </w:r>
            <w:r w:rsidR="00942283">
              <w:rPr>
                <w:rFonts w:ascii="Times New Roman" w:hAnsi="Times New Roman" w:cs="Times New Roman"/>
                <w:sz w:val="20"/>
                <w:szCs w:val="20"/>
              </w:rPr>
              <w:t>:</w:t>
            </w:r>
          </w:p>
          <w:p w14:paraId="185B9716"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futura credenciada deverá dispor de estrutura mínima compatível com a execução dos serviços de roçada, incluindo mão de obra, ferramentas e equipamentos de proteção individual, observadas as normas de segurança do trabalho aplicáveis à atividade.</w:t>
            </w:r>
          </w:p>
          <w:p w14:paraId="0CBFDF44" w14:textId="77777777" w:rsidR="00E16115" w:rsidRPr="00BE711E" w:rsidRDefault="00E16115" w:rsidP="00981221">
            <w:pPr>
              <w:spacing w:after="0"/>
              <w:ind w:firstLine="596"/>
              <w:rPr>
                <w:rFonts w:ascii="Times New Roman" w:hAnsi="Times New Roman" w:cs="Times New Roman"/>
                <w:sz w:val="20"/>
                <w:szCs w:val="20"/>
              </w:rPr>
            </w:pPr>
            <w:r w:rsidRPr="00C20333">
              <w:rPr>
                <w:rFonts w:ascii="Times New Roman" w:hAnsi="Times New Roman" w:cs="Times New Roman"/>
                <w:b/>
                <w:bCs/>
                <w:sz w:val="20"/>
                <w:szCs w:val="20"/>
              </w:rPr>
              <w:t>A execução dos serviços exige, necessariamente, o deslocamento da credenciada até as diferentes áreas públicas do Município nas quais os serviços forem demandados, cabendo à credenciada, por sua conta e risco, providenciar o deslocamento de trabalhadores, ferramentas, combustível e demais insumos necessários até cada local de execução indicado na Ordem de Serviço, não cabendo ao Município qualquer responsabilidade por deslocamento, transporte ou logística da credenciada.</w:t>
            </w:r>
            <w:r w:rsidRPr="00BE711E">
              <w:rPr>
                <w:rFonts w:ascii="Times New Roman" w:hAnsi="Times New Roman" w:cs="Times New Roman"/>
                <w:sz w:val="20"/>
                <w:szCs w:val="20"/>
              </w:rPr>
              <w:t xml:space="preserve"> A capacidade de atendimento pulverizado em diferentes pontos do território municipal constitui condição inerente ao objeto e deverá ser expressamente declarada pela interessada no ato do credenciamento.</w:t>
            </w:r>
          </w:p>
          <w:p w14:paraId="37E4F6FD"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execução dos serviços deverá observar, no mínimo:</w:t>
            </w:r>
          </w:p>
          <w:p w14:paraId="65E42618"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disponibilização de roçadeira(s) manual(</w:t>
            </w:r>
            <w:proofErr w:type="spellStart"/>
            <w:r w:rsidRPr="00BE711E">
              <w:rPr>
                <w:rFonts w:ascii="Times New Roman" w:hAnsi="Times New Roman" w:cs="Times New Roman"/>
                <w:sz w:val="20"/>
                <w:szCs w:val="20"/>
              </w:rPr>
              <w:t>is</w:t>
            </w:r>
            <w:proofErr w:type="spellEnd"/>
            <w:r w:rsidRPr="00BE711E">
              <w:rPr>
                <w:rFonts w:ascii="Times New Roman" w:hAnsi="Times New Roman" w:cs="Times New Roman"/>
                <w:sz w:val="20"/>
                <w:szCs w:val="20"/>
              </w:rPr>
              <w:t>) em número suficiente para a execução do serviço demandado, em adequadas condições de funcionamento e conservação;</w:t>
            </w:r>
          </w:p>
          <w:p w14:paraId="7C964CEB"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fornecimento, por conta da credenciada, de combustível, materiais e insumos necessários à execução;</w:t>
            </w:r>
          </w:p>
          <w:p w14:paraId="2D11CA4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 xml:space="preserve">c) disponibilização de equipamentos de proteção individual – </w:t>
            </w:r>
            <w:proofErr w:type="spellStart"/>
            <w:r w:rsidRPr="00BE711E">
              <w:rPr>
                <w:rFonts w:ascii="Times New Roman" w:hAnsi="Times New Roman" w:cs="Times New Roman"/>
                <w:sz w:val="20"/>
                <w:szCs w:val="20"/>
              </w:rPr>
              <w:t>EPI's</w:t>
            </w:r>
            <w:proofErr w:type="spellEnd"/>
            <w:r w:rsidRPr="00BE711E">
              <w:rPr>
                <w:rFonts w:ascii="Times New Roman" w:hAnsi="Times New Roman" w:cs="Times New Roman"/>
                <w:sz w:val="20"/>
                <w:szCs w:val="20"/>
              </w:rPr>
              <w:t xml:space="preserve"> adequados à atividade, para todos os trabalhadores envolvidos;</w:t>
            </w:r>
          </w:p>
          <w:p w14:paraId="1E8A1030"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identificação visual dos trabalhadores como estando a serviço da credenciada;</w:t>
            </w:r>
          </w:p>
          <w:p w14:paraId="319BC7B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capacidade de deslocamento até qualquer área pública indicada pelo Município dentro do território do Município de Paverama.</w:t>
            </w:r>
          </w:p>
          <w:p w14:paraId="4049C638"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Os serviços deverão compreender a </w:t>
            </w:r>
            <w:proofErr w:type="gramStart"/>
            <w:r w:rsidRPr="00BE711E">
              <w:rPr>
                <w:rFonts w:ascii="Times New Roman" w:hAnsi="Times New Roman" w:cs="Times New Roman"/>
                <w:sz w:val="20"/>
                <w:szCs w:val="20"/>
              </w:rPr>
              <w:t>roçada manual</w:t>
            </w:r>
            <w:proofErr w:type="gramEnd"/>
            <w:r w:rsidRPr="00BE711E">
              <w:rPr>
                <w:rFonts w:ascii="Times New Roman" w:hAnsi="Times New Roman" w:cs="Times New Roman"/>
                <w:sz w:val="20"/>
                <w:szCs w:val="20"/>
              </w:rPr>
              <w:t xml:space="preserve"> da vegetação existente nas áreas públicas indicadas pela Secretaria demandante, incluindo, conforme especificação da Ordem de Serviço:</w:t>
            </w:r>
          </w:p>
          <w:p w14:paraId="69462D28"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corte da vegetação rasteira e do mato em áreas públicas, praças, canteiros, entornos de prédios públicos, escolas e unidades de saúde;</w:t>
            </w:r>
          </w:p>
          <w:p w14:paraId="4830515B" w14:textId="629F967E"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outras atividades compatíveis com o objeto e expressamente autorizadas pelo Município.</w:t>
            </w:r>
          </w:p>
          <w:p w14:paraId="00ADE32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credenciada ficará sujeita aos controles de execução determinados pela Administração, podendo o Município acompanhar os serviços por servidor designado, bem como solicitar a substituição de trabalhador que não atenda adequadamente à execução dos serviços.</w:t>
            </w:r>
          </w:p>
          <w:p w14:paraId="29F039DE" w14:textId="5D343CDE" w:rsidR="00E16115" w:rsidRPr="00BE711E" w:rsidRDefault="00942283"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4.3. </w:t>
            </w:r>
            <w:r>
              <w:rPr>
                <w:rFonts w:ascii="Times New Roman" w:hAnsi="Times New Roman" w:cs="Times New Roman"/>
                <w:sz w:val="20"/>
                <w:szCs w:val="20"/>
              </w:rPr>
              <w:t>O</w:t>
            </w:r>
            <w:r w:rsidRPr="00BE711E">
              <w:rPr>
                <w:rFonts w:ascii="Times New Roman" w:hAnsi="Times New Roman" w:cs="Times New Roman"/>
                <w:sz w:val="20"/>
                <w:szCs w:val="20"/>
              </w:rPr>
              <w:t>brigações da credenciada</w:t>
            </w:r>
            <w:r>
              <w:rPr>
                <w:rFonts w:ascii="Times New Roman" w:hAnsi="Times New Roman" w:cs="Times New Roman"/>
                <w:sz w:val="20"/>
                <w:szCs w:val="20"/>
              </w:rPr>
              <w:t>:</w:t>
            </w:r>
          </w:p>
          <w:p w14:paraId="7FE8C64C"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Incumbe à futura credenciada:</w:t>
            </w:r>
          </w:p>
          <w:p w14:paraId="200C565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executar os serviços conforme as condições previstas no Edital, no Termo de Referência e no Termo de Credenciamento, mediante prévia Ordem de Serviço;</w:t>
            </w:r>
          </w:p>
          <w:p w14:paraId="14595273"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providenciar, por conta própria e sem custo adicional ao Município, o deslocamento de trabalhadores, ferramentas, equipamentos e insumos até as áreas públicas indicadas para execução;</w:t>
            </w:r>
          </w:p>
          <w:p w14:paraId="41BCCF82"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c) disponibilizar roçadeiras manuais, </w:t>
            </w:r>
            <w:proofErr w:type="spellStart"/>
            <w:r w:rsidRPr="00BE711E">
              <w:rPr>
                <w:rFonts w:ascii="Times New Roman" w:hAnsi="Times New Roman" w:cs="Times New Roman"/>
                <w:sz w:val="20"/>
                <w:szCs w:val="20"/>
              </w:rPr>
              <w:t>EPI's</w:t>
            </w:r>
            <w:proofErr w:type="spellEnd"/>
            <w:r w:rsidRPr="00BE711E">
              <w:rPr>
                <w:rFonts w:ascii="Times New Roman" w:hAnsi="Times New Roman" w:cs="Times New Roman"/>
                <w:sz w:val="20"/>
                <w:szCs w:val="20"/>
              </w:rPr>
              <w:t>, combustível e demais materiais necessários à adequada execução dos serviços;</w:t>
            </w:r>
          </w:p>
          <w:p w14:paraId="03717DE1"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assumir integralmente os custos diretos e indiretos relacionados à prestação dos serviços, inclusive encargos trabalhistas, previdenciários, fiscais, tributários, transporte, materiais e manutenção de equipamentos;</w:t>
            </w:r>
          </w:p>
          <w:p w14:paraId="33F6D770"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executar exclusivamente os serviços autorizados por Ordem de Serviço, observando local, área e prazo indicados;</w:t>
            </w:r>
          </w:p>
          <w:p w14:paraId="1FB3AE18"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não realizar serviços adicionais por conta do Município sem autorização expressa;</w:t>
            </w:r>
          </w:p>
          <w:p w14:paraId="4B2A905B"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manter os trabalhadores identificados como a serviço da credenciada durante a execução dos serviços;</w:t>
            </w:r>
          </w:p>
          <w:p w14:paraId="3AF0D165"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h) responsabilizar-se por qualquer dano causado ao Município, a usuários das áreas públicas ou a terceiros em decorrência de ação ou omissão relacionada à execução dos serviços;</w:t>
            </w:r>
          </w:p>
          <w:p w14:paraId="1A460CE7" w14:textId="0FE505FB"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i) permitir a fiscalização da execução, inclusive mediante medição da área efetivamente roçada;</w:t>
            </w:r>
          </w:p>
          <w:p w14:paraId="0C69B843" w14:textId="4183E2E6"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j</w:t>
            </w:r>
            <w:r w:rsidR="00E16115" w:rsidRPr="00BE711E">
              <w:rPr>
                <w:rFonts w:ascii="Times New Roman" w:hAnsi="Times New Roman" w:cs="Times New Roman"/>
                <w:sz w:val="20"/>
                <w:szCs w:val="20"/>
              </w:rPr>
              <w:t>) manter durante toda a vigência do credenciamento as condições de habilitação exigidas;</w:t>
            </w:r>
          </w:p>
          <w:p w14:paraId="4ECE9A9C" w14:textId="6E4B6CC4"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k</w:t>
            </w:r>
            <w:r w:rsidR="00E16115" w:rsidRPr="00BE711E">
              <w:rPr>
                <w:rFonts w:ascii="Times New Roman" w:hAnsi="Times New Roman" w:cs="Times New Roman"/>
                <w:sz w:val="20"/>
                <w:szCs w:val="20"/>
              </w:rPr>
              <w:t>) corrigir, sem ônus adicional para o Município, falhas na execução que sejam imputáveis à credenciada;</w:t>
            </w:r>
          </w:p>
          <w:p w14:paraId="670E3C52" w14:textId="1CC016DD"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l</w:t>
            </w:r>
            <w:r w:rsidR="00E16115" w:rsidRPr="00BE711E">
              <w:rPr>
                <w:rFonts w:ascii="Times New Roman" w:hAnsi="Times New Roman" w:cs="Times New Roman"/>
                <w:sz w:val="20"/>
                <w:szCs w:val="20"/>
              </w:rPr>
              <w:t xml:space="preserve">) cumprir as normas de segurança do trabalho aplicáveis à atividade, inclusive fornecimento e uso de </w:t>
            </w:r>
            <w:proofErr w:type="spellStart"/>
            <w:r w:rsidR="00E16115" w:rsidRPr="00BE711E">
              <w:rPr>
                <w:rFonts w:ascii="Times New Roman" w:hAnsi="Times New Roman" w:cs="Times New Roman"/>
                <w:sz w:val="20"/>
                <w:szCs w:val="20"/>
              </w:rPr>
              <w:t>EPI's</w:t>
            </w:r>
            <w:proofErr w:type="spellEnd"/>
            <w:r w:rsidR="00E16115" w:rsidRPr="00BE711E">
              <w:rPr>
                <w:rFonts w:ascii="Times New Roman" w:hAnsi="Times New Roman" w:cs="Times New Roman"/>
                <w:sz w:val="20"/>
                <w:szCs w:val="20"/>
              </w:rPr>
              <w:t>.</w:t>
            </w:r>
          </w:p>
          <w:p w14:paraId="465BABE9" w14:textId="77777777" w:rsidR="00182E97" w:rsidRDefault="00182E97" w:rsidP="00981221">
            <w:pPr>
              <w:spacing w:after="0"/>
              <w:ind w:firstLine="596"/>
              <w:rPr>
                <w:rFonts w:ascii="Times New Roman" w:hAnsi="Times New Roman" w:cs="Times New Roman"/>
                <w:sz w:val="20"/>
                <w:szCs w:val="20"/>
              </w:rPr>
            </w:pPr>
            <w:r w:rsidRPr="00182E97">
              <w:rPr>
                <w:rFonts w:ascii="Times New Roman" w:hAnsi="Times New Roman" w:cs="Times New Roman"/>
                <w:sz w:val="20"/>
                <w:szCs w:val="20"/>
              </w:rPr>
              <w:t>Não será exigida garantia contratual financeira, manutenção ou assistência técnica posterior à conclusão dos serviços. Essa dispensa não afasta a obrigação da credenciada de manter seus equipamentos em condições adequadas de funcionamento e de corrigir ou refazer, sem ônus adicional, os serviços executados em desconformidade.</w:t>
            </w:r>
          </w:p>
          <w:p w14:paraId="78198CF0" w14:textId="62084BCB"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4.4. </w:t>
            </w:r>
            <w:r w:rsidR="00942283">
              <w:rPr>
                <w:rFonts w:ascii="Times New Roman" w:hAnsi="Times New Roman" w:cs="Times New Roman"/>
                <w:sz w:val="20"/>
                <w:szCs w:val="20"/>
              </w:rPr>
              <w:t>O</w:t>
            </w:r>
            <w:r w:rsidR="00942283" w:rsidRPr="00BE711E">
              <w:rPr>
                <w:rFonts w:ascii="Times New Roman" w:hAnsi="Times New Roman" w:cs="Times New Roman"/>
                <w:sz w:val="20"/>
                <w:szCs w:val="20"/>
              </w:rPr>
              <w:t>brigações do contratante</w:t>
            </w:r>
            <w:r w:rsidR="00942283">
              <w:rPr>
                <w:rFonts w:ascii="Times New Roman" w:hAnsi="Times New Roman" w:cs="Times New Roman"/>
                <w:sz w:val="20"/>
                <w:szCs w:val="20"/>
              </w:rPr>
              <w:t>:</w:t>
            </w:r>
          </w:p>
          <w:p w14:paraId="0740DD82"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Compete ao Município, por intermédio das Secretarias Municipais competentes:</w:t>
            </w:r>
          </w:p>
          <w:p w14:paraId="5E7E83B0"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identificar as áreas públicas que necessitam de execução do serviço;</w:t>
            </w:r>
          </w:p>
          <w:p w14:paraId="368EF15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emitir Ordem de Serviço, com indicação do local, da área estimada e do prazo de execução;</w:t>
            </w:r>
          </w:p>
          <w:p w14:paraId="24CE9BB6"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designar formalmente os gestores e fiscais da contratação;</w:t>
            </w:r>
          </w:p>
          <w:p w14:paraId="2538528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acompanhar e fiscalizar a execução dos serviços, inclusive mediante medição da área efetivamente roçada;</w:t>
            </w:r>
          </w:p>
          <w:p w14:paraId="089AC7AE" w14:textId="15099BD5"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e</w:t>
            </w:r>
            <w:r w:rsidR="00E16115" w:rsidRPr="00BE711E">
              <w:rPr>
                <w:rFonts w:ascii="Times New Roman" w:hAnsi="Times New Roman" w:cs="Times New Roman"/>
                <w:sz w:val="20"/>
                <w:szCs w:val="20"/>
              </w:rPr>
              <w:t>) conferir os relatórios, medições e documentos comprobatórios apresentados;</w:t>
            </w:r>
          </w:p>
          <w:p w14:paraId="34EB11B0" w14:textId="5E37B50B"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f</w:t>
            </w:r>
            <w:r w:rsidR="00E16115" w:rsidRPr="00BE711E">
              <w:rPr>
                <w:rFonts w:ascii="Times New Roman" w:hAnsi="Times New Roman" w:cs="Times New Roman"/>
                <w:sz w:val="20"/>
                <w:szCs w:val="20"/>
              </w:rPr>
              <w:t>) realizar glosas quando houver serviço não autorizado, não comprovado ou executado em desconformidade;</w:t>
            </w:r>
          </w:p>
          <w:p w14:paraId="39125E9C" w14:textId="3E2FE651"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g</w:t>
            </w:r>
            <w:r w:rsidR="00E16115" w:rsidRPr="00BE711E">
              <w:rPr>
                <w:rFonts w:ascii="Times New Roman" w:hAnsi="Times New Roman" w:cs="Times New Roman"/>
                <w:sz w:val="20"/>
                <w:szCs w:val="20"/>
              </w:rPr>
              <w:t>) assegurar o contraditório à credenciada nos casos de glosa, apuração de irregularidade ou aplicação de penalidade;</w:t>
            </w:r>
          </w:p>
          <w:p w14:paraId="10C46011" w14:textId="72172D66"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h</w:t>
            </w:r>
            <w:r w:rsidR="00E16115" w:rsidRPr="00BE711E">
              <w:rPr>
                <w:rFonts w:ascii="Times New Roman" w:hAnsi="Times New Roman" w:cs="Times New Roman"/>
                <w:sz w:val="20"/>
                <w:szCs w:val="20"/>
              </w:rPr>
              <w:t>) efetuar o pagamento exclusivamente pelos serviços efetivamente executados, medidos e atestados;</w:t>
            </w:r>
          </w:p>
          <w:p w14:paraId="58A61409" w14:textId="6A7EF112"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i</w:t>
            </w:r>
            <w:r w:rsidR="00E16115" w:rsidRPr="00BE711E">
              <w:rPr>
                <w:rFonts w:ascii="Times New Roman" w:hAnsi="Times New Roman" w:cs="Times New Roman"/>
                <w:sz w:val="20"/>
                <w:szCs w:val="20"/>
              </w:rPr>
              <w:t>) prestar os esclarecimentos necessários à adequada execução dos serviços;</w:t>
            </w:r>
          </w:p>
          <w:p w14:paraId="765B8F62" w14:textId="641E6487"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j</w:t>
            </w:r>
            <w:r w:rsidR="00E16115" w:rsidRPr="00BE711E">
              <w:rPr>
                <w:rFonts w:ascii="Times New Roman" w:hAnsi="Times New Roman" w:cs="Times New Roman"/>
                <w:sz w:val="20"/>
                <w:szCs w:val="20"/>
              </w:rPr>
              <w:t>) acompanhar a manutenção das condições de habilitação dos credenciados;</w:t>
            </w:r>
          </w:p>
          <w:p w14:paraId="319894F1" w14:textId="09EF1457" w:rsidR="00E16115"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k</w:t>
            </w:r>
            <w:r w:rsidR="00E16115" w:rsidRPr="00BE711E">
              <w:rPr>
                <w:rFonts w:ascii="Times New Roman" w:hAnsi="Times New Roman" w:cs="Times New Roman"/>
                <w:sz w:val="20"/>
                <w:szCs w:val="20"/>
              </w:rPr>
              <w:t>) adotar as providências necessárias à aplicação de sanções ou ao descredenciamento, quando cabível.</w:t>
            </w:r>
          </w:p>
          <w:p w14:paraId="4596C295" w14:textId="0D5DC911" w:rsidR="00E16115" w:rsidRPr="00BE711E" w:rsidRDefault="00942283"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4.5. Requisitos </w:t>
            </w:r>
            <w:r>
              <w:rPr>
                <w:rFonts w:ascii="Times New Roman" w:hAnsi="Times New Roman" w:cs="Times New Roman"/>
                <w:sz w:val="20"/>
                <w:szCs w:val="20"/>
              </w:rPr>
              <w:t>d</w:t>
            </w:r>
            <w:r w:rsidRPr="00BE711E">
              <w:rPr>
                <w:rFonts w:ascii="Times New Roman" w:hAnsi="Times New Roman" w:cs="Times New Roman"/>
                <w:sz w:val="20"/>
                <w:szCs w:val="20"/>
              </w:rPr>
              <w:t xml:space="preserve">e </w:t>
            </w:r>
            <w:r>
              <w:rPr>
                <w:rFonts w:ascii="Times New Roman" w:hAnsi="Times New Roman" w:cs="Times New Roman"/>
                <w:sz w:val="20"/>
                <w:szCs w:val="20"/>
              </w:rPr>
              <w:t>h</w:t>
            </w:r>
            <w:r w:rsidRPr="00BE711E">
              <w:rPr>
                <w:rFonts w:ascii="Times New Roman" w:hAnsi="Times New Roman" w:cs="Times New Roman"/>
                <w:sz w:val="20"/>
                <w:szCs w:val="20"/>
              </w:rPr>
              <w:t>abilitação</w:t>
            </w:r>
            <w:r>
              <w:rPr>
                <w:rFonts w:ascii="Times New Roman" w:hAnsi="Times New Roman" w:cs="Times New Roman"/>
                <w:sz w:val="20"/>
                <w:szCs w:val="20"/>
              </w:rPr>
              <w:t>:</w:t>
            </w:r>
          </w:p>
          <w:p w14:paraId="43B3B096"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 xml:space="preserve">Os interessados deverão comprovar atuação em ramo de atividade compatível com o objeto e apresentar os documentos de habilitação definidos nos </w:t>
            </w:r>
            <w:proofErr w:type="spellStart"/>
            <w:r w:rsidRPr="00BE711E">
              <w:rPr>
                <w:rFonts w:ascii="Times New Roman" w:hAnsi="Times New Roman" w:cs="Times New Roman"/>
                <w:sz w:val="20"/>
                <w:szCs w:val="20"/>
              </w:rPr>
              <w:t>arts</w:t>
            </w:r>
            <w:proofErr w:type="spellEnd"/>
            <w:r w:rsidRPr="00BE711E">
              <w:rPr>
                <w:rFonts w:ascii="Times New Roman" w:hAnsi="Times New Roman" w:cs="Times New Roman"/>
                <w:sz w:val="20"/>
                <w:szCs w:val="20"/>
              </w:rPr>
              <w:t>. 62 a 70 da Lei Federal nº 14.133/2021, no Decreto Municipal nº 1.178/2022 e no Edital de Chamamento Público.</w:t>
            </w:r>
          </w:p>
          <w:p w14:paraId="5F8A37E4"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Sem prejuízo de outros documentos que venham a ser tecnicamente justificados no Termo de Referência e no Edital, deverão ser exigidos:</w:t>
            </w:r>
          </w:p>
          <w:p w14:paraId="548F1805" w14:textId="58B93BF9"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4.5.1. Habilitação jurídica</w:t>
            </w:r>
            <w:r w:rsidR="00942283">
              <w:rPr>
                <w:rFonts w:ascii="Times New Roman" w:hAnsi="Times New Roman" w:cs="Times New Roman"/>
                <w:sz w:val="20"/>
                <w:szCs w:val="20"/>
              </w:rPr>
              <w:t>:</w:t>
            </w:r>
          </w:p>
          <w:p w14:paraId="10994AC4"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ato constitutivo, contrato social, estatuto ou documento equivalente em vigor, devidamente registrado;</w:t>
            </w:r>
          </w:p>
          <w:p w14:paraId="63D5F79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documentação comprobatória dos poderes do representante legal;</w:t>
            </w:r>
          </w:p>
          <w:p w14:paraId="2288A3D7"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prova de inscrição no Cadastro Nacional da Pessoa Jurídica – CNPJ, com atividade econômica compatível com o objeto.</w:t>
            </w:r>
          </w:p>
          <w:p w14:paraId="6F024139" w14:textId="66B21414"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4.5.2. Regularidade fiscal, social e trabalhista</w:t>
            </w:r>
            <w:r w:rsidR="00942283">
              <w:rPr>
                <w:rFonts w:ascii="Times New Roman" w:hAnsi="Times New Roman" w:cs="Times New Roman"/>
                <w:sz w:val="20"/>
                <w:szCs w:val="20"/>
              </w:rPr>
              <w:t>:</w:t>
            </w:r>
          </w:p>
          <w:p w14:paraId="448D2AE8"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prova de regularidade perante a Fazenda Federal e a Dívida Ativa da União;</w:t>
            </w:r>
          </w:p>
          <w:p w14:paraId="76B3E237" w14:textId="77777777" w:rsidR="00E16115" w:rsidRPr="0030173D"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b) prova de </w:t>
            </w:r>
            <w:r w:rsidRPr="0030173D">
              <w:rPr>
                <w:rFonts w:ascii="Times New Roman" w:hAnsi="Times New Roman" w:cs="Times New Roman"/>
                <w:sz w:val="20"/>
                <w:szCs w:val="20"/>
              </w:rPr>
              <w:t>regularidade perante a Fazenda Estadual;</w:t>
            </w:r>
          </w:p>
          <w:p w14:paraId="6DFA534F" w14:textId="7777777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c) prova de regularidade perante a Fazenda Municipal do domicílio ou sede do interessado;</w:t>
            </w:r>
          </w:p>
          <w:p w14:paraId="375AFD4E" w14:textId="7777777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d) Certificado de Regularidade do FGTS;</w:t>
            </w:r>
          </w:p>
          <w:p w14:paraId="38B459B3" w14:textId="7777777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e) Certidão Negativa de Débitos Trabalhistas – CNDT, ou positiva com efeitos de negativa;</w:t>
            </w:r>
          </w:p>
          <w:p w14:paraId="79E202FD" w14:textId="7777777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f) demais documentos fiscais e trabalhistas legalmente exigíveis.</w:t>
            </w:r>
          </w:p>
          <w:p w14:paraId="6E999161" w14:textId="0F5FBBBE"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4.5.3. Qualificação econômico-financeira</w:t>
            </w:r>
            <w:r w:rsidR="00942283" w:rsidRPr="0030173D">
              <w:rPr>
                <w:rFonts w:ascii="Times New Roman" w:hAnsi="Times New Roman" w:cs="Times New Roman"/>
                <w:sz w:val="20"/>
                <w:szCs w:val="20"/>
              </w:rPr>
              <w:t>:</w:t>
            </w:r>
          </w:p>
          <w:p w14:paraId="146B1E9E" w14:textId="7777777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a) certidão negativa de falência, recuperação judicial ou extrajudicial expedida pelo distribuidor da sede da pessoa jurídica, admitida certidão positiva quando acompanhada da comprovação de plano de recuperação regularmente acolhido e da demonstração da capacidade de execução contratual.</w:t>
            </w:r>
          </w:p>
          <w:p w14:paraId="76A86E0E" w14:textId="5D1F2873"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4.5.4. Qualificação técnica e operacional</w:t>
            </w:r>
            <w:r w:rsidR="00942283" w:rsidRPr="0030173D">
              <w:rPr>
                <w:rFonts w:ascii="Times New Roman" w:hAnsi="Times New Roman" w:cs="Times New Roman"/>
                <w:sz w:val="20"/>
                <w:szCs w:val="20"/>
              </w:rPr>
              <w:t>:</w:t>
            </w:r>
          </w:p>
          <w:p w14:paraId="36931908" w14:textId="2331CA17" w:rsidR="00E16115" w:rsidRPr="0030173D"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 xml:space="preserve">a) </w:t>
            </w:r>
            <w:r w:rsidR="00182E97" w:rsidRPr="0030173D">
              <w:rPr>
                <w:rFonts w:ascii="Times New Roman" w:hAnsi="Times New Roman" w:cs="Times New Roman"/>
                <w:sz w:val="20"/>
                <w:szCs w:val="20"/>
              </w:rPr>
              <w:t>declaração de disponibilidade de estrutura operacional, mediante a qual a interessada declare possuir ou poder disponibilizar, quando convocada, mão de obra, roçadeiras manuais, ferramentas, meios de transporte, combustível, insumos e equipamentos de proteção individual suficientes para a adequada execução dos serviços.</w:t>
            </w:r>
          </w:p>
          <w:p w14:paraId="44340AD1" w14:textId="6535D452" w:rsidR="00E16115" w:rsidRPr="00BE711E" w:rsidRDefault="00E16115" w:rsidP="00981221">
            <w:pPr>
              <w:spacing w:after="0"/>
              <w:ind w:firstLine="596"/>
              <w:rPr>
                <w:rFonts w:ascii="Times New Roman" w:hAnsi="Times New Roman" w:cs="Times New Roman"/>
                <w:sz w:val="20"/>
                <w:szCs w:val="20"/>
              </w:rPr>
            </w:pPr>
            <w:r w:rsidRPr="0030173D">
              <w:rPr>
                <w:rFonts w:ascii="Times New Roman" w:hAnsi="Times New Roman" w:cs="Times New Roman"/>
                <w:sz w:val="20"/>
                <w:szCs w:val="20"/>
              </w:rPr>
              <w:t>4.5.5. Declarações</w:t>
            </w:r>
            <w:r w:rsidR="00942283">
              <w:rPr>
                <w:rFonts w:ascii="Times New Roman" w:hAnsi="Times New Roman" w:cs="Times New Roman"/>
                <w:sz w:val="20"/>
                <w:szCs w:val="20"/>
              </w:rPr>
              <w:t>:</w:t>
            </w:r>
          </w:p>
          <w:p w14:paraId="38C43E49"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declaração unificada, na qual a interessada ateste, para todos os fins: (i) o cumprimento do disposto no inciso XXXIII do art. 7º da Constituição Federal; (</w:t>
            </w:r>
            <w:proofErr w:type="spellStart"/>
            <w:r w:rsidRPr="00BE711E">
              <w:rPr>
                <w:rFonts w:ascii="Times New Roman" w:hAnsi="Times New Roman" w:cs="Times New Roman"/>
                <w:sz w:val="20"/>
                <w:szCs w:val="20"/>
              </w:rPr>
              <w:t>ii</w:t>
            </w:r>
            <w:proofErr w:type="spellEnd"/>
            <w:r w:rsidRPr="00BE711E">
              <w:rPr>
                <w:rFonts w:ascii="Times New Roman" w:hAnsi="Times New Roman" w:cs="Times New Roman"/>
                <w:sz w:val="20"/>
                <w:szCs w:val="20"/>
              </w:rPr>
              <w:t>) a inexistência de impedimento para contratar com a Administração Pública; (</w:t>
            </w:r>
            <w:proofErr w:type="spellStart"/>
            <w:r w:rsidRPr="00BE711E">
              <w:rPr>
                <w:rFonts w:ascii="Times New Roman" w:hAnsi="Times New Roman" w:cs="Times New Roman"/>
                <w:sz w:val="20"/>
                <w:szCs w:val="20"/>
              </w:rPr>
              <w:t>iii</w:t>
            </w:r>
            <w:proofErr w:type="spellEnd"/>
            <w:r w:rsidRPr="00BE711E">
              <w:rPr>
                <w:rFonts w:ascii="Times New Roman" w:hAnsi="Times New Roman" w:cs="Times New Roman"/>
                <w:sz w:val="20"/>
                <w:szCs w:val="20"/>
              </w:rPr>
              <w:t>) o conhecimento e a aceitação das condições do credenciamento e dos valores fixados pela Administração; e (</w:t>
            </w:r>
            <w:proofErr w:type="spellStart"/>
            <w:r w:rsidRPr="00BE711E">
              <w:rPr>
                <w:rFonts w:ascii="Times New Roman" w:hAnsi="Times New Roman" w:cs="Times New Roman"/>
                <w:sz w:val="20"/>
                <w:szCs w:val="20"/>
              </w:rPr>
              <w:t>iv</w:t>
            </w:r>
            <w:proofErr w:type="spellEnd"/>
            <w:r w:rsidRPr="00BE711E">
              <w:rPr>
                <w:rFonts w:ascii="Times New Roman" w:hAnsi="Times New Roman" w:cs="Times New Roman"/>
                <w:sz w:val="20"/>
                <w:szCs w:val="20"/>
              </w:rPr>
              <w:t>) o atendimento às demais exigências previstas na Lei Federal nº 14.133/2021 e no Edital de Chamamento Público.</w:t>
            </w:r>
          </w:p>
          <w:p w14:paraId="4023E8B8" w14:textId="22F9978E" w:rsidR="00E16115" w:rsidRPr="00BE711E" w:rsidRDefault="00942283"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4.6. Controle, </w:t>
            </w:r>
            <w:r>
              <w:rPr>
                <w:rFonts w:ascii="Times New Roman" w:hAnsi="Times New Roman" w:cs="Times New Roman"/>
                <w:sz w:val="20"/>
                <w:szCs w:val="20"/>
              </w:rPr>
              <w:t>c</w:t>
            </w:r>
            <w:r w:rsidRPr="00BE711E">
              <w:rPr>
                <w:rFonts w:ascii="Times New Roman" w:hAnsi="Times New Roman" w:cs="Times New Roman"/>
                <w:sz w:val="20"/>
                <w:szCs w:val="20"/>
              </w:rPr>
              <w:t xml:space="preserve">omprovação </w:t>
            </w:r>
            <w:r>
              <w:rPr>
                <w:rFonts w:ascii="Times New Roman" w:hAnsi="Times New Roman" w:cs="Times New Roman"/>
                <w:sz w:val="20"/>
                <w:szCs w:val="20"/>
              </w:rPr>
              <w:t>e</w:t>
            </w:r>
            <w:r w:rsidRPr="00BE711E">
              <w:rPr>
                <w:rFonts w:ascii="Times New Roman" w:hAnsi="Times New Roman" w:cs="Times New Roman"/>
                <w:sz w:val="20"/>
                <w:szCs w:val="20"/>
              </w:rPr>
              <w:t xml:space="preserve"> </w:t>
            </w:r>
            <w:r>
              <w:rPr>
                <w:rFonts w:ascii="Times New Roman" w:hAnsi="Times New Roman" w:cs="Times New Roman"/>
                <w:sz w:val="20"/>
                <w:szCs w:val="20"/>
              </w:rPr>
              <w:t>p</w:t>
            </w:r>
            <w:r w:rsidRPr="00BE711E">
              <w:rPr>
                <w:rFonts w:ascii="Times New Roman" w:hAnsi="Times New Roman" w:cs="Times New Roman"/>
                <w:sz w:val="20"/>
                <w:szCs w:val="20"/>
              </w:rPr>
              <w:t xml:space="preserve">agamento </w:t>
            </w:r>
            <w:r>
              <w:rPr>
                <w:rFonts w:ascii="Times New Roman" w:hAnsi="Times New Roman" w:cs="Times New Roman"/>
                <w:sz w:val="20"/>
                <w:szCs w:val="20"/>
              </w:rPr>
              <w:t>d</w:t>
            </w:r>
            <w:r w:rsidRPr="00BE711E">
              <w:rPr>
                <w:rFonts w:ascii="Times New Roman" w:hAnsi="Times New Roman" w:cs="Times New Roman"/>
                <w:sz w:val="20"/>
                <w:szCs w:val="20"/>
              </w:rPr>
              <w:t xml:space="preserve">os </w:t>
            </w:r>
            <w:r>
              <w:rPr>
                <w:rFonts w:ascii="Times New Roman" w:hAnsi="Times New Roman" w:cs="Times New Roman"/>
                <w:sz w:val="20"/>
                <w:szCs w:val="20"/>
              </w:rPr>
              <w:t>s</w:t>
            </w:r>
            <w:r w:rsidRPr="00BE711E">
              <w:rPr>
                <w:rFonts w:ascii="Times New Roman" w:hAnsi="Times New Roman" w:cs="Times New Roman"/>
                <w:sz w:val="20"/>
                <w:szCs w:val="20"/>
              </w:rPr>
              <w:t>erviços</w:t>
            </w:r>
            <w:r>
              <w:rPr>
                <w:rFonts w:ascii="Times New Roman" w:hAnsi="Times New Roman" w:cs="Times New Roman"/>
                <w:sz w:val="20"/>
                <w:szCs w:val="20"/>
              </w:rPr>
              <w:t>:</w:t>
            </w:r>
          </w:p>
          <w:p w14:paraId="34480D19" w14:textId="2CED4BEC" w:rsidR="00942283" w:rsidRDefault="00942283" w:rsidP="00981221">
            <w:pPr>
              <w:spacing w:after="0"/>
              <w:ind w:firstLine="596"/>
              <w:rPr>
                <w:rFonts w:ascii="Times New Roman" w:hAnsi="Times New Roman" w:cs="Times New Roman"/>
                <w:sz w:val="20"/>
                <w:szCs w:val="20"/>
              </w:rPr>
            </w:pPr>
            <w:r w:rsidRPr="00942283">
              <w:rPr>
                <w:rFonts w:ascii="Times New Roman" w:hAnsi="Times New Roman" w:cs="Times New Roman"/>
                <w:sz w:val="20"/>
                <w:szCs w:val="20"/>
              </w:rPr>
              <w:t>A área objeto de cada Ordem de Serviço deverá ser previamente delimitada e estimada pela Administração, mediante levantamento em campo</w:t>
            </w:r>
            <w:r>
              <w:rPr>
                <w:rFonts w:ascii="Times New Roman" w:hAnsi="Times New Roman" w:cs="Times New Roman"/>
                <w:sz w:val="20"/>
                <w:szCs w:val="20"/>
              </w:rPr>
              <w:t xml:space="preserve"> </w:t>
            </w:r>
            <w:r w:rsidRPr="00942283">
              <w:rPr>
                <w:rFonts w:ascii="Times New Roman" w:hAnsi="Times New Roman" w:cs="Times New Roman"/>
                <w:sz w:val="20"/>
                <w:szCs w:val="20"/>
              </w:rPr>
              <w:t>ou outro método tecnicamente adequado. Após a execução, a fiscalização conferirá a conclusão integral do serviço e a metragem efetivamente atendida, não sendo admitida a utilização exclusiva da medição declarada pela credenciada como fundamento para o pagamento.</w:t>
            </w:r>
          </w:p>
          <w:p w14:paraId="731CC9D2" w14:textId="6BF51589"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documentação apresentada será analisada pela fiscalização, que realizará a medição dos serviços executados e poderá solicitar esclarecimentos, documentos complementares ou correções antes do atesto.</w:t>
            </w:r>
          </w:p>
          <w:p w14:paraId="32777733"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Não serão remunerados:</w:t>
            </w:r>
          </w:p>
          <w:p w14:paraId="2C24A763"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serviços sem Ordem de Serviço prévia;</w:t>
            </w:r>
          </w:p>
          <w:p w14:paraId="15363BDD"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serviços não executados;</w:t>
            </w:r>
          </w:p>
          <w:p w14:paraId="5CA337EB"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áreas não roçadas ou executadas parcialmente;</w:t>
            </w:r>
          </w:p>
          <w:p w14:paraId="7CA519C5"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serviços executados em área diversa da indicada na Ordem de Serviço;</w:t>
            </w:r>
          </w:p>
          <w:p w14:paraId="64DA8DE1"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serviços desacompanhados dos registros de medição exigidos;</w:t>
            </w:r>
          </w:p>
          <w:p w14:paraId="2F81DF8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serviços prestados em desconformidade com as condições do credenciamento.</w:t>
            </w:r>
          </w:p>
          <w:p w14:paraId="246A3D3A" w14:textId="75F90FAA"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4.7. </w:t>
            </w:r>
            <w:r w:rsidR="00942283">
              <w:rPr>
                <w:rFonts w:ascii="Times New Roman" w:hAnsi="Times New Roman" w:cs="Times New Roman"/>
                <w:sz w:val="20"/>
                <w:szCs w:val="20"/>
              </w:rPr>
              <w:t>S</w:t>
            </w:r>
            <w:r w:rsidR="00942283" w:rsidRPr="00BE711E">
              <w:rPr>
                <w:rFonts w:ascii="Times New Roman" w:hAnsi="Times New Roman" w:cs="Times New Roman"/>
                <w:sz w:val="20"/>
                <w:szCs w:val="20"/>
              </w:rPr>
              <w:t>anções administrativas</w:t>
            </w:r>
            <w:r w:rsidR="00942283">
              <w:rPr>
                <w:rFonts w:ascii="Times New Roman" w:hAnsi="Times New Roman" w:cs="Times New Roman"/>
                <w:sz w:val="20"/>
                <w:szCs w:val="20"/>
              </w:rPr>
              <w:t>:</w:t>
            </w:r>
          </w:p>
          <w:p w14:paraId="1ABBB077"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O descumprimento das obrigações assumidas sujeitará a credenciada às sanções previstas nos </w:t>
            </w:r>
            <w:proofErr w:type="spellStart"/>
            <w:r w:rsidRPr="00BE711E">
              <w:rPr>
                <w:rFonts w:ascii="Times New Roman" w:hAnsi="Times New Roman" w:cs="Times New Roman"/>
                <w:sz w:val="20"/>
                <w:szCs w:val="20"/>
              </w:rPr>
              <w:t>arts</w:t>
            </w:r>
            <w:proofErr w:type="spellEnd"/>
            <w:r w:rsidRPr="00BE711E">
              <w:rPr>
                <w:rFonts w:ascii="Times New Roman" w:hAnsi="Times New Roman" w:cs="Times New Roman"/>
                <w:sz w:val="20"/>
                <w:szCs w:val="20"/>
              </w:rPr>
              <w:t>. 155 e 156 da Lei Federal nº 14.133/2021, no Decreto Municipal nº 1.178/2022, no Edital e no Termo de Credenciamento, assegurados o contraditório e a ampla defesa.</w:t>
            </w:r>
          </w:p>
          <w:p w14:paraId="6AEF8715" w14:textId="77777777" w:rsidR="00942283" w:rsidRDefault="00942283" w:rsidP="00981221">
            <w:pPr>
              <w:spacing w:after="0"/>
              <w:ind w:firstLine="596"/>
              <w:rPr>
                <w:rFonts w:ascii="Times New Roman" w:hAnsi="Times New Roman" w:cs="Times New Roman"/>
                <w:sz w:val="20"/>
                <w:szCs w:val="20"/>
              </w:rPr>
            </w:pPr>
            <w:r w:rsidRPr="00942283">
              <w:rPr>
                <w:rFonts w:ascii="Times New Roman" w:hAnsi="Times New Roman" w:cs="Times New Roman"/>
                <w:sz w:val="20"/>
                <w:szCs w:val="20"/>
              </w:rPr>
              <w:t>Conforme a natureza e a gravidade da infração, poderão ser aplicadas as sanções de advertência, multa, impedimento de licitar e contratar e declaração de inidoneidade para licitar ou contratar, nos termos da Lei Federal nº 14.133/2021, sem prejuízo do descredenciamento, da extinção do vínculo e da responsabilização civil pelos danos causados.</w:t>
            </w:r>
          </w:p>
          <w:p w14:paraId="00333743" w14:textId="41120250"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As condutas, percentuais, critérios de dosimetria e procedimentos para aplicação das penalidades deverão ser detalhados no Edital e no Termo de Credenciamento.</w:t>
            </w:r>
          </w:p>
          <w:p w14:paraId="47DBC794" w14:textId="4ACE3BEE"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4.8. </w:t>
            </w:r>
            <w:r w:rsidR="00942283" w:rsidRPr="00BE711E">
              <w:rPr>
                <w:rFonts w:ascii="Times New Roman" w:hAnsi="Times New Roman" w:cs="Times New Roman"/>
                <w:sz w:val="20"/>
                <w:szCs w:val="20"/>
              </w:rPr>
              <w:t>Vedações</w:t>
            </w:r>
            <w:r w:rsidR="00942283">
              <w:rPr>
                <w:rFonts w:ascii="Times New Roman" w:hAnsi="Times New Roman" w:cs="Times New Roman"/>
                <w:sz w:val="20"/>
                <w:szCs w:val="20"/>
              </w:rPr>
              <w:t>:</w:t>
            </w:r>
          </w:p>
          <w:p w14:paraId="5584421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É vedado à credenciada:</w:t>
            </w:r>
          </w:p>
          <w:p w14:paraId="4DE980D1"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subcontratar integralmente o objeto;</w:t>
            </w:r>
          </w:p>
          <w:p w14:paraId="11FFBECD"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b) executar serviços sem Ordem de Serviço prévia;</w:t>
            </w:r>
          </w:p>
          <w:p w14:paraId="1B476F07"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alterar unilateralmente a área, o local ou o prazo de execução autorizado;</w:t>
            </w:r>
          </w:p>
          <w:p w14:paraId="1E7B2DF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emitir registros ou relatórios de medição de serviços não executados;</w:t>
            </w:r>
          </w:p>
          <w:p w14:paraId="76A049EE"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e) executar os serviços sem os equipamentos ou </w:t>
            </w:r>
            <w:proofErr w:type="spellStart"/>
            <w:r w:rsidRPr="00BE711E">
              <w:rPr>
                <w:rFonts w:ascii="Times New Roman" w:hAnsi="Times New Roman" w:cs="Times New Roman"/>
                <w:sz w:val="20"/>
                <w:szCs w:val="20"/>
              </w:rPr>
              <w:t>EPI's</w:t>
            </w:r>
            <w:proofErr w:type="spellEnd"/>
            <w:r w:rsidRPr="00BE711E">
              <w:rPr>
                <w:rFonts w:ascii="Times New Roman" w:hAnsi="Times New Roman" w:cs="Times New Roman"/>
                <w:sz w:val="20"/>
                <w:szCs w:val="20"/>
              </w:rPr>
              <w:t xml:space="preserve"> necessários;</w:t>
            </w:r>
          </w:p>
          <w:p w14:paraId="7E41156F"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transferir a execução a terceiros não vinculados à credenciada sem autorização;</w:t>
            </w:r>
          </w:p>
          <w:p w14:paraId="21E04BC5" w14:textId="77777777" w:rsidR="00E16115"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adotar condutas que comprometam a segurança de trabalhadores ou de terceiros durante a execução.</w:t>
            </w:r>
          </w:p>
          <w:p w14:paraId="4B0F43B2" w14:textId="34C79591" w:rsidR="00B54180" w:rsidRPr="00BE711E" w:rsidRDefault="00E16115"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requisitos estabelecidos neste item serão detalhados no Termo de Referência, no Edital de Chamamento Público e no Termo de Credenciamento, assegurando que a solução contratada atenda integralmente à necessidade administrativa descrita no DFD.</w:t>
            </w:r>
          </w:p>
        </w:tc>
      </w:tr>
    </w:tbl>
    <w:p w14:paraId="0825A047" w14:textId="77777777" w:rsidR="008F76F3" w:rsidRPr="00BE711E" w:rsidRDefault="008F76F3" w:rsidP="00981221">
      <w:pPr>
        <w:pStyle w:val="Default"/>
        <w:jc w:val="both"/>
        <w:rPr>
          <w:rFonts w:eastAsia="Times New Roman"/>
          <w:i/>
          <w:color w:val="auto"/>
          <w:sz w:val="20"/>
          <w:szCs w:val="20"/>
          <w:lang w:eastAsia="pt-BR"/>
        </w:rPr>
      </w:pPr>
      <w:r w:rsidRPr="00BE711E">
        <w:rPr>
          <w:rFonts w:eastAsia="Times New Roman"/>
          <w:i/>
          <w:color w:val="auto"/>
          <w:sz w:val="20"/>
          <w:szCs w:val="20"/>
          <w:lang w:eastAsia="pt-BR"/>
        </w:rPr>
        <w:lastRenderedPageBreak/>
        <w:t xml:space="preserve"> </w:t>
      </w:r>
    </w:p>
    <w:tbl>
      <w:tblPr>
        <w:tblStyle w:val="Tabelacomgrade"/>
        <w:tblW w:w="9067" w:type="dxa"/>
        <w:tblLayout w:type="fixed"/>
        <w:tblLook w:val="04A0" w:firstRow="1" w:lastRow="0" w:firstColumn="1" w:lastColumn="0" w:noHBand="0" w:noVBand="1"/>
      </w:tblPr>
      <w:tblGrid>
        <w:gridCol w:w="9067"/>
      </w:tblGrid>
      <w:tr w:rsidR="008F76F3" w:rsidRPr="00BE711E" w14:paraId="77F24F0B" w14:textId="77777777" w:rsidTr="00D81111">
        <w:tc>
          <w:tcPr>
            <w:tcW w:w="9067" w:type="dxa"/>
          </w:tcPr>
          <w:p w14:paraId="26828342" w14:textId="1495F1B4" w:rsidR="008F76F3" w:rsidRPr="00BE711E" w:rsidRDefault="008D5C47" w:rsidP="00981221">
            <w:pPr>
              <w:spacing w:after="0"/>
              <w:ind w:firstLine="0"/>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5</w:t>
            </w:r>
            <w:r w:rsidR="008F76F3" w:rsidRPr="00BE711E">
              <w:rPr>
                <w:rFonts w:ascii="Times New Roman" w:eastAsia="Times New Roman" w:hAnsi="Times New Roman" w:cs="Times New Roman"/>
                <w:b/>
                <w:bCs/>
                <w:color w:val="000000"/>
                <w:sz w:val="20"/>
                <w:szCs w:val="20"/>
                <w:lang w:eastAsia="pt-BR"/>
              </w:rPr>
              <w:t xml:space="preserve"> – ESTIMATIVA DAS QUANTIDADES</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1D789878" w14:textId="77777777" w:rsidTr="00D81111">
        <w:tc>
          <w:tcPr>
            <w:tcW w:w="9067" w:type="dxa"/>
            <w:shd w:val="clear" w:color="auto" w:fill="F2F2F2" w:themeFill="background1" w:themeFillShade="F2"/>
          </w:tcPr>
          <w:p w14:paraId="25CF518F"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 xml:space="preserve">Estimativa das quantidades a serem contratadas, acompanhada das memórias de cálculo e dos documentos que lhe dão suporte, considerando a interdependência com outras contratações, de modo a possibilitar economia de escala (inciso IV do § 1° do art. 18 da Lei 14.133/21); </w:t>
            </w:r>
          </w:p>
        </w:tc>
      </w:tr>
      <w:tr w:rsidR="008F76F3" w:rsidRPr="00BE711E" w14:paraId="47CF1596" w14:textId="77777777" w:rsidTr="00D81111">
        <w:trPr>
          <w:trHeight w:val="249"/>
        </w:trPr>
        <w:tc>
          <w:tcPr>
            <w:tcW w:w="9067" w:type="dxa"/>
          </w:tcPr>
          <w:p w14:paraId="70FD316B"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estimativa das quantidades necessárias à presente contratação foi elaborada a partir do levantamento da área total de logradouros e próprios públicos municipais sujeitos a serviços de roçada, bem como da periodicidade necessária à sua adequada manutenção, considerando a continuidade da execução atualmente realizada mediante pagamento direto, sem vínculo contratual formal.</w:t>
            </w:r>
          </w:p>
          <w:p w14:paraId="3C5DC630" w14:textId="7D6B5CC9" w:rsidR="00782EBF"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Conforme levantamento preliminar realizado pela Secretaria Municipal de Administração, Fazenda e Planejamento, em conjunto com as demais Secretarias demandantes, estima-se em aproximadamente</w:t>
            </w:r>
            <w:r w:rsidR="00E55F68">
              <w:rPr>
                <w:rFonts w:ascii="Times New Roman" w:eastAsia="Times New Roman" w:hAnsi="Times New Roman" w:cs="Times New Roman"/>
                <w:iCs/>
                <w:sz w:val="20"/>
                <w:szCs w:val="20"/>
                <w:lang w:eastAsia="pt-BR"/>
              </w:rPr>
              <w:t xml:space="preserve"> </w:t>
            </w:r>
            <w:r w:rsidR="00E55F68" w:rsidRPr="00E55F68">
              <w:rPr>
                <w:rFonts w:ascii="Times New Roman" w:eastAsia="Times New Roman" w:hAnsi="Times New Roman" w:cs="Times New Roman"/>
                <w:iCs/>
                <w:sz w:val="20"/>
                <w:szCs w:val="20"/>
                <w:lang w:eastAsia="pt-BR"/>
              </w:rPr>
              <w:t>15.316 m</w:t>
            </w:r>
            <w:r w:rsidRPr="00BE711E">
              <w:rPr>
                <w:rFonts w:ascii="Times New Roman" w:eastAsia="Times New Roman" w:hAnsi="Times New Roman" w:cs="Times New Roman"/>
                <w:iCs/>
                <w:sz w:val="20"/>
                <w:szCs w:val="20"/>
                <w:lang w:eastAsia="pt-BR"/>
              </w:rPr>
              <w:t>² (</w:t>
            </w:r>
            <w:r w:rsidR="00E55F68">
              <w:rPr>
                <w:rFonts w:ascii="Times New Roman" w:eastAsia="Times New Roman" w:hAnsi="Times New Roman" w:cs="Times New Roman"/>
                <w:iCs/>
                <w:sz w:val="20"/>
                <w:szCs w:val="20"/>
                <w:lang w:eastAsia="pt-BR"/>
              </w:rPr>
              <w:t xml:space="preserve">quinze mil, trezentos e dezesseis </w:t>
            </w:r>
            <w:r w:rsidRPr="00BE711E">
              <w:rPr>
                <w:rFonts w:ascii="Times New Roman" w:eastAsia="Times New Roman" w:hAnsi="Times New Roman" w:cs="Times New Roman"/>
                <w:iCs/>
                <w:sz w:val="20"/>
                <w:szCs w:val="20"/>
                <w:lang w:eastAsia="pt-BR"/>
              </w:rPr>
              <w:t>metros quadrados) a área de logradouros, praças, canteiros e entornos de próprios municipais, escolas e unidades de saúde sujeita a serviços de roçada em geral, cujas principais referências constam do quadro a seguir:</w:t>
            </w:r>
          </w:p>
          <w:tbl>
            <w:tblPr>
              <w:tblStyle w:val="Tabelacomgrade"/>
              <w:tblW w:w="0" w:type="auto"/>
              <w:tblLook w:val="04A0" w:firstRow="1" w:lastRow="0" w:firstColumn="1" w:lastColumn="0" w:noHBand="0" w:noVBand="1"/>
            </w:tblPr>
            <w:tblGrid>
              <w:gridCol w:w="4844"/>
              <w:gridCol w:w="2693"/>
              <w:gridCol w:w="1304"/>
            </w:tblGrid>
            <w:tr w:rsidR="00942283" w14:paraId="1BED110B" w14:textId="77777777" w:rsidTr="00942283">
              <w:tc>
                <w:tcPr>
                  <w:tcW w:w="4844" w:type="dxa"/>
                  <w:vAlign w:val="center"/>
                </w:tcPr>
                <w:p w14:paraId="3D707064" w14:textId="71F03F13" w:rsidR="00942283" w:rsidRDefault="00942283" w:rsidP="00981221">
                  <w:pPr>
                    <w:spacing w:after="0"/>
                    <w:ind w:firstLine="0"/>
                    <w:jc w:val="center"/>
                    <w:rPr>
                      <w:rFonts w:ascii="Times New Roman" w:eastAsia="Times New Roman" w:hAnsi="Times New Roman" w:cs="Times New Roman"/>
                      <w:iCs/>
                      <w:sz w:val="20"/>
                      <w:szCs w:val="20"/>
                      <w:lang w:eastAsia="pt-BR"/>
                    </w:rPr>
                  </w:pPr>
                  <w:r>
                    <w:rPr>
                      <w:rFonts w:ascii="Times New Roman" w:eastAsia="Times New Roman" w:hAnsi="Times New Roman" w:cs="Times New Roman"/>
                      <w:b/>
                      <w:bCs/>
                      <w:iCs/>
                      <w:sz w:val="20"/>
                      <w:szCs w:val="20"/>
                      <w:lang w:eastAsia="pt-BR"/>
                    </w:rPr>
                    <w:t>Á</w:t>
                  </w:r>
                  <w:r w:rsidRPr="00BE711E">
                    <w:rPr>
                      <w:rFonts w:ascii="Times New Roman" w:eastAsia="Times New Roman" w:hAnsi="Times New Roman" w:cs="Times New Roman"/>
                      <w:b/>
                      <w:bCs/>
                      <w:iCs/>
                      <w:sz w:val="20"/>
                      <w:szCs w:val="20"/>
                      <w:lang w:eastAsia="pt-BR"/>
                    </w:rPr>
                    <w:t>rea</w:t>
                  </w:r>
                </w:p>
              </w:tc>
              <w:tc>
                <w:tcPr>
                  <w:tcW w:w="2693" w:type="dxa"/>
                  <w:vAlign w:val="center"/>
                </w:tcPr>
                <w:p w14:paraId="1D947FBA" w14:textId="6657C8A7" w:rsidR="00942283" w:rsidRDefault="00942283" w:rsidP="00981221">
                  <w:pPr>
                    <w:spacing w:after="0"/>
                    <w:ind w:firstLine="0"/>
                    <w:jc w:val="center"/>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b/>
                      <w:bCs/>
                      <w:iCs/>
                      <w:sz w:val="20"/>
                      <w:szCs w:val="20"/>
                      <w:lang w:eastAsia="pt-BR"/>
                    </w:rPr>
                    <w:t>Referência/localidade</w:t>
                  </w:r>
                </w:p>
              </w:tc>
              <w:tc>
                <w:tcPr>
                  <w:tcW w:w="1304" w:type="dxa"/>
                  <w:vAlign w:val="center"/>
                </w:tcPr>
                <w:p w14:paraId="64F4BC6A" w14:textId="50B98B21" w:rsidR="00942283" w:rsidRDefault="00942283" w:rsidP="00981221">
                  <w:pPr>
                    <w:spacing w:after="0"/>
                    <w:ind w:firstLine="0"/>
                    <w:jc w:val="center"/>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b/>
                      <w:bCs/>
                      <w:iCs/>
                      <w:sz w:val="20"/>
                      <w:szCs w:val="20"/>
                      <w:lang w:eastAsia="pt-BR"/>
                    </w:rPr>
                    <w:t>Metragem estimada</w:t>
                  </w:r>
                </w:p>
              </w:tc>
            </w:tr>
            <w:tr w:rsidR="00942283" w14:paraId="5BB86508" w14:textId="77777777" w:rsidTr="00942283">
              <w:tc>
                <w:tcPr>
                  <w:tcW w:w="4844" w:type="dxa"/>
                  <w:vAlign w:val="center"/>
                </w:tcPr>
                <w:p w14:paraId="70B38100" w14:textId="3C13F13E" w:rsidR="00942283" w:rsidRDefault="002156A1" w:rsidP="00981221">
                  <w:pPr>
                    <w:spacing w:after="0"/>
                    <w:ind w:firstLine="0"/>
                    <w:rPr>
                      <w:rFonts w:ascii="Times New Roman" w:eastAsia="Times New Roman" w:hAnsi="Times New Roman" w:cs="Times New Roman"/>
                      <w:iCs/>
                      <w:sz w:val="20"/>
                      <w:szCs w:val="20"/>
                      <w:lang w:eastAsia="pt-BR"/>
                    </w:rPr>
                  </w:pPr>
                  <w:r>
                    <w:rPr>
                      <w:rFonts w:ascii="Times New Roman" w:eastAsia="Times New Roman" w:hAnsi="Times New Roman" w:cs="Times New Roman"/>
                      <w:iCs/>
                      <w:sz w:val="20"/>
                      <w:szCs w:val="20"/>
                      <w:lang w:eastAsia="pt-BR"/>
                    </w:rPr>
                    <w:t xml:space="preserve">Escola da </w:t>
                  </w:r>
                  <w:r w:rsidR="00942283" w:rsidRPr="00BE711E">
                    <w:rPr>
                      <w:rFonts w:ascii="Times New Roman" w:eastAsia="Times New Roman" w:hAnsi="Times New Roman" w:cs="Times New Roman"/>
                      <w:iCs/>
                      <w:sz w:val="20"/>
                      <w:szCs w:val="20"/>
                      <w:lang w:eastAsia="pt-BR"/>
                    </w:rPr>
                    <w:t>Boa Esperança</w:t>
                  </w:r>
                </w:p>
              </w:tc>
              <w:tc>
                <w:tcPr>
                  <w:tcW w:w="2693" w:type="dxa"/>
                  <w:vAlign w:val="center"/>
                </w:tcPr>
                <w:p w14:paraId="3168CB12" w14:textId="27E72F1F"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Boa Esperança</w:t>
                  </w:r>
                </w:p>
              </w:tc>
              <w:tc>
                <w:tcPr>
                  <w:tcW w:w="1304" w:type="dxa"/>
                  <w:vAlign w:val="center"/>
                </w:tcPr>
                <w:p w14:paraId="1C4344F0" w14:textId="6B076D3C"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716 m²</w:t>
                  </w:r>
                </w:p>
              </w:tc>
            </w:tr>
            <w:tr w:rsidR="00942283" w14:paraId="7D977FD9" w14:textId="77777777" w:rsidTr="00942283">
              <w:tc>
                <w:tcPr>
                  <w:tcW w:w="4844" w:type="dxa"/>
                  <w:vAlign w:val="center"/>
                </w:tcPr>
                <w:p w14:paraId="4C08C670" w14:textId="16F680C0"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EMEF Visconde de Mauá</w:t>
                  </w:r>
                </w:p>
              </w:tc>
              <w:tc>
                <w:tcPr>
                  <w:tcW w:w="2693" w:type="dxa"/>
                  <w:vAlign w:val="center"/>
                </w:tcPr>
                <w:p w14:paraId="07B18B0F" w14:textId="09B5F33C"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Morro Azul</w:t>
                  </w:r>
                </w:p>
              </w:tc>
              <w:tc>
                <w:tcPr>
                  <w:tcW w:w="1304" w:type="dxa"/>
                  <w:vAlign w:val="center"/>
                </w:tcPr>
                <w:p w14:paraId="41308628" w14:textId="24410217"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1.218 m²</w:t>
                  </w:r>
                </w:p>
              </w:tc>
            </w:tr>
            <w:tr w:rsidR="00942283" w14:paraId="31167432" w14:textId="77777777" w:rsidTr="00942283">
              <w:tc>
                <w:tcPr>
                  <w:tcW w:w="4844" w:type="dxa"/>
                  <w:vAlign w:val="center"/>
                </w:tcPr>
                <w:p w14:paraId="3810A770" w14:textId="6CF9F628"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EMEF São José</w:t>
                  </w:r>
                </w:p>
              </w:tc>
              <w:tc>
                <w:tcPr>
                  <w:tcW w:w="2693" w:type="dxa"/>
                  <w:vAlign w:val="center"/>
                </w:tcPr>
                <w:p w14:paraId="71F4340C" w14:textId="4C655983"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Santa Manoela</w:t>
                  </w:r>
                </w:p>
              </w:tc>
              <w:tc>
                <w:tcPr>
                  <w:tcW w:w="1304" w:type="dxa"/>
                  <w:vAlign w:val="center"/>
                </w:tcPr>
                <w:p w14:paraId="407DB1B0" w14:textId="6727CF87"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1.426 m²</w:t>
                  </w:r>
                </w:p>
              </w:tc>
            </w:tr>
            <w:tr w:rsidR="00942283" w14:paraId="3C81C4A7" w14:textId="77777777" w:rsidTr="00942283">
              <w:tc>
                <w:tcPr>
                  <w:tcW w:w="4844" w:type="dxa"/>
                  <w:vAlign w:val="center"/>
                </w:tcPr>
                <w:p w14:paraId="4574720A" w14:textId="7D515F2E"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EMEF Sagrado Coração de Jesus</w:t>
                  </w:r>
                </w:p>
              </w:tc>
              <w:tc>
                <w:tcPr>
                  <w:tcW w:w="2693" w:type="dxa"/>
                  <w:vAlign w:val="center"/>
                </w:tcPr>
                <w:p w14:paraId="1F47B53D" w14:textId="35BD728E"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Linha Brasil</w:t>
                  </w:r>
                </w:p>
              </w:tc>
              <w:tc>
                <w:tcPr>
                  <w:tcW w:w="1304" w:type="dxa"/>
                  <w:vAlign w:val="center"/>
                </w:tcPr>
                <w:p w14:paraId="1D00A334" w14:textId="3FE07B64"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930 m²</w:t>
                  </w:r>
                </w:p>
              </w:tc>
            </w:tr>
            <w:tr w:rsidR="00942283" w14:paraId="291DD1B8" w14:textId="77777777" w:rsidTr="00942283">
              <w:tc>
                <w:tcPr>
                  <w:tcW w:w="4844" w:type="dxa"/>
                  <w:vAlign w:val="center"/>
                </w:tcPr>
                <w:p w14:paraId="59620E70" w14:textId="21EA81F3"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 xml:space="preserve">EMEF Professora </w:t>
                  </w:r>
                  <w:proofErr w:type="spellStart"/>
                  <w:r w:rsidRPr="00BE711E">
                    <w:rPr>
                      <w:rFonts w:ascii="Times New Roman" w:eastAsia="Times New Roman" w:hAnsi="Times New Roman" w:cs="Times New Roman"/>
                      <w:iCs/>
                      <w:sz w:val="20"/>
                      <w:szCs w:val="20"/>
                      <w:lang w:eastAsia="pt-BR"/>
                    </w:rPr>
                    <w:t>Gonçalina</w:t>
                  </w:r>
                  <w:proofErr w:type="spellEnd"/>
                  <w:r w:rsidRPr="00BE711E">
                    <w:rPr>
                      <w:rFonts w:ascii="Times New Roman" w:eastAsia="Times New Roman" w:hAnsi="Times New Roman" w:cs="Times New Roman"/>
                      <w:iCs/>
                      <w:sz w:val="20"/>
                      <w:szCs w:val="20"/>
                      <w:lang w:eastAsia="pt-BR"/>
                    </w:rPr>
                    <w:t xml:space="preserve"> Pinto Vila Nova</w:t>
                  </w:r>
                </w:p>
              </w:tc>
              <w:tc>
                <w:tcPr>
                  <w:tcW w:w="2693" w:type="dxa"/>
                  <w:vAlign w:val="center"/>
                </w:tcPr>
                <w:p w14:paraId="21D0BB60" w14:textId="3C87F9DB"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Cidade Baixa</w:t>
                  </w:r>
                </w:p>
              </w:tc>
              <w:tc>
                <w:tcPr>
                  <w:tcW w:w="1304" w:type="dxa"/>
                  <w:vAlign w:val="center"/>
                </w:tcPr>
                <w:p w14:paraId="5FB11FCC" w14:textId="47891156"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1.295 m²</w:t>
                  </w:r>
                </w:p>
              </w:tc>
            </w:tr>
            <w:tr w:rsidR="00942283" w14:paraId="465D232B" w14:textId="77777777" w:rsidTr="00942283">
              <w:tc>
                <w:tcPr>
                  <w:tcW w:w="4844" w:type="dxa"/>
                  <w:vAlign w:val="center"/>
                </w:tcPr>
                <w:p w14:paraId="780335F0" w14:textId="706AF4B8"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EMEF Reinaldo Markus</w:t>
                  </w:r>
                </w:p>
              </w:tc>
              <w:tc>
                <w:tcPr>
                  <w:tcW w:w="2693" w:type="dxa"/>
                  <w:vAlign w:val="center"/>
                </w:tcPr>
                <w:p w14:paraId="2E393DF0" w14:textId="523B26F0"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Fazenda São José</w:t>
                  </w:r>
                </w:p>
              </w:tc>
              <w:tc>
                <w:tcPr>
                  <w:tcW w:w="1304" w:type="dxa"/>
                  <w:vAlign w:val="center"/>
                </w:tcPr>
                <w:p w14:paraId="6509DC81" w14:textId="425194D6"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2.430 m²</w:t>
                  </w:r>
                </w:p>
              </w:tc>
            </w:tr>
            <w:tr w:rsidR="00942283" w14:paraId="3F1D8DCB" w14:textId="77777777" w:rsidTr="00942283">
              <w:tc>
                <w:tcPr>
                  <w:tcW w:w="4844" w:type="dxa"/>
                  <w:vAlign w:val="center"/>
                </w:tcPr>
                <w:p w14:paraId="2C4B8729" w14:textId="4EC7B2CD"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EMEI Arco-Íris</w:t>
                  </w:r>
                </w:p>
              </w:tc>
              <w:tc>
                <w:tcPr>
                  <w:tcW w:w="2693" w:type="dxa"/>
                  <w:vAlign w:val="center"/>
                </w:tcPr>
                <w:p w14:paraId="688D0409" w14:textId="5E23533D"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Morro Bonito</w:t>
                  </w:r>
                </w:p>
              </w:tc>
              <w:tc>
                <w:tcPr>
                  <w:tcW w:w="1304" w:type="dxa"/>
                  <w:vAlign w:val="center"/>
                </w:tcPr>
                <w:p w14:paraId="04E0CCCD" w14:textId="0C3D332A"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294 m²</w:t>
                  </w:r>
                </w:p>
              </w:tc>
            </w:tr>
            <w:tr w:rsidR="00942283" w14:paraId="4E078FD0" w14:textId="77777777" w:rsidTr="00942283">
              <w:tc>
                <w:tcPr>
                  <w:tcW w:w="4844" w:type="dxa"/>
                  <w:vAlign w:val="center"/>
                </w:tcPr>
                <w:p w14:paraId="6BD57CDC" w14:textId="22E08A3B"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EMEI Pró-Infância Casa da Criança</w:t>
                  </w:r>
                </w:p>
              </w:tc>
              <w:tc>
                <w:tcPr>
                  <w:tcW w:w="2693" w:type="dxa"/>
                  <w:vAlign w:val="center"/>
                </w:tcPr>
                <w:p w14:paraId="7823F523" w14:textId="1B23C736"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Centro</w:t>
                  </w:r>
                </w:p>
              </w:tc>
              <w:tc>
                <w:tcPr>
                  <w:tcW w:w="1304" w:type="dxa"/>
                  <w:vAlign w:val="center"/>
                </w:tcPr>
                <w:p w14:paraId="16802B3D" w14:textId="469E2AEC"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317 m²</w:t>
                  </w:r>
                </w:p>
              </w:tc>
            </w:tr>
            <w:tr w:rsidR="00942283" w14:paraId="76226AC0" w14:textId="77777777" w:rsidTr="00942283">
              <w:tc>
                <w:tcPr>
                  <w:tcW w:w="4844" w:type="dxa"/>
                  <w:vAlign w:val="center"/>
                </w:tcPr>
                <w:p w14:paraId="1324F170" w14:textId="3CE18470"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EMEI Pingo de Gente</w:t>
                  </w:r>
                </w:p>
              </w:tc>
              <w:tc>
                <w:tcPr>
                  <w:tcW w:w="2693" w:type="dxa"/>
                  <w:vAlign w:val="center"/>
                </w:tcPr>
                <w:p w14:paraId="0B4F051F" w14:textId="32A29B53"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Cidade Baixa</w:t>
                  </w:r>
                </w:p>
              </w:tc>
              <w:tc>
                <w:tcPr>
                  <w:tcW w:w="1304" w:type="dxa"/>
                  <w:vAlign w:val="center"/>
                </w:tcPr>
                <w:p w14:paraId="718428E9" w14:textId="232D8271"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765 m²</w:t>
                  </w:r>
                </w:p>
              </w:tc>
            </w:tr>
            <w:tr w:rsidR="00942283" w14:paraId="34013F40" w14:textId="77777777" w:rsidTr="00942283">
              <w:tc>
                <w:tcPr>
                  <w:tcW w:w="4844" w:type="dxa"/>
                  <w:vAlign w:val="center"/>
                </w:tcPr>
                <w:p w14:paraId="21664E8C" w14:textId="23F1E0E0"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EMEI Criança Feliz</w:t>
                  </w:r>
                </w:p>
              </w:tc>
              <w:tc>
                <w:tcPr>
                  <w:tcW w:w="2693" w:type="dxa"/>
                  <w:vAlign w:val="center"/>
                </w:tcPr>
                <w:p w14:paraId="6CE02201" w14:textId="114CB138"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Fazenda São José</w:t>
                  </w:r>
                </w:p>
              </w:tc>
              <w:tc>
                <w:tcPr>
                  <w:tcW w:w="1304" w:type="dxa"/>
                  <w:vAlign w:val="center"/>
                </w:tcPr>
                <w:p w14:paraId="6D8575B3" w14:textId="46375B87"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535 m²</w:t>
                  </w:r>
                </w:p>
              </w:tc>
            </w:tr>
            <w:tr w:rsidR="00942283" w14:paraId="0E8E90C1" w14:textId="77777777" w:rsidTr="00942283">
              <w:tc>
                <w:tcPr>
                  <w:tcW w:w="4844" w:type="dxa"/>
                  <w:vAlign w:val="center"/>
                </w:tcPr>
                <w:p w14:paraId="2EE45165" w14:textId="54BF2DFF"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EMEI Pequeno Mundo</w:t>
                  </w:r>
                </w:p>
              </w:tc>
              <w:tc>
                <w:tcPr>
                  <w:tcW w:w="2693" w:type="dxa"/>
                  <w:vAlign w:val="center"/>
                </w:tcPr>
                <w:p w14:paraId="08134CB0" w14:textId="45547550"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Posses</w:t>
                  </w:r>
                </w:p>
              </w:tc>
              <w:tc>
                <w:tcPr>
                  <w:tcW w:w="1304" w:type="dxa"/>
                  <w:vAlign w:val="center"/>
                </w:tcPr>
                <w:p w14:paraId="6771A9DE" w14:textId="54256A8F"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210 m²</w:t>
                  </w:r>
                </w:p>
              </w:tc>
            </w:tr>
            <w:tr w:rsidR="00942283" w14:paraId="54E9DB0F" w14:textId="77777777" w:rsidTr="00942283">
              <w:tc>
                <w:tcPr>
                  <w:tcW w:w="4844" w:type="dxa"/>
                  <w:vAlign w:val="center"/>
                </w:tcPr>
                <w:p w14:paraId="0E53ED32" w14:textId="3A75CA63"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EMEF Prudêncio Franklin dos Reis</w:t>
                  </w:r>
                </w:p>
              </w:tc>
              <w:tc>
                <w:tcPr>
                  <w:tcW w:w="2693" w:type="dxa"/>
                  <w:vAlign w:val="center"/>
                </w:tcPr>
                <w:p w14:paraId="44BF49AA" w14:textId="53E21B05" w:rsidR="00942283" w:rsidRDefault="00942283" w:rsidP="00981221">
                  <w:pPr>
                    <w:spacing w:after="0"/>
                    <w:ind w:firstLine="0"/>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Morro Bonito</w:t>
                  </w:r>
                </w:p>
              </w:tc>
              <w:tc>
                <w:tcPr>
                  <w:tcW w:w="1304" w:type="dxa"/>
                  <w:vAlign w:val="center"/>
                </w:tcPr>
                <w:p w14:paraId="7979E8EE" w14:textId="24336D9A" w:rsidR="00942283" w:rsidRDefault="00942283" w:rsidP="002156A1">
                  <w:pPr>
                    <w:spacing w:after="0"/>
                    <w:ind w:firstLine="0"/>
                    <w:jc w:val="right"/>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1.280 m²</w:t>
                  </w:r>
                </w:p>
              </w:tc>
            </w:tr>
            <w:tr w:rsidR="00942283" w14:paraId="064CD042" w14:textId="77777777" w:rsidTr="00942283">
              <w:tc>
                <w:tcPr>
                  <w:tcW w:w="4844" w:type="dxa"/>
                  <w:vAlign w:val="center"/>
                </w:tcPr>
                <w:p w14:paraId="2A85BE2B" w14:textId="64007E2A"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Unidade Básica de Saúde (UBS)</w:t>
                  </w:r>
                </w:p>
              </w:tc>
              <w:tc>
                <w:tcPr>
                  <w:tcW w:w="2693" w:type="dxa"/>
                  <w:vAlign w:val="center"/>
                </w:tcPr>
                <w:p w14:paraId="67DD4ACA" w14:textId="01F50D91"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Centro</w:t>
                  </w:r>
                </w:p>
              </w:tc>
              <w:tc>
                <w:tcPr>
                  <w:tcW w:w="1304" w:type="dxa"/>
                  <w:vAlign w:val="center"/>
                </w:tcPr>
                <w:p w14:paraId="2F8B190D" w14:textId="4E1FD8F3" w:rsidR="00942283" w:rsidRPr="00D339D9" w:rsidRDefault="00B54A98" w:rsidP="002156A1">
                  <w:pPr>
                    <w:spacing w:after="0"/>
                    <w:ind w:firstLine="0"/>
                    <w:jc w:val="right"/>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2</w:t>
                  </w:r>
                  <w:r w:rsidR="00D339D9">
                    <w:rPr>
                      <w:rFonts w:ascii="Times New Roman" w:eastAsia="Times New Roman" w:hAnsi="Times New Roman" w:cs="Times New Roman"/>
                      <w:iCs/>
                      <w:color w:val="000000" w:themeColor="text1"/>
                      <w:sz w:val="20"/>
                      <w:szCs w:val="20"/>
                      <w:lang w:eastAsia="pt-BR"/>
                    </w:rPr>
                    <w:t>.</w:t>
                  </w:r>
                  <w:r w:rsidRPr="00D339D9">
                    <w:rPr>
                      <w:rFonts w:ascii="Times New Roman" w:eastAsia="Times New Roman" w:hAnsi="Times New Roman" w:cs="Times New Roman"/>
                      <w:iCs/>
                      <w:color w:val="000000" w:themeColor="text1"/>
                      <w:sz w:val="20"/>
                      <w:szCs w:val="20"/>
                      <w:lang w:eastAsia="pt-BR"/>
                    </w:rPr>
                    <w:t>500</w:t>
                  </w:r>
                  <w:r w:rsidR="00D339D9">
                    <w:rPr>
                      <w:rFonts w:ascii="Times New Roman" w:eastAsia="Times New Roman" w:hAnsi="Times New Roman" w:cs="Times New Roman"/>
                      <w:iCs/>
                      <w:color w:val="000000" w:themeColor="text1"/>
                      <w:sz w:val="20"/>
                      <w:szCs w:val="20"/>
                      <w:lang w:eastAsia="pt-BR"/>
                    </w:rPr>
                    <w:t xml:space="preserve"> m²</w:t>
                  </w:r>
                </w:p>
              </w:tc>
            </w:tr>
            <w:tr w:rsidR="00942283" w14:paraId="78240C3C" w14:textId="77777777" w:rsidTr="00942283">
              <w:tc>
                <w:tcPr>
                  <w:tcW w:w="4844" w:type="dxa"/>
                  <w:vAlign w:val="center"/>
                </w:tcPr>
                <w:p w14:paraId="77F4C324" w14:textId="19F64852"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Estratégia Saúde da Família (ESF)</w:t>
                  </w:r>
                </w:p>
              </w:tc>
              <w:tc>
                <w:tcPr>
                  <w:tcW w:w="2693" w:type="dxa"/>
                  <w:vAlign w:val="center"/>
                </w:tcPr>
                <w:p w14:paraId="03EF2C8D" w14:textId="18412245"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Morro Bonito</w:t>
                  </w:r>
                </w:p>
              </w:tc>
              <w:tc>
                <w:tcPr>
                  <w:tcW w:w="1304" w:type="dxa"/>
                  <w:vAlign w:val="center"/>
                </w:tcPr>
                <w:p w14:paraId="098CC311" w14:textId="5FE0E2E5" w:rsidR="00942283" w:rsidRPr="00D339D9" w:rsidRDefault="00B54A98" w:rsidP="002156A1">
                  <w:pPr>
                    <w:spacing w:after="0"/>
                    <w:ind w:firstLine="0"/>
                    <w:jc w:val="right"/>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400</w:t>
                  </w:r>
                  <w:r w:rsidR="00D339D9">
                    <w:rPr>
                      <w:rFonts w:ascii="Times New Roman" w:eastAsia="Times New Roman" w:hAnsi="Times New Roman" w:cs="Times New Roman"/>
                      <w:iCs/>
                      <w:color w:val="000000" w:themeColor="text1"/>
                      <w:sz w:val="20"/>
                      <w:szCs w:val="20"/>
                      <w:lang w:eastAsia="pt-BR"/>
                    </w:rPr>
                    <w:t xml:space="preserve"> m²</w:t>
                  </w:r>
                </w:p>
              </w:tc>
            </w:tr>
            <w:tr w:rsidR="00942283" w14:paraId="3D553323" w14:textId="77777777" w:rsidTr="00942283">
              <w:tc>
                <w:tcPr>
                  <w:tcW w:w="4844" w:type="dxa"/>
                  <w:vAlign w:val="center"/>
                </w:tcPr>
                <w:p w14:paraId="44E07074" w14:textId="0A7597D3"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Estratégia Saúde da Família (ESF)</w:t>
                  </w:r>
                  <w:r w:rsidR="00B54A98" w:rsidRPr="00D339D9">
                    <w:rPr>
                      <w:rFonts w:ascii="Times New Roman" w:eastAsia="Times New Roman" w:hAnsi="Times New Roman" w:cs="Times New Roman"/>
                      <w:iCs/>
                      <w:color w:val="000000" w:themeColor="text1"/>
                      <w:sz w:val="20"/>
                      <w:szCs w:val="20"/>
                      <w:lang w:eastAsia="pt-BR"/>
                    </w:rPr>
                    <w:t xml:space="preserve"> e área lateral</w:t>
                  </w:r>
                </w:p>
              </w:tc>
              <w:tc>
                <w:tcPr>
                  <w:tcW w:w="2693" w:type="dxa"/>
                  <w:vAlign w:val="center"/>
                </w:tcPr>
                <w:p w14:paraId="7146F0B3" w14:textId="38E85DC1" w:rsidR="00942283" w:rsidRPr="00D339D9" w:rsidRDefault="00942283" w:rsidP="00981221">
                  <w:pPr>
                    <w:spacing w:after="0"/>
                    <w:ind w:firstLine="0"/>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Fazenda São José</w:t>
                  </w:r>
                </w:p>
              </w:tc>
              <w:tc>
                <w:tcPr>
                  <w:tcW w:w="1304" w:type="dxa"/>
                  <w:vAlign w:val="center"/>
                </w:tcPr>
                <w:p w14:paraId="498CE5B5" w14:textId="091137BF" w:rsidR="00942283" w:rsidRPr="00D339D9" w:rsidRDefault="00B54A98" w:rsidP="002156A1">
                  <w:pPr>
                    <w:spacing w:after="0"/>
                    <w:ind w:firstLine="0"/>
                    <w:jc w:val="right"/>
                    <w:rPr>
                      <w:rFonts w:ascii="Times New Roman" w:eastAsia="Times New Roman" w:hAnsi="Times New Roman" w:cs="Times New Roman"/>
                      <w:iCs/>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1</w:t>
                  </w:r>
                  <w:r w:rsidR="00D339D9">
                    <w:rPr>
                      <w:rFonts w:ascii="Times New Roman" w:eastAsia="Times New Roman" w:hAnsi="Times New Roman" w:cs="Times New Roman"/>
                      <w:iCs/>
                      <w:color w:val="000000" w:themeColor="text1"/>
                      <w:sz w:val="20"/>
                      <w:szCs w:val="20"/>
                      <w:lang w:eastAsia="pt-BR"/>
                    </w:rPr>
                    <w:t>.</w:t>
                  </w:r>
                  <w:r w:rsidRPr="00D339D9">
                    <w:rPr>
                      <w:rFonts w:ascii="Times New Roman" w:eastAsia="Times New Roman" w:hAnsi="Times New Roman" w:cs="Times New Roman"/>
                      <w:iCs/>
                      <w:color w:val="000000" w:themeColor="text1"/>
                      <w:sz w:val="20"/>
                      <w:szCs w:val="20"/>
                      <w:lang w:eastAsia="pt-BR"/>
                    </w:rPr>
                    <w:t>000</w:t>
                  </w:r>
                  <w:r w:rsidR="00D339D9">
                    <w:rPr>
                      <w:rFonts w:ascii="Times New Roman" w:eastAsia="Times New Roman" w:hAnsi="Times New Roman" w:cs="Times New Roman"/>
                      <w:iCs/>
                      <w:color w:val="000000" w:themeColor="text1"/>
                      <w:sz w:val="20"/>
                      <w:szCs w:val="20"/>
                      <w:lang w:eastAsia="pt-BR"/>
                    </w:rPr>
                    <w:t xml:space="preserve"> m²</w:t>
                  </w:r>
                </w:p>
              </w:tc>
            </w:tr>
            <w:tr w:rsidR="00942283" w14:paraId="2F2A8879" w14:textId="77777777" w:rsidTr="00617F17">
              <w:tc>
                <w:tcPr>
                  <w:tcW w:w="7537" w:type="dxa"/>
                  <w:gridSpan w:val="2"/>
                  <w:vAlign w:val="center"/>
                </w:tcPr>
                <w:p w14:paraId="6B75728E" w14:textId="5D8B38CA" w:rsidR="00942283" w:rsidRDefault="00942283" w:rsidP="00981221">
                  <w:pPr>
                    <w:spacing w:after="0"/>
                    <w:ind w:firstLine="0"/>
                    <w:jc w:val="center"/>
                    <w:rPr>
                      <w:rFonts w:ascii="Times New Roman" w:eastAsia="Times New Roman" w:hAnsi="Times New Roman" w:cs="Times New Roman"/>
                      <w:iCs/>
                      <w:sz w:val="20"/>
                      <w:szCs w:val="20"/>
                      <w:lang w:eastAsia="pt-BR"/>
                    </w:rPr>
                  </w:pPr>
                  <w:r w:rsidRPr="00942283">
                    <w:rPr>
                      <w:rFonts w:ascii="Times New Roman" w:eastAsia="Times New Roman" w:hAnsi="Times New Roman" w:cs="Times New Roman"/>
                      <w:iCs/>
                      <w:sz w:val="20"/>
                      <w:szCs w:val="20"/>
                      <w:lang w:eastAsia="pt-BR"/>
                    </w:rPr>
                    <w:t>Área total estimada por ciclo</w:t>
                  </w:r>
                </w:p>
              </w:tc>
              <w:tc>
                <w:tcPr>
                  <w:tcW w:w="1304" w:type="dxa"/>
                  <w:vAlign w:val="center"/>
                </w:tcPr>
                <w:p w14:paraId="13B8AF52" w14:textId="4B6576EF" w:rsidR="00942283" w:rsidRPr="00D339D9" w:rsidRDefault="00D339D9" w:rsidP="002156A1">
                  <w:pPr>
                    <w:spacing w:after="0"/>
                    <w:ind w:firstLine="0"/>
                    <w:jc w:val="right"/>
                    <w:rPr>
                      <w:rFonts w:ascii="Times New Roman" w:eastAsia="Times New Roman" w:hAnsi="Times New Roman" w:cs="Times New Roman"/>
                      <w:iCs/>
                      <w:sz w:val="20"/>
                      <w:szCs w:val="20"/>
                      <w:lang w:eastAsia="pt-BR"/>
                    </w:rPr>
                  </w:pPr>
                  <w:r w:rsidRPr="00D339D9">
                    <w:rPr>
                      <w:rFonts w:ascii="Times New Roman" w:eastAsia="Times New Roman" w:hAnsi="Times New Roman" w:cs="Times New Roman"/>
                      <w:iCs/>
                      <w:color w:val="000000" w:themeColor="text1"/>
                      <w:sz w:val="20"/>
                      <w:szCs w:val="20"/>
                      <w:lang w:eastAsia="pt-BR"/>
                    </w:rPr>
                    <w:t>15.316 m²</w:t>
                  </w:r>
                </w:p>
              </w:tc>
            </w:tr>
          </w:tbl>
          <w:p w14:paraId="343B6695" w14:textId="77777777" w:rsidR="00942283" w:rsidRDefault="00942283" w:rsidP="00981221">
            <w:pPr>
              <w:spacing w:after="0"/>
              <w:ind w:firstLine="0"/>
              <w:rPr>
                <w:rFonts w:ascii="Times New Roman" w:eastAsia="Times New Roman" w:hAnsi="Times New Roman" w:cs="Times New Roman"/>
                <w:iCs/>
                <w:sz w:val="20"/>
                <w:szCs w:val="20"/>
                <w:lang w:eastAsia="pt-BR"/>
              </w:rPr>
            </w:pPr>
          </w:p>
          <w:p w14:paraId="476DD7D7" w14:textId="71279813"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 xml:space="preserve">As referências acima correspondem, predominantemente, às áreas externas de estabelecimentos de ensino municipais, complementadas pela metragem remanescente relativa a demais logradouros, praças e entornos de próprios públicos, de forma a totalizar a estimativa de </w:t>
            </w:r>
            <w:r w:rsidR="00E55F68" w:rsidRPr="00E55F68">
              <w:rPr>
                <w:rFonts w:ascii="Times New Roman" w:eastAsia="Times New Roman" w:hAnsi="Times New Roman" w:cs="Times New Roman"/>
                <w:iCs/>
                <w:sz w:val="20"/>
                <w:szCs w:val="20"/>
                <w:lang w:eastAsia="pt-BR"/>
              </w:rPr>
              <w:t>15.316 m²</w:t>
            </w:r>
            <w:r w:rsidRPr="00BE711E">
              <w:rPr>
                <w:rFonts w:ascii="Times New Roman" w:eastAsia="Times New Roman" w:hAnsi="Times New Roman" w:cs="Times New Roman"/>
                <w:iCs/>
                <w:sz w:val="20"/>
                <w:szCs w:val="20"/>
                <w:lang w:eastAsia="pt-BR"/>
              </w:rPr>
              <w:t xml:space="preserve">. </w:t>
            </w:r>
            <w:r w:rsidRPr="002156A1">
              <w:rPr>
                <w:rFonts w:ascii="Times New Roman" w:eastAsia="Times New Roman" w:hAnsi="Times New Roman" w:cs="Times New Roman"/>
                <w:b/>
                <w:bCs/>
                <w:iCs/>
                <w:sz w:val="20"/>
                <w:szCs w:val="20"/>
                <w:lang w:eastAsia="pt-BR"/>
              </w:rPr>
              <w:t>O quadro é referencial e poderá sofrer eventuais ajustes de metragem e de locais ao longo da execução, conforme a necessidade operacional identificada pelas Secretarias demandantes</w:t>
            </w:r>
            <w:r w:rsidRPr="00BE711E">
              <w:rPr>
                <w:rFonts w:ascii="Times New Roman" w:eastAsia="Times New Roman" w:hAnsi="Times New Roman" w:cs="Times New Roman"/>
                <w:iCs/>
                <w:sz w:val="20"/>
                <w:szCs w:val="20"/>
                <w:lang w:eastAsia="pt-BR"/>
              </w:rPr>
              <w:t>.</w:t>
            </w:r>
          </w:p>
          <w:p w14:paraId="5BFE4106"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periodicidade de execução estimada é mensal, ou seja, projeta-se a necessidade de roçada de cada área, em média, uma vez por mês, ao longo dos 12 (doze) meses de vigência do credenciamento, conforme a seguinte memória de cálculo:</w:t>
            </w:r>
          </w:p>
          <w:p w14:paraId="1B50B30C" w14:textId="77777777" w:rsidR="00D339D9" w:rsidRPr="002156A1" w:rsidRDefault="00D339D9" w:rsidP="00981221">
            <w:pPr>
              <w:spacing w:after="0"/>
              <w:ind w:firstLine="596"/>
              <w:rPr>
                <w:rFonts w:ascii="Times New Roman" w:eastAsia="Times New Roman" w:hAnsi="Times New Roman" w:cs="Times New Roman"/>
                <w:b/>
                <w:bCs/>
                <w:iCs/>
                <w:color w:val="000000" w:themeColor="text1"/>
                <w:sz w:val="20"/>
                <w:szCs w:val="20"/>
                <w:lang w:eastAsia="pt-BR"/>
              </w:rPr>
            </w:pPr>
            <w:r w:rsidRPr="002156A1">
              <w:rPr>
                <w:rFonts w:ascii="Times New Roman" w:eastAsia="Times New Roman" w:hAnsi="Times New Roman" w:cs="Times New Roman"/>
                <w:b/>
                <w:bCs/>
                <w:iCs/>
                <w:color w:val="000000" w:themeColor="text1"/>
                <w:sz w:val="20"/>
                <w:szCs w:val="20"/>
                <w:lang w:eastAsia="pt-BR"/>
              </w:rPr>
              <w:t>15.316 m² × 12 ciclos (meses) = 183.792 m²/ano</w:t>
            </w:r>
          </w:p>
          <w:p w14:paraId="6BD95B94" w14:textId="20D18B74"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 xml:space="preserve">O quantitativo anual estimado de até </w:t>
            </w:r>
            <w:r w:rsidR="00D339D9" w:rsidRPr="00D339D9">
              <w:rPr>
                <w:rFonts w:ascii="Times New Roman" w:eastAsia="Times New Roman" w:hAnsi="Times New Roman" w:cs="Times New Roman"/>
                <w:iCs/>
                <w:color w:val="000000" w:themeColor="text1"/>
                <w:sz w:val="20"/>
                <w:szCs w:val="20"/>
                <w:lang w:eastAsia="pt-BR"/>
              </w:rPr>
              <w:t>183.792 m²/ano</w:t>
            </w:r>
            <w:r w:rsidR="00D339D9" w:rsidRPr="00BE711E">
              <w:rPr>
                <w:rFonts w:ascii="Times New Roman" w:eastAsia="Times New Roman" w:hAnsi="Times New Roman" w:cs="Times New Roman"/>
                <w:iCs/>
                <w:sz w:val="20"/>
                <w:szCs w:val="20"/>
                <w:lang w:eastAsia="pt-BR"/>
              </w:rPr>
              <w:t xml:space="preserve"> </w:t>
            </w:r>
            <w:r w:rsidRPr="00BE711E">
              <w:rPr>
                <w:rFonts w:ascii="Times New Roman" w:eastAsia="Times New Roman" w:hAnsi="Times New Roman" w:cs="Times New Roman"/>
                <w:iCs/>
                <w:sz w:val="20"/>
                <w:szCs w:val="20"/>
                <w:lang w:eastAsia="pt-BR"/>
              </w:rPr>
              <w:t>constitui referência para o planejamento administrativo, orçamentário e operacional da contratação, sem representar obrigação de utilização integral, garantia de execução mínima ou direito subjetivo da futura credenciada à realização de determinado volume de serviços.</w:t>
            </w:r>
          </w:p>
          <w:p w14:paraId="0C9B22AC"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estimativa foi construída, também, considerando, entre outros fatores:</w:t>
            </w:r>
          </w:p>
          <w:p w14:paraId="368DD529"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a extensão territorial e a dispersão geográfica das áreas públicas do Município;</w:t>
            </w:r>
          </w:p>
          <w:p w14:paraId="7A3753F7"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lastRenderedPageBreak/>
              <w:t>b) a necessidade de manutenção periódica para fins de segurança, salubridade e conservação urbana, notadamente em entornos de escolas e unidades de saúde;</w:t>
            </w:r>
          </w:p>
          <w:p w14:paraId="379D3546"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c) a possibilidade de inclusão ou exclusão de locais ao longo da vigência do credenciamento, conforme a dinâmica de uso e ocupação das áreas públicas;</w:t>
            </w:r>
          </w:p>
          <w:p w14:paraId="251192BA"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d) a sazonalidade do crescimento da vegetação, que pode exigir intervalos maiores ou menores que o mensal em determinados períodos do ano, sem prejuízo da média anual estimada.</w:t>
            </w:r>
          </w:p>
          <w:p w14:paraId="2E36AA4F"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 xml:space="preserve">Ressalta-se que a demanda por serviços de roçada </w:t>
            </w:r>
            <w:r w:rsidRPr="002156A1">
              <w:rPr>
                <w:rFonts w:ascii="Times New Roman" w:eastAsia="Times New Roman" w:hAnsi="Times New Roman" w:cs="Times New Roman"/>
                <w:b/>
                <w:bCs/>
                <w:iCs/>
                <w:sz w:val="20"/>
                <w:szCs w:val="20"/>
                <w:lang w:eastAsia="pt-BR"/>
              </w:rPr>
              <w:t>possui comportamento variável, dependente de fatores climáticos, sazonais e operacionais</w:t>
            </w:r>
            <w:r w:rsidRPr="00BE711E">
              <w:rPr>
                <w:rFonts w:ascii="Times New Roman" w:eastAsia="Times New Roman" w:hAnsi="Times New Roman" w:cs="Times New Roman"/>
                <w:iCs/>
                <w:sz w:val="20"/>
                <w:szCs w:val="20"/>
                <w:lang w:eastAsia="pt-BR"/>
              </w:rPr>
              <w:t>. Dessa forma, o quantitativo ora estimado possui caráter exclusivamente referencial e destina-se ao adequado planejamento orçamentário e administrativo da contratação, não constituindo compromisso de execução integral, quantitativo mínimo garantido ou direito subjetivo da futura credenciada ao recebimento de determinado volume de serviços.</w:t>
            </w:r>
          </w:p>
          <w:p w14:paraId="02307025" w14:textId="77777777" w:rsidR="00782EBF"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distribuição dos serviços entre os credenciados ocorrerá conforme a necessidade efetivamente identificada pelas Secretarias Municipais competentes, observando os critérios estabelecidos no Edital de Chamamento Público, no Termo de Referência e no Decreto Municipal nº 1.178/2022, sendo remunerados exclusivamente os serviços previamente autorizados por Ordem de Serviço, efetivamente executados, medidos e atestados pela fiscalização contratual.</w:t>
            </w:r>
          </w:p>
          <w:p w14:paraId="0F2CE162" w14:textId="174AEDF2" w:rsidR="00CC7762" w:rsidRPr="00BE711E" w:rsidRDefault="00782EBF" w:rsidP="00981221">
            <w:pPr>
              <w:spacing w:after="0"/>
              <w:ind w:firstLine="596"/>
              <w:rPr>
                <w:rFonts w:ascii="Times New Roman" w:eastAsia="Times New Roman" w:hAnsi="Times New Roman" w:cs="Times New Roman"/>
                <w:iCs/>
                <w:sz w:val="20"/>
                <w:szCs w:val="20"/>
                <w:lang w:eastAsia="pt-BR"/>
              </w:rPr>
            </w:pPr>
            <w:r w:rsidRPr="00BE711E">
              <w:rPr>
                <w:rFonts w:ascii="Times New Roman" w:eastAsia="Times New Roman" w:hAnsi="Times New Roman" w:cs="Times New Roman"/>
                <w:iCs/>
                <w:sz w:val="20"/>
                <w:szCs w:val="20"/>
                <w:lang w:eastAsia="pt-BR"/>
              </w:rPr>
              <w:t>A memória de cálculo que fundamenta a estimativa encontra-se anexada ao presente processo administrativo e considera o levantamento de áreas públicas sujeitas a roçada, a periodicidade mensal necessária à sua adequada manutenção e a expectativa de eventuais ajustes de locais e metragens ao longo da vigência do credenciamento.</w:t>
            </w:r>
          </w:p>
        </w:tc>
      </w:tr>
    </w:tbl>
    <w:p w14:paraId="6E7C030A" w14:textId="77777777" w:rsidR="008F76F3" w:rsidRPr="00BE711E" w:rsidRDefault="008F76F3" w:rsidP="00981221">
      <w:pPr>
        <w:pStyle w:val="Default"/>
        <w:jc w:val="both"/>
        <w:rPr>
          <w:rFonts w:eastAsia="Times New Roman"/>
          <w:i/>
          <w:color w:val="auto"/>
          <w:sz w:val="20"/>
          <w:szCs w:val="20"/>
          <w:lang w:eastAsia="pt-BR"/>
        </w:rPr>
      </w:pPr>
    </w:p>
    <w:tbl>
      <w:tblPr>
        <w:tblStyle w:val="Tabelacomgrade"/>
        <w:tblW w:w="9067" w:type="dxa"/>
        <w:tblLook w:val="04A0" w:firstRow="1" w:lastRow="0" w:firstColumn="1" w:lastColumn="0" w:noHBand="0" w:noVBand="1"/>
      </w:tblPr>
      <w:tblGrid>
        <w:gridCol w:w="9067"/>
      </w:tblGrid>
      <w:tr w:rsidR="008F76F3" w:rsidRPr="00BE711E" w14:paraId="21089FAE" w14:textId="77777777" w:rsidTr="008B3682">
        <w:tc>
          <w:tcPr>
            <w:tcW w:w="9067" w:type="dxa"/>
          </w:tcPr>
          <w:p w14:paraId="268D97E3" w14:textId="7B7F824B" w:rsidR="008F76F3" w:rsidRPr="00BE711E" w:rsidRDefault="008D5C47" w:rsidP="00981221">
            <w:pPr>
              <w:spacing w:after="0"/>
              <w:ind w:firstLine="24"/>
              <w:rPr>
                <w:rFonts w:ascii="Times New Roman" w:hAnsi="Times New Roman" w:cs="Times New Roman"/>
                <w:b/>
                <w:sz w:val="20"/>
                <w:szCs w:val="20"/>
              </w:rPr>
            </w:pPr>
            <w:r w:rsidRPr="00BE711E">
              <w:rPr>
                <w:rFonts w:ascii="Times New Roman" w:hAnsi="Times New Roman" w:cs="Times New Roman"/>
                <w:b/>
                <w:sz w:val="20"/>
                <w:szCs w:val="20"/>
              </w:rPr>
              <w:t>6</w:t>
            </w:r>
            <w:r w:rsidR="008F76F3" w:rsidRPr="00BE711E">
              <w:rPr>
                <w:rFonts w:ascii="Times New Roman" w:hAnsi="Times New Roman" w:cs="Times New Roman"/>
                <w:b/>
                <w:sz w:val="20"/>
                <w:szCs w:val="20"/>
              </w:rPr>
              <w:t xml:space="preserve"> – LEVANTAMENTO DE MERCADO</w:t>
            </w:r>
            <w:r w:rsidR="00FC4923" w:rsidRPr="00BE711E">
              <w:rPr>
                <w:rFonts w:ascii="Times New Roman" w:hAnsi="Times New Roman" w:cs="Times New Roman"/>
                <w:b/>
                <w:sz w:val="20"/>
                <w:szCs w:val="20"/>
              </w:rPr>
              <w:t>:</w:t>
            </w:r>
          </w:p>
        </w:tc>
      </w:tr>
      <w:tr w:rsidR="008F76F3" w:rsidRPr="00BE711E" w14:paraId="2B9D2A83" w14:textId="77777777" w:rsidTr="008B3682">
        <w:tc>
          <w:tcPr>
            <w:tcW w:w="9067" w:type="dxa"/>
            <w:shd w:val="clear" w:color="auto" w:fill="F2F2F2" w:themeFill="background1" w:themeFillShade="F2"/>
          </w:tcPr>
          <w:p w14:paraId="62E2A33C"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hAnsi="Times New Roman" w:cs="Times New Roman"/>
                <w:sz w:val="20"/>
                <w:szCs w:val="20"/>
              </w:rPr>
              <w:t>Levantamento de mercado, que consiste na análise das alternativas possíveis, e justificativa técnica e econômica da escolha do tipo de solução a contratar (</w:t>
            </w:r>
            <w:r w:rsidRPr="00BE711E">
              <w:rPr>
                <w:rFonts w:ascii="Times New Roman" w:eastAsia="Times New Roman" w:hAnsi="Times New Roman" w:cs="Times New Roman"/>
                <w:color w:val="000000"/>
                <w:sz w:val="20"/>
                <w:szCs w:val="20"/>
                <w:lang w:eastAsia="pt-BR"/>
              </w:rPr>
              <w:t xml:space="preserve">inciso V do § 1° do art. 18 da Lei 14.133/2021); </w:t>
            </w:r>
          </w:p>
        </w:tc>
      </w:tr>
      <w:tr w:rsidR="008F76F3" w:rsidRPr="00BE711E" w14:paraId="60E2412E" w14:textId="77777777" w:rsidTr="008B3682">
        <w:tc>
          <w:tcPr>
            <w:tcW w:w="9067" w:type="dxa"/>
          </w:tcPr>
          <w:p w14:paraId="738D888F"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O levantamento de mercado foi realizado mediante análise das alternativas disponíveis para assegurar a execução regular dos serviços de roçada nas áreas públicas do Município de Paverama, considerando aspectos técnicos, operacionais, econômicos e jurídicos relacionados à contratação.</w:t>
            </w:r>
          </w:p>
          <w:p w14:paraId="3EF2700F"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Foram consideradas, especialmente, a insuficiência do quadro próprio de servidores, a necessidade permanente de manutenção e conservação dos espaços públicos, a dispersão geográfica das áreas, a sazonalidade do crescimento da vegetação, a possibilidade de execução simultânea em diferentes locais e a variação da demanda ao longo do ano.</w:t>
            </w:r>
          </w:p>
          <w:p w14:paraId="05BC7315" w14:textId="63B9B2A1"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 xml:space="preserve">Conforme o levantamento realizado pelas Secretarias Municipais competentes, a contratação abrangerá uma área estimada de até </w:t>
            </w:r>
            <w:r w:rsidR="00D339D9" w:rsidRPr="00D339D9">
              <w:rPr>
                <w:rFonts w:ascii="Times New Roman" w:eastAsia="Times New Roman" w:hAnsi="Times New Roman" w:cs="Times New Roman"/>
                <w:iCs/>
                <w:color w:val="000000" w:themeColor="text1"/>
                <w:sz w:val="20"/>
                <w:szCs w:val="20"/>
                <w:lang w:eastAsia="pt-BR"/>
              </w:rPr>
              <w:t>15.316 m²</w:t>
            </w:r>
            <w:r w:rsidR="00D339D9">
              <w:rPr>
                <w:rFonts w:ascii="Times New Roman" w:eastAsia="Times New Roman" w:hAnsi="Times New Roman" w:cs="Times New Roman"/>
                <w:iCs/>
                <w:color w:val="000000" w:themeColor="text1"/>
                <w:sz w:val="20"/>
                <w:szCs w:val="20"/>
                <w:lang w:eastAsia="pt-BR"/>
              </w:rPr>
              <w:t xml:space="preserve"> </w:t>
            </w:r>
            <w:r w:rsidRPr="00BE711E">
              <w:rPr>
                <w:rFonts w:ascii="Times New Roman" w:hAnsi="Times New Roman" w:cs="Times New Roman"/>
                <w:sz w:val="20"/>
                <w:szCs w:val="20"/>
              </w:rPr>
              <w:t xml:space="preserve">por ciclo de execução, distribuída entre estabelecimentos municipais de ensino e demais áreas públicas. </w:t>
            </w:r>
            <w:r w:rsidR="00DE4F70">
              <w:rPr>
                <w:rFonts w:ascii="Times New Roman" w:hAnsi="Times New Roman" w:cs="Times New Roman"/>
                <w:sz w:val="20"/>
                <w:szCs w:val="20"/>
              </w:rPr>
              <w:t xml:space="preserve"> </w:t>
            </w:r>
            <w:r w:rsidRPr="00BE711E">
              <w:rPr>
                <w:rFonts w:ascii="Times New Roman" w:hAnsi="Times New Roman" w:cs="Times New Roman"/>
                <w:sz w:val="20"/>
                <w:szCs w:val="20"/>
              </w:rPr>
              <w:t>A necessidade não se apresenta de maneira uniforme durante todo o exercício. Nos períodos de maior incidência de chuvas e temperaturas elevadas, o crescimento da vegetação poderá exigir intervenções mais frequentes, enquanto nos períodos de estiagem, inverno ou menor desenvolvimento vegetativo a frequência poderá ser reduzida. Além disso, a necessidade poderá variar entre as áreas, conforme sua localização, utilização, dimensão e condições específicas de conservação.</w:t>
            </w:r>
          </w:p>
          <w:p w14:paraId="384504B9"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Também foram consideradas as condições atualmente adotadas pelo Município. Os serviços vêm sendo executados mediante pagamento direto pelos trabalhos efetivamente realizados, em razão da inexistência de instrumento contratual vigente. Essa prática possui natureza exclusivamente transitória e não constitui solução administrativa adequada para a continuidade da prestação, devendo ser substituída por procedimento formal que assegure planejamento, prévia autorização, critérios de distribuição, medição, fiscalização, controle da despesa e segurança jurídica.</w:t>
            </w:r>
          </w:p>
          <w:p w14:paraId="02DAD0EE"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Para atendimento da necessidade identificada, foram analisadas as seguintes alternativas:</w:t>
            </w:r>
          </w:p>
          <w:p w14:paraId="248BCF3E" w14:textId="4DD4EE0D"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1) Execução direta com o quadro atual de servidores municipais</w:t>
            </w:r>
            <w:r w:rsidR="00DE4F70">
              <w:rPr>
                <w:rFonts w:ascii="Times New Roman" w:hAnsi="Times New Roman" w:cs="Times New Roman"/>
                <w:sz w:val="20"/>
                <w:szCs w:val="20"/>
              </w:rPr>
              <w:t>:</w:t>
            </w:r>
          </w:p>
          <w:p w14:paraId="1105F6C9"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primeira alternativa examinada consiste na execução integral dos serviços pelos servidores e operários pertencentes ao quadro municipal, mediante utilização dos equipamentos e da estrutura operacional da Administração.</w:t>
            </w:r>
          </w:p>
          <w:p w14:paraId="25A74CF9"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execução direta proporcionaria controle imediato sobre a definição das áreas, os horários de trabalho e a organização das equipes. Também permitiria a utilização dos servidores de acordo com as prioridades estabelecidas pelas Secretarias Municipais.</w:t>
            </w:r>
          </w:p>
          <w:p w14:paraId="3075434C"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Entretanto, o Município possui quadro reduzido de servidores destinados às atividades de manutenção e conservação das áreas públicas, insuficiente para atender integralmente à demanda estimada. Esses trabalhadores também executam outras atividades essenciais, como manutenção de vias, limpeza urbana, conservação de prédios, drenagem, transporte de materiais e atendimento de ocorrências emergenciais.</w:t>
            </w:r>
          </w:p>
          <w:p w14:paraId="287166B8"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lastRenderedPageBreak/>
              <w:t>A utilização exclusiva da estrutura própria para a realização das roçadas poderia comprometer a execução dessas outras atribuições, sobretudo nos períodos em que o crescimento acelerado da vegetação exige o atendimento simultâneo de diversas áreas públicas.</w:t>
            </w:r>
          </w:p>
          <w:p w14:paraId="06DFFAAE"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Dessa forma, embora a execução direta possa continuar sendo utilizada de maneira complementar e em situações pontuais, ela não se mostra suficiente para assegurar, isoladamente, a regularidade, a abrangência e a frequência necessárias.</w:t>
            </w:r>
          </w:p>
          <w:p w14:paraId="012288B5" w14:textId="1B0299DA"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2) Ampliação da estrutura própria do Município</w:t>
            </w:r>
            <w:r w:rsidR="00DE4F70">
              <w:rPr>
                <w:rFonts w:ascii="Times New Roman" w:hAnsi="Times New Roman" w:cs="Times New Roman"/>
                <w:sz w:val="20"/>
                <w:szCs w:val="20"/>
              </w:rPr>
              <w:t>:</w:t>
            </w:r>
          </w:p>
          <w:p w14:paraId="3DBFE87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Também foi analisada a possibilidade de ampliação da capacidade municipal por meio da admissão de novos servidores, aquisição de roçadeiras, veículos, ferramentas e equipamentos de proteção, bem como da organização de equipe permanente destinada aos serviços de roçada.</w:t>
            </w:r>
          </w:p>
          <w:p w14:paraId="3B4FA066"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Essa alternativa proporcionaria maior autonomia operacional ao Município e permitiria a execução direta dos serviços. Contudo, demandaria a criação ou provimento de cargos, realização dos procedimentos administrativos necessários, aquisição e manutenção de equipamentos, fornecimento contínuo de combustível e materiais, capacitação dos trabalhadores e ampliação das despesas permanentes com pessoal e encargos.</w:t>
            </w:r>
          </w:p>
          <w:p w14:paraId="5BC7A07C"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solução geraria custos fixos durante todo o exercício, independentemente da intensidade da demanda. Essa característica reduz sua adequação econômica diante da sazonalidade do crescimento da vegetação e da possibilidade de redução da necessidade de serviços em determinados períodos do ano.</w:t>
            </w:r>
          </w:p>
          <w:p w14:paraId="70CA6C22"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Além disso, a ampliação da despesa com pessoal exige análise específica de disponibilidade orçamentária, impacto financeiro e observância dos limites e condicionantes legais aplicáveis. Por essas razões, a estruturação de equipe própria ampliada não se apresenta como solução imediata para a necessidade atualmente existente, embora possa ser avaliada futuramente no planejamento de pessoal e de serviços do Município.</w:t>
            </w:r>
          </w:p>
          <w:p w14:paraId="34DE5E1C" w14:textId="7CBD48DA"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3) Licitação para contratação de um único prestador</w:t>
            </w:r>
            <w:r w:rsidR="00DE4F70">
              <w:rPr>
                <w:rFonts w:ascii="Times New Roman" w:hAnsi="Times New Roman" w:cs="Times New Roman"/>
                <w:sz w:val="20"/>
                <w:szCs w:val="20"/>
              </w:rPr>
              <w:t>:</w:t>
            </w:r>
          </w:p>
          <w:p w14:paraId="46F35B0C"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terceira alternativa consiste na realização de procedimento competitivo para selecionar uma única empresa responsável pela execução integral dos serviços de roçada durante o período contratual.</w:t>
            </w:r>
          </w:p>
          <w:p w14:paraId="6168CA6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contratação de um único prestador simplificaria a interlocução administrativa, a emissão das Ordens de Serviço, a fiscalização, a medição e o processamento dos pagamentos. Também permitiria atribuir a uma única empresa a responsabilidade pelo atendimento de todas as áreas abrangidas.</w:t>
            </w:r>
          </w:p>
          <w:p w14:paraId="2C24AD23"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Entretanto, a concentração integral do objeto em um único contratado poderia ampliar o risco de descontinuidade em caso de indisponibilidade de pessoal, falha de equipamentos, atraso, inexecução contratual, desistência ou incapacidade operacional da empresa para atender simultaneamente diferentes localidades.</w:t>
            </w:r>
          </w:p>
          <w:p w14:paraId="6BF8523A"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solução exigiria que um único prestador mantivesse capacidade operacional suficiente para atender áreas dispersas pelo território municipal e absorver os aumentos sazonais da demanda. A dependência exclusiva poderia dificultar o atendimento tempestivo de escolas e demais áreas públicas nos períodos de maior crescimento da vegetação.</w:t>
            </w:r>
          </w:p>
          <w:p w14:paraId="6FF25E81"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Embora juridicamente possível, a contratação exclusiva não apresenta a mesma flexibilidade operacional de uma solução que permita a atuação paralela de diversos prestadores.</w:t>
            </w:r>
          </w:p>
          <w:p w14:paraId="39436B2B"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4) Licitação com divisão por lotes ou utilização do Sistema de Registro de Preços</w:t>
            </w:r>
          </w:p>
          <w:p w14:paraId="5CD7FD91"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Outra alternativa examinada consiste na divisão do objeto em lotes territoriais ou institucionais, ou na realização de licitação para Sistema de Registro de Preços, possibilitando contratações conforme a necessidade da Administração.</w:t>
            </w:r>
          </w:p>
          <w:p w14:paraId="398DC587"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divisão por lotes poderia reduzir a concentração do objeto e permitir que diferentes empresas fossem responsáveis por grupos determinados de áreas. O Sistema de Registro de Preços, por sua vez, possibilitaria solicitações futuras conforme a demanda, sem obrigação de utilização integral do quantitativo estimado.</w:t>
            </w:r>
          </w:p>
          <w:p w14:paraId="33E04CCD"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Essas soluções são juridicamente possíveis e apresentam vantagens quanto à competição de preços e à execução parcelada. Entretanto, exigiriam a definição prévia de lotes ou de uma ordem classificatória de fornecedores, o que poderia reduzir a flexibilidade para distribuir e redistribuir os serviços conforme a disponibilidade efetiva das empresas, a urgência, a localização das áreas e a necessidade de atuação simultânea.</w:t>
            </w:r>
          </w:p>
          <w:p w14:paraId="78B0E627"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divisão rígida por lotes também poderia gerar desequilíbrio entre as áreas, considerando que a necessidade de roçada não ocorre de forma uniforme em todos os locais. Determinado lote poderia demandar intervenções mais frequentes do que outro, especialmente em razão das condições climáticas e das características da vegetação.</w:t>
            </w:r>
          </w:p>
          <w:p w14:paraId="34B0311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No Sistema de Registro de Preços, embora seja possível a formação de cadastro de reserva, a contratação permanece vinculada às regras de classificação e convocação estabelecidas na licitação. O modelo não proporciona, com a mesma aderência, a manutenção de uma rede permanentemente aberta de prestadores que aceitem executar os serviços pelo mesmo valor unitário fixado pela Administração.</w:t>
            </w:r>
          </w:p>
          <w:p w14:paraId="515488E0"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5) Cooperação com outros entes ou utilização de consórcio intermunicipal</w:t>
            </w:r>
          </w:p>
          <w:p w14:paraId="1E6EEA8E"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lastRenderedPageBreak/>
              <w:t>Foi considerada, ainda, a possibilidade de execução mediante cooperação com outros municípios ou utilização de estrutura vinculada a consórcio intermunicipal.</w:t>
            </w:r>
          </w:p>
          <w:p w14:paraId="618F28D1"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Em tese, essa alternativa poderia permitir o compartilhamento de equipamentos, equipes ou procedimentos de contratação. Contudo, os serviços de roçada possuem natureza essencialmente local, exigem deslocamento frequente até áreas distribuídas no território municipal e dependem de rápida mobilização conforme as condições de cada espaço público.</w:t>
            </w:r>
          </w:p>
          <w:p w14:paraId="2C6C020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Não foi identificada estrutura consorciada ou cooperação institucional disponível que assegure o atendimento contínuo, tempestivo e economicamente vantajoso da demanda municipal. O deslocamento de equipes e equipamentos de outros municípios também poderia elevar os custos logísticos e reduzir a agilidade da execução.</w:t>
            </w:r>
          </w:p>
          <w:p w14:paraId="0F1FD0B3"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alternativa poderá ser reavaliada caso surja solução regional efetivamente disponível e vantajosa, mas não se mostra suficiente para o atendimento da necessidade atualmente identificada.</w:t>
            </w:r>
          </w:p>
          <w:p w14:paraId="63997CA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6) Chamamento Público para Credenciamento</w:t>
            </w:r>
          </w:p>
          <w:p w14:paraId="1632907E"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O credenciamento consiste na convocação pública de pessoas jurídicas interessadas na prestação dos serviços, permitindo a habilitação de todos os prestadores que atendam aos requisitos jurídicos, fiscais, trabalhistas, técnicos e operacionais estabelecidos pela Administração e aceitem o valor unitário e as demais condições padronizadas.</w:t>
            </w:r>
          </w:p>
          <w:p w14:paraId="57E177B9"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 xml:space="preserve">A solução permite a </w:t>
            </w:r>
            <w:r w:rsidRPr="002156A1">
              <w:rPr>
                <w:rFonts w:ascii="Times New Roman" w:hAnsi="Times New Roman" w:cs="Times New Roman"/>
                <w:b/>
                <w:bCs/>
                <w:sz w:val="20"/>
                <w:szCs w:val="20"/>
              </w:rPr>
              <w:t>contratação paralela e não excludente dos credenciados</w:t>
            </w:r>
            <w:r w:rsidRPr="00BE711E">
              <w:rPr>
                <w:rFonts w:ascii="Times New Roman" w:hAnsi="Times New Roman" w:cs="Times New Roman"/>
                <w:sz w:val="20"/>
                <w:szCs w:val="20"/>
              </w:rPr>
              <w:t>, mediante emissão de Ordens de Serviço conforme a necessidade municipal, com pagamento exclusivamente pela metragem efetivamente executada, medida e atestada pela fiscalização.</w:t>
            </w:r>
          </w:p>
          <w:p w14:paraId="3D6E094C"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O modelo apresenta aderência às características da demanda porque:</w:t>
            </w:r>
          </w:p>
          <w:p w14:paraId="3B718289"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permite o credenciamento de mais de um prestador, reduzindo a dependência de uma única empresa;</w:t>
            </w:r>
          </w:p>
          <w:p w14:paraId="6139878D"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b) possibilita o atendimento simultâneo de áreas situadas em diferentes localidades do Município;</w:t>
            </w:r>
          </w:p>
          <w:p w14:paraId="0A541BEB"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c) permite a distribuição dos serviços conforme critérios objetivos, impessoais e previamente definidos;</w:t>
            </w:r>
          </w:p>
          <w:p w14:paraId="718308EA"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d) admite o ingresso de novos interessados durante o período em que o edital permanecer aberto;</w:t>
            </w:r>
          </w:p>
          <w:p w14:paraId="71EEA8F7"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e) possibilita a convocação conforme a necessidade efetivamente identificada;</w:t>
            </w:r>
          </w:p>
          <w:p w14:paraId="671802EB"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f) permite adequar a execução à sazonalidade do crescimento da vegetação;</w:t>
            </w:r>
          </w:p>
          <w:p w14:paraId="48619CE8"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g) não assegura quantitativo mínimo, faturamento ou exclusividade aos credenciados;</w:t>
            </w:r>
          </w:p>
          <w:p w14:paraId="58B4F57F"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h) vincula o pagamento à metragem efetivamente roçada, medida e atestada;</w:t>
            </w:r>
          </w:p>
          <w:p w14:paraId="3E52BDC4"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i) transfere ao prestador os custos com mão de obra, equipamentos, combustível, transporte, ferramentas, manutenção e equipamentos de proteção individual;</w:t>
            </w:r>
          </w:p>
          <w:p w14:paraId="425DF412"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j) amplia a capacidade operacional disponível ao Município sem a criação imediata de estrutura permanente e de custos fixos com pessoal;</w:t>
            </w:r>
          </w:p>
          <w:p w14:paraId="40EDE7E1"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k) permite a convocação simultânea de mais de um credenciado quando a extensão, a dispersão territorial ou a urgência dos serviços assim exigirem;</w:t>
            </w:r>
          </w:p>
          <w:p w14:paraId="5C33C813"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l) possibilita a substituição ou convocação de outro credenciado quando o inicialmente chamado não possuir disponibilidade para atender à demanda, observadas as regras do edital.</w:t>
            </w:r>
          </w:p>
          <w:p w14:paraId="1CB886C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adequação jurídica do credenciamento não decorre apenas da variação do quantitativo, mas, principalmente, da demonstração de que é viável e vantajoso para a Administração contratar paralelamente diversos prestadores em condições uniformes, sem exclusividade e mediante critérios objetivos de distribuição. A Lei nº 14.133/2021 prevê a inexigibilidade para objetos que devam ou possam ser contratados por credenciamento e admite seu uso na hipótese de contratação paralela e não excludente.</w:t>
            </w:r>
          </w:p>
          <w:p w14:paraId="7FB8C205"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No presente caso, a dispersão territorial das áreas, a possibilidade de necessidade simultânea em diferentes locais, a sazonalidade da demanda, a insuficiência da equipe própria e a conveniência de manter diversos prestadores disponíveis demonstram a vantagem operacional da contratação paralela.</w:t>
            </w:r>
          </w:p>
          <w:p w14:paraId="63B1C7C6"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O credenciamento deverá observar o Decreto Municipal nº 1.178/2022 e conter regras claras sobre a apresentação dos requerimentos, habilitação, ingresso de novos interessados, formação da relação de credenciados, distribuição das Ordens de Serviço, recusa justificada, medição, fiscalização, pagamento, sanções e descredenciamento.</w:t>
            </w:r>
          </w:p>
          <w:p w14:paraId="4A4AD6AF" w14:textId="77777777" w:rsidR="00F55FEA"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 xml:space="preserve">A distribuição dos serviços </w:t>
            </w:r>
            <w:r w:rsidRPr="002156A1">
              <w:rPr>
                <w:rFonts w:ascii="Times New Roman" w:hAnsi="Times New Roman" w:cs="Times New Roman"/>
                <w:b/>
                <w:bCs/>
                <w:sz w:val="20"/>
                <w:szCs w:val="20"/>
              </w:rPr>
              <w:t>deverá ocorrer por critério objetivo previamente definido, preferencialmente mediante rodízio ou ordem sequencial entre os credenciados aptos e disponíveis</w:t>
            </w:r>
            <w:r w:rsidRPr="00BE711E">
              <w:rPr>
                <w:rFonts w:ascii="Times New Roman" w:hAnsi="Times New Roman" w:cs="Times New Roman"/>
                <w:sz w:val="20"/>
                <w:szCs w:val="20"/>
              </w:rPr>
              <w:t>. A Administração poderá convocar simultaneamente mais de uma empresa quando a extensão das áreas, a urgência, o prazo de execução ou a dispersão geográfica justificarem a adoção de múltiplas frentes de trabalho.</w:t>
            </w:r>
          </w:p>
          <w:p w14:paraId="4083B809" w14:textId="053F5168" w:rsidR="005A1BA1" w:rsidRPr="00BE711E" w:rsidRDefault="00F55FEA" w:rsidP="00981221">
            <w:pPr>
              <w:spacing w:after="0"/>
              <w:ind w:firstLine="595"/>
              <w:rPr>
                <w:rFonts w:ascii="Times New Roman" w:hAnsi="Times New Roman" w:cs="Times New Roman"/>
                <w:sz w:val="20"/>
                <w:szCs w:val="20"/>
              </w:rPr>
            </w:pPr>
            <w:r w:rsidRPr="00BE711E">
              <w:rPr>
                <w:rFonts w:ascii="Times New Roman" w:hAnsi="Times New Roman" w:cs="Times New Roman"/>
                <w:sz w:val="20"/>
                <w:szCs w:val="20"/>
              </w:rPr>
              <w:t>A eventual recusa ou indisponibilidade de um credenciado deverá ser registrada, com convocação do seguinte, sem perda definitiva de sua posição para futuras demandas, salvo nas hipóteses de recusa injustificada reiterada ou descumprimento das condições estabelecidas no edital.</w:t>
            </w:r>
          </w:p>
          <w:p w14:paraId="3469A19A" w14:textId="77777777" w:rsidR="006F5BE4" w:rsidRPr="00BE711E" w:rsidRDefault="006F5BE4" w:rsidP="00981221">
            <w:pPr>
              <w:spacing w:after="0"/>
              <w:ind w:firstLine="0"/>
              <w:jc w:val="center"/>
              <w:rPr>
                <w:rFonts w:ascii="Times New Roman" w:hAnsi="Times New Roman" w:cs="Times New Roman"/>
                <w:b/>
                <w:bCs/>
                <w:sz w:val="20"/>
                <w:szCs w:val="20"/>
              </w:rPr>
            </w:pPr>
            <w:r w:rsidRPr="00BE711E">
              <w:rPr>
                <w:rFonts w:ascii="Times New Roman" w:hAnsi="Times New Roman" w:cs="Times New Roman"/>
                <w:b/>
                <w:bCs/>
                <w:sz w:val="20"/>
                <w:szCs w:val="20"/>
              </w:rPr>
              <w:t>QUADRO COMPARATIVO DE ALTERNATIVAS:</w:t>
            </w:r>
          </w:p>
          <w:tbl>
            <w:tblPr>
              <w:tblStyle w:val="Tabelacomgrade"/>
              <w:tblW w:w="0" w:type="auto"/>
              <w:tblLook w:val="04A0" w:firstRow="1" w:lastRow="0" w:firstColumn="1" w:lastColumn="0" w:noHBand="0" w:noVBand="1"/>
            </w:tblPr>
            <w:tblGrid>
              <w:gridCol w:w="432"/>
              <w:gridCol w:w="2003"/>
              <w:gridCol w:w="2835"/>
              <w:gridCol w:w="3571"/>
            </w:tblGrid>
            <w:tr w:rsidR="00F55FEA" w:rsidRPr="00BE711E" w14:paraId="4904333E" w14:textId="77777777" w:rsidTr="00861F29">
              <w:tc>
                <w:tcPr>
                  <w:tcW w:w="432" w:type="dxa"/>
                  <w:vAlign w:val="center"/>
                </w:tcPr>
                <w:p w14:paraId="773FDE43" w14:textId="5FC2C88D" w:rsidR="00F55FEA" w:rsidRPr="00BE711E" w:rsidRDefault="00F55FEA" w:rsidP="00981221">
                  <w:pPr>
                    <w:spacing w:after="0"/>
                    <w:ind w:firstLine="0"/>
                    <w:jc w:val="center"/>
                    <w:rPr>
                      <w:rFonts w:ascii="Times New Roman" w:hAnsi="Times New Roman" w:cs="Times New Roman"/>
                      <w:sz w:val="20"/>
                      <w:szCs w:val="20"/>
                    </w:rPr>
                  </w:pPr>
                  <w:r w:rsidRPr="00BE711E">
                    <w:rPr>
                      <w:rFonts w:ascii="Times New Roman" w:hAnsi="Times New Roman" w:cs="Times New Roman"/>
                      <w:b/>
                      <w:bCs/>
                      <w:sz w:val="20"/>
                      <w:szCs w:val="20"/>
                    </w:rPr>
                    <w:t>Nº</w:t>
                  </w:r>
                </w:p>
              </w:tc>
              <w:tc>
                <w:tcPr>
                  <w:tcW w:w="2003" w:type="dxa"/>
                  <w:vAlign w:val="center"/>
                </w:tcPr>
                <w:p w14:paraId="683EAC0B" w14:textId="3BFD77E9" w:rsidR="00F55FEA" w:rsidRPr="00BE711E" w:rsidRDefault="00F55FEA" w:rsidP="00981221">
                  <w:pPr>
                    <w:spacing w:after="0"/>
                    <w:ind w:firstLine="0"/>
                    <w:jc w:val="center"/>
                    <w:rPr>
                      <w:rFonts w:ascii="Times New Roman" w:hAnsi="Times New Roman" w:cs="Times New Roman"/>
                      <w:sz w:val="20"/>
                      <w:szCs w:val="20"/>
                    </w:rPr>
                  </w:pPr>
                  <w:r w:rsidRPr="00BE711E">
                    <w:rPr>
                      <w:rFonts w:ascii="Times New Roman" w:hAnsi="Times New Roman" w:cs="Times New Roman"/>
                      <w:b/>
                      <w:bCs/>
                      <w:sz w:val="20"/>
                      <w:szCs w:val="20"/>
                    </w:rPr>
                    <w:t>Alternativa</w:t>
                  </w:r>
                </w:p>
              </w:tc>
              <w:tc>
                <w:tcPr>
                  <w:tcW w:w="2835" w:type="dxa"/>
                  <w:vAlign w:val="center"/>
                </w:tcPr>
                <w:p w14:paraId="0D9AD772" w14:textId="1475207C" w:rsidR="00F55FEA" w:rsidRPr="00BE711E" w:rsidRDefault="00F55FEA" w:rsidP="00981221">
                  <w:pPr>
                    <w:spacing w:after="0"/>
                    <w:ind w:firstLine="0"/>
                    <w:jc w:val="center"/>
                    <w:rPr>
                      <w:rFonts w:ascii="Times New Roman" w:hAnsi="Times New Roman" w:cs="Times New Roman"/>
                      <w:sz w:val="20"/>
                      <w:szCs w:val="20"/>
                    </w:rPr>
                  </w:pPr>
                  <w:r w:rsidRPr="00BE711E">
                    <w:rPr>
                      <w:rFonts w:ascii="Times New Roman" w:hAnsi="Times New Roman" w:cs="Times New Roman"/>
                      <w:b/>
                      <w:bCs/>
                      <w:sz w:val="20"/>
                      <w:szCs w:val="20"/>
                    </w:rPr>
                    <w:t>Vantagens</w:t>
                  </w:r>
                </w:p>
              </w:tc>
              <w:tc>
                <w:tcPr>
                  <w:tcW w:w="3571" w:type="dxa"/>
                  <w:vAlign w:val="center"/>
                </w:tcPr>
                <w:p w14:paraId="0847E40B" w14:textId="0228F557" w:rsidR="00F55FEA" w:rsidRPr="00BE711E" w:rsidRDefault="00F55FEA" w:rsidP="00981221">
                  <w:pPr>
                    <w:spacing w:after="0"/>
                    <w:ind w:firstLine="0"/>
                    <w:jc w:val="center"/>
                    <w:rPr>
                      <w:rFonts w:ascii="Times New Roman" w:hAnsi="Times New Roman" w:cs="Times New Roman"/>
                      <w:b/>
                      <w:bCs/>
                      <w:sz w:val="20"/>
                      <w:szCs w:val="20"/>
                    </w:rPr>
                  </w:pPr>
                  <w:r w:rsidRPr="00BE711E">
                    <w:rPr>
                      <w:rFonts w:ascii="Times New Roman" w:hAnsi="Times New Roman" w:cs="Times New Roman"/>
                      <w:b/>
                      <w:bCs/>
                      <w:sz w:val="20"/>
                      <w:szCs w:val="20"/>
                    </w:rPr>
                    <w:t>Desvantagens e riscos</w:t>
                  </w:r>
                </w:p>
              </w:tc>
            </w:tr>
            <w:tr w:rsidR="00F55FEA" w:rsidRPr="00BE711E" w14:paraId="68668590" w14:textId="77777777" w:rsidTr="00C85390">
              <w:tc>
                <w:tcPr>
                  <w:tcW w:w="0" w:type="auto"/>
                  <w:vAlign w:val="center"/>
                  <w:hideMark/>
                </w:tcPr>
                <w:p w14:paraId="5D46C3DA" w14:textId="7E4A8B44"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lastRenderedPageBreak/>
                    <w:t>1</w:t>
                  </w:r>
                </w:p>
              </w:tc>
              <w:tc>
                <w:tcPr>
                  <w:tcW w:w="2003" w:type="dxa"/>
                  <w:vAlign w:val="center"/>
                  <w:hideMark/>
                </w:tcPr>
                <w:p w14:paraId="7ED46A0B" w14:textId="4AFBDC5B"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Execução direta com o quadro atual</w:t>
                  </w:r>
                </w:p>
              </w:tc>
              <w:tc>
                <w:tcPr>
                  <w:tcW w:w="2835" w:type="dxa"/>
                  <w:vAlign w:val="center"/>
                  <w:hideMark/>
                </w:tcPr>
                <w:p w14:paraId="35F51EC2" w14:textId="555408E4"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Controle direto; utilização da estrutura existente; possibilidade de atendimento pontual</w:t>
                  </w:r>
                </w:p>
              </w:tc>
              <w:tc>
                <w:tcPr>
                  <w:tcW w:w="3571" w:type="dxa"/>
                  <w:vAlign w:val="center"/>
                  <w:hideMark/>
                </w:tcPr>
                <w:p w14:paraId="17A9CE92" w14:textId="7A6CA2FC"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Quadro insuficiente; comprometimento de outras atividades; dificuldade para atender simultaneamente diferentes áreas</w:t>
                  </w:r>
                </w:p>
              </w:tc>
            </w:tr>
            <w:tr w:rsidR="00F55FEA" w:rsidRPr="00BE711E" w14:paraId="3C54BA4E" w14:textId="77777777" w:rsidTr="00C85390">
              <w:tc>
                <w:tcPr>
                  <w:tcW w:w="0" w:type="auto"/>
                  <w:vAlign w:val="center"/>
                  <w:hideMark/>
                </w:tcPr>
                <w:p w14:paraId="401ECCF0" w14:textId="332D260F"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2</w:t>
                  </w:r>
                </w:p>
              </w:tc>
              <w:tc>
                <w:tcPr>
                  <w:tcW w:w="2003" w:type="dxa"/>
                  <w:vAlign w:val="center"/>
                  <w:hideMark/>
                </w:tcPr>
                <w:p w14:paraId="78A8F50A" w14:textId="06782559"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Ampliação da estrutura própria</w:t>
                  </w:r>
                </w:p>
              </w:tc>
              <w:tc>
                <w:tcPr>
                  <w:tcW w:w="2835" w:type="dxa"/>
                  <w:vAlign w:val="center"/>
                  <w:hideMark/>
                </w:tcPr>
                <w:p w14:paraId="04CD8962" w14:textId="3599F1FB"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Maior autonomia operacional; formação de equipe permanente</w:t>
                  </w:r>
                </w:p>
              </w:tc>
              <w:tc>
                <w:tcPr>
                  <w:tcW w:w="3571" w:type="dxa"/>
                  <w:vAlign w:val="center"/>
                  <w:hideMark/>
                </w:tcPr>
                <w:p w14:paraId="5C1C14BF" w14:textId="05B2CD89"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Aumento de despesas permanentes; necessidade de pessoal, equipamentos e veículos; custos fixos mesmo nos períodos de menor demanda</w:t>
                  </w:r>
                </w:p>
              </w:tc>
            </w:tr>
            <w:tr w:rsidR="00F55FEA" w:rsidRPr="00BE711E" w14:paraId="429D8A59" w14:textId="77777777" w:rsidTr="00C85390">
              <w:tc>
                <w:tcPr>
                  <w:tcW w:w="0" w:type="auto"/>
                  <w:vAlign w:val="center"/>
                  <w:hideMark/>
                </w:tcPr>
                <w:p w14:paraId="197C10CA" w14:textId="54DFCCF3"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3</w:t>
                  </w:r>
                </w:p>
              </w:tc>
              <w:tc>
                <w:tcPr>
                  <w:tcW w:w="2003" w:type="dxa"/>
                  <w:vAlign w:val="center"/>
                  <w:hideMark/>
                </w:tcPr>
                <w:p w14:paraId="479CCFAD" w14:textId="618400FA"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Licitação com um único prestador</w:t>
                  </w:r>
                </w:p>
              </w:tc>
              <w:tc>
                <w:tcPr>
                  <w:tcW w:w="2835" w:type="dxa"/>
                  <w:vAlign w:val="center"/>
                  <w:hideMark/>
                </w:tcPr>
                <w:p w14:paraId="65D805D3" w14:textId="7B91D6CD"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Centralização da gestão; interlocução com uma única empresa</w:t>
                  </w:r>
                </w:p>
              </w:tc>
              <w:tc>
                <w:tcPr>
                  <w:tcW w:w="3571" w:type="dxa"/>
                  <w:vAlign w:val="center"/>
                  <w:hideMark/>
                </w:tcPr>
                <w:p w14:paraId="2B6451A9" w14:textId="50FD266C"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Dependência exclusiva; risco de descontinuidade; possível insuficiência para atendimento simultâneo e sazonal</w:t>
                  </w:r>
                </w:p>
              </w:tc>
            </w:tr>
            <w:tr w:rsidR="00F55FEA" w:rsidRPr="00BE711E" w14:paraId="62A06676" w14:textId="77777777" w:rsidTr="00C85390">
              <w:tc>
                <w:tcPr>
                  <w:tcW w:w="0" w:type="auto"/>
                  <w:vAlign w:val="center"/>
                  <w:hideMark/>
                </w:tcPr>
                <w:p w14:paraId="30D15CE3" w14:textId="1BAE4F76"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4</w:t>
                  </w:r>
                </w:p>
              </w:tc>
              <w:tc>
                <w:tcPr>
                  <w:tcW w:w="2003" w:type="dxa"/>
                  <w:vAlign w:val="center"/>
                  <w:hideMark/>
                </w:tcPr>
                <w:p w14:paraId="6AE54129" w14:textId="586DD9A5"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Licitação por lotes ou Sistema de Registro de Preços</w:t>
                  </w:r>
                </w:p>
              </w:tc>
              <w:tc>
                <w:tcPr>
                  <w:tcW w:w="2835" w:type="dxa"/>
                  <w:vAlign w:val="center"/>
                  <w:hideMark/>
                </w:tcPr>
                <w:p w14:paraId="7801B3C8" w14:textId="79B8B698"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Competição de preços; execução parcelada; possibilidade de mais de um fornecedor</w:t>
                  </w:r>
                </w:p>
              </w:tc>
              <w:tc>
                <w:tcPr>
                  <w:tcW w:w="3571" w:type="dxa"/>
                  <w:vAlign w:val="center"/>
                  <w:hideMark/>
                </w:tcPr>
                <w:p w14:paraId="745B0374" w14:textId="7E5C30D0"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Menor flexibilidade para ingresso contínuo de interessados; vinculação à classificação; possível rigidez na divisão territorial e na redistribuição da demanda</w:t>
                  </w:r>
                </w:p>
              </w:tc>
            </w:tr>
            <w:tr w:rsidR="00F55FEA" w:rsidRPr="00BE711E" w14:paraId="18D2C65E" w14:textId="77777777" w:rsidTr="00C85390">
              <w:tc>
                <w:tcPr>
                  <w:tcW w:w="0" w:type="auto"/>
                  <w:vAlign w:val="center"/>
                  <w:hideMark/>
                </w:tcPr>
                <w:p w14:paraId="3E87974E" w14:textId="1C783667"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5</w:t>
                  </w:r>
                </w:p>
              </w:tc>
              <w:tc>
                <w:tcPr>
                  <w:tcW w:w="2003" w:type="dxa"/>
                  <w:vAlign w:val="center"/>
                  <w:hideMark/>
                </w:tcPr>
                <w:p w14:paraId="72C46E63" w14:textId="05550723"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Cooperação ou consórcio intermunicipal</w:t>
                  </w:r>
                </w:p>
              </w:tc>
              <w:tc>
                <w:tcPr>
                  <w:tcW w:w="2835" w:type="dxa"/>
                  <w:vAlign w:val="center"/>
                  <w:hideMark/>
                </w:tcPr>
                <w:p w14:paraId="74CBD11C" w14:textId="46C39162"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Possibilidade de compartilhamento de estrutura e recursos</w:t>
                  </w:r>
                </w:p>
              </w:tc>
              <w:tc>
                <w:tcPr>
                  <w:tcW w:w="3571" w:type="dxa"/>
                  <w:vAlign w:val="center"/>
                  <w:hideMark/>
                </w:tcPr>
                <w:p w14:paraId="4A2216D5" w14:textId="291D1519"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Ausência de solução regional disponível; custos de deslocamento; menor agilidade; serviço de natureza predominantemente local</w:t>
                  </w:r>
                </w:p>
              </w:tc>
            </w:tr>
            <w:tr w:rsidR="00F55FEA" w:rsidRPr="00BE711E" w14:paraId="68AEC9EB" w14:textId="77777777" w:rsidTr="00C85390">
              <w:tc>
                <w:tcPr>
                  <w:tcW w:w="0" w:type="auto"/>
                  <w:vAlign w:val="center"/>
                  <w:hideMark/>
                </w:tcPr>
                <w:p w14:paraId="6910C795" w14:textId="4FA860BA" w:rsidR="00F55FEA" w:rsidRPr="00BE711E" w:rsidRDefault="00F55FEA" w:rsidP="00981221">
                  <w:pPr>
                    <w:spacing w:after="0"/>
                    <w:ind w:firstLine="0"/>
                    <w:contextualSpacing w:val="0"/>
                    <w:jc w:val="center"/>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6</w:t>
                  </w:r>
                </w:p>
              </w:tc>
              <w:tc>
                <w:tcPr>
                  <w:tcW w:w="2003" w:type="dxa"/>
                  <w:vAlign w:val="center"/>
                  <w:hideMark/>
                </w:tcPr>
                <w:p w14:paraId="43C58B40" w14:textId="016520CF"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Credenciamento</w:t>
                  </w:r>
                </w:p>
              </w:tc>
              <w:tc>
                <w:tcPr>
                  <w:tcW w:w="2835" w:type="dxa"/>
                  <w:vAlign w:val="center"/>
                  <w:hideMark/>
                </w:tcPr>
                <w:p w14:paraId="0C7BF437" w14:textId="16DAA7FC"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Rede aberta de prestadores; execução paralela; ingresso de novos interessados; atendimento conforme demanda; pagamento por metragem executada</w:t>
                  </w:r>
                </w:p>
              </w:tc>
              <w:tc>
                <w:tcPr>
                  <w:tcW w:w="3571" w:type="dxa"/>
                  <w:vAlign w:val="center"/>
                  <w:hideMark/>
                </w:tcPr>
                <w:p w14:paraId="0A548CEB" w14:textId="70D00FC0" w:rsidR="00F55FEA" w:rsidRPr="00BE711E" w:rsidRDefault="00F55FEA"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hAnsi="Times New Roman" w:cs="Times New Roman"/>
                      <w:sz w:val="20"/>
                      <w:szCs w:val="20"/>
                    </w:rPr>
                    <w:t>Exige controle rigoroso das Ordens de Serviço, do rodízio, das medições, da fiscalização e da igualdade na distribuição</w:t>
                  </w:r>
                </w:p>
              </w:tc>
            </w:tr>
          </w:tbl>
          <w:p w14:paraId="366B813C" w14:textId="77777777" w:rsidR="005A1BA1" w:rsidRPr="00BE711E" w:rsidRDefault="005A1BA1" w:rsidP="00981221">
            <w:pPr>
              <w:spacing w:after="0"/>
              <w:ind w:firstLine="737"/>
              <w:rPr>
                <w:rFonts w:ascii="Times New Roman" w:hAnsi="Times New Roman" w:cs="Times New Roman"/>
                <w:sz w:val="20"/>
                <w:szCs w:val="20"/>
              </w:rPr>
            </w:pPr>
          </w:p>
          <w:p w14:paraId="756CEAEA" w14:textId="77777777"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À luz da análise comparativa, conclui-se que o Chamamento Público para Credenciamento de pessoas jurídicas para a prestação de serviços de roçadas em geral constitui a solução mais adequada à necessidade identificada.</w:t>
            </w:r>
          </w:p>
          <w:p w14:paraId="4D8DC4DA" w14:textId="77777777"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Sob o aspecto técnico, o credenciamento possibilita a formação de uma rede de prestadores habilitados e dotados de mão de obra, roçadeiras manuais, combustível, ferramentas, transporte e equipamentos de proteção necessários à execução. A existência de mais de um prestador disponível permite a abertura simultânea de frentes de trabalho em escolas, prédios públicos e demais áreas municipais, especialmente nos períodos de maior crescimento da vegetação.</w:t>
            </w:r>
          </w:p>
          <w:p w14:paraId="06BFDB4A" w14:textId="77777777"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Sob o aspecto operacional, a contratação paralela e não excludente reduz a dependência de uma única empresa e permite a convocação dos credenciados conforme a localização, a extensão e o prazo das áreas indicadas em cada Ordem de Serviço. O ingresso de novos interessados durante a vigência do edital contribui para a continuidade da prestação e para a manutenção da capacidade operacional necessária.</w:t>
            </w:r>
          </w:p>
          <w:p w14:paraId="51BF2813" w14:textId="77777777"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Sob o aspecto econômico, a solução evita a criação imediata de estrutura municipal permanente e os correspondentes custos fixos com ampliação do quadro de pessoal, aquisição de equipamentos, veículos, combustível, manutenção, ferramentas e equipamentos de proteção. A remuneração ficará vinculada exclusivamente à metragem efetivamente executada, medida e atestada, assegurando correspondência entre a despesa pública e o serviço entregue.</w:t>
            </w:r>
          </w:p>
          <w:p w14:paraId="6DCA46F7" w14:textId="174010B0"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 xml:space="preserve">A fixação de valor uniforme, fundamentada em pesquisa de preços compatível com as especificações municipais, permitirá igualdade de condições entre os credenciados e previsibilidade para a Administração. O quantitativo máximo estimado de </w:t>
            </w:r>
            <w:r w:rsidR="00E55F68" w:rsidRPr="00E55F68">
              <w:rPr>
                <w:rFonts w:ascii="Times New Roman" w:hAnsi="Times New Roman" w:cs="Times New Roman"/>
                <w:iCs/>
                <w:sz w:val="20"/>
                <w:szCs w:val="20"/>
              </w:rPr>
              <w:t>183.792 m²</w:t>
            </w:r>
            <w:r w:rsidR="00E55F68">
              <w:rPr>
                <w:rFonts w:ascii="Times New Roman" w:hAnsi="Times New Roman" w:cs="Times New Roman"/>
                <w:iCs/>
                <w:sz w:val="20"/>
                <w:szCs w:val="20"/>
              </w:rPr>
              <w:t xml:space="preserve"> </w:t>
            </w:r>
            <w:r w:rsidRPr="00BE711E">
              <w:rPr>
                <w:rFonts w:ascii="Times New Roman" w:hAnsi="Times New Roman" w:cs="Times New Roman"/>
                <w:sz w:val="20"/>
                <w:szCs w:val="20"/>
              </w:rPr>
              <w:t>por ano servirá ao planejamento orçamentário e operacional, sem constituir garantia de execução ou faturamento mínimo.</w:t>
            </w:r>
          </w:p>
          <w:p w14:paraId="2BF67374" w14:textId="77777777" w:rsidR="00F55FEA"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A execução direta, a ampliação imediata da estrutura própria, a contratação de um prestador único, o Sistema de Registro de Preços e a cooperação intermunicipal não apresentam, no momento, a mesma combinação de flexibilidade, capacidade de atendimento simultâneo, continuidade, controle da despesa e adaptação à sazonalidade da demanda.</w:t>
            </w:r>
          </w:p>
          <w:p w14:paraId="4774A4C7" w14:textId="32D93114" w:rsidR="006F5BE4" w:rsidRPr="00BE711E" w:rsidRDefault="00F55FEA" w:rsidP="00981221">
            <w:pPr>
              <w:spacing w:after="0"/>
              <w:ind w:firstLine="737"/>
              <w:rPr>
                <w:rFonts w:ascii="Times New Roman" w:hAnsi="Times New Roman" w:cs="Times New Roman"/>
                <w:sz w:val="20"/>
                <w:szCs w:val="20"/>
              </w:rPr>
            </w:pPr>
            <w:r w:rsidRPr="00BE711E">
              <w:rPr>
                <w:rFonts w:ascii="Times New Roman" w:hAnsi="Times New Roman" w:cs="Times New Roman"/>
                <w:sz w:val="20"/>
                <w:szCs w:val="20"/>
              </w:rPr>
              <w:t>Diante do exposto, resta demonstrado que o credenciamento, desde que acompanhado de critérios objetivos de distribuição, emissão prévia de Ordem de Serviço, medição individualizada, fiscalização efetiva e pagamento exclusivamente pelos serviços executados, apresenta-se como solução tecnicamente adequada, operacionalmente viável e economicamente compatível com a realidade do Município de Paverama.</w:t>
            </w:r>
          </w:p>
        </w:tc>
      </w:tr>
    </w:tbl>
    <w:p w14:paraId="62EB6836" w14:textId="77777777" w:rsidR="008F76F3" w:rsidRPr="00BE711E" w:rsidRDefault="008F76F3" w:rsidP="00981221">
      <w:pPr>
        <w:spacing w:after="0"/>
        <w:rPr>
          <w:rFonts w:ascii="Times New Roman" w:eastAsia="Times New Roman" w:hAnsi="Times New Roman" w:cs="Times New Roman"/>
          <w:i/>
          <w:sz w:val="20"/>
          <w:szCs w:val="20"/>
          <w:lang w:eastAsia="pt-BR"/>
        </w:rPr>
      </w:pPr>
      <w:r w:rsidRPr="00BE711E">
        <w:rPr>
          <w:rFonts w:ascii="Times New Roman" w:eastAsia="Times New Roman" w:hAnsi="Times New Roman" w:cs="Times New Roman"/>
          <w:i/>
          <w:sz w:val="20"/>
          <w:szCs w:val="20"/>
          <w:lang w:eastAsia="pt-BR"/>
        </w:rPr>
        <w:lastRenderedPageBreak/>
        <w:t xml:space="preserve"> </w:t>
      </w:r>
    </w:p>
    <w:tbl>
      <w:tblPr>
        <w:tblStyle w:val="Tabelacomgrade"/>
        <w:tblW w:w="9067" w:type="dxa"/>
        <w:tblLook w:val="04A0" w:firstRow="1" w:lastRow="0" w:firstColumn="1" w:lastColumn="0" w:noHBand="0" w:noVBand="1"/>
      </w:tblPr>
      <w:tblGrid>
        <w:gridCol w:w="9067"/>
      </w:tblGrid>
      <w:tr w:rsidR="008F76F3" w:rsidRPr="00BE711E" w14:paraId="1EE56F1B" w14:textId="77777777" w:rsidTr="008B3682">
        <w:tc>
          <w:tcPr>
            <w:tcW w:w="9067" w:type="dxa"/>
          </w:tcPr>
          <w:p w14:paraId="7C09CC09" w14:textId="7CAF9E7F" w:rsidR="008F76F3" w:rsidRPr="00BE711E" w:rsidRDefault="00421493" w:rsidP="00981221">
            <w:pPr>
              <w:spacing w:after="0"/>
              <w:ind w:firstLine="0"/>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7</w:t>
            </w:r>
            <w:r w:rsidR="008F76F3" w:rsidRPr="00BE711E">
              <w:rPr>
                <w:rFonts w:ascii="Times New Roman" w:eastAsia="Times New Roman" w:hAnsi="Times New Roman" w:cs="Times New Roman"/>
                <w:b/>
                <w:bCs/>
                <w:color w:val="000000"/>
                <w:sz w:val="20"/>
                <w:szCs w:val="20"/>
                <w:lang w:eastAsia="pt-BR"/>
              </w:rPr>
              <w:t xml:space="preserve"> – ESTIMATIVA DO VALOR DA CONTRATAÇÃO</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64A3B4E9" w14:textId="77777777" w:rsidTr="008B3682">
        <w:tc>
          <w:tcPr>
            <w:tcW w:w="9067" w:type="dxa"/>
            <w:shd w:val="clear" w:color="auto" w:fill="F2F2F2" w:themeFill="background1" w:themeFillShade="F2"/>
          </w:tcPr>
          <w:p w14:paraId="62E41FC5"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lastRenderedPageBreak/>
              <w:t xml:space="preserve">Fundamentação: </w:t>
            </w:r>
            <w:r w:rsidRPr="00BE711E">
              <w:rPr>
                <w:rFonts w:ascii="Times New Roman" w:eastAsia="Times New Roman" w:hAnsi="Times New Roman" w:cs="Times New Roman"/>
                <w:color w:val="000000"/>
                <w:sz w:val="20"/>
                <w:szCs w:val="20"/>
                <w:lang w:eastAsia="pt-BR"/>
              </w:rPr>
              <w:t>Estimativa do valor da contratação, acompanhada dos preços unitários referenciais, das memórias de cálculo e dos documentos que lhe dão suporte, que poderão constar de anexo classificado, se a administração optar por preservar o seu sigilo até a conclusão da licitação (inciso VI do § 1° da Lei 14.133/21);</w:t>
            </w:r>
          </w:p>
        </w:tc>
      </w:tr>
      <w:tr w:rsidR="008F76F3" w:rsidRPr="00BE711E" w14:paraId="42BE0386" w14:textId="77777777" w:rsidTr="001E201C">
        <w:trPr>
          <w:trHeight w:val="42"/>
        </w:trPr>
        <w:tc>
          <w:tcPr>
            <w:tcW w:w="9067" w:type="dxa"/>
          </w:tcPr>
          <w:p w14:paraId="1A844017" w14:textId="0BE33F71" w:rsidR="00FF0378"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Para fins de elaboração do presente Estudo Técnico Preliminar, adota-se como referência inicial o valor de R$ 0,3</w:t>
            </w:r>
            <w:r w:rsidR="007121F3">
              <w:rPr>
                <w:rFonts w:ascii="Times New Roman" w:hAnsi="Times New Roman" w:cs="Times New Roman"/>
                <w:sz w:val="20"/>
                <w:szCs w:val="20"/>
              </w:rPr>
              <w:t>4</w:t>
            </w:r>
            <w:r w:rsidRPr="00BE711E">
              <w:rPr>
                <w:rFonts w:ascii="Times New Roman" w:hAnsi="Times New Roman" w:cs="Times New Roman"/>
                <w:sz w:val="20"/>
                <w:szCs w:val="20"/>
              </w:rPr>
              <w:t xml:space="preserve"> (trinta e </w:t>
            </w:r>
            <w:r w:rsidR="007121F3">
              <w:rPr>
                <w:rFonts w:ascii="Times New Roman" w:hAnsi="Times New Roman" w:cs="Times New Roman"/>
                <w:sz w:val="20"/>
                <w:szCs w:val="20"/>
              </w:rPr>
              <w:t>quatro</w:t>
            </w:r>
            <w:r w:rsidRPr="00BE711E">
              <w:rPr>
                <w:rFonts w:ascii="Times New Roman" w:hAnsi="Times New Roman" w:cs="Times New Roman"/>
                <w:sz w:val="20"/>
                <w:szCs w:val="20"/>
              </w:rPr>
              <w:t xml:space="preserve"> centavos) por metro quadrado</w:t>
            </w:r>
            <w:r w:rsidR="00FF0378">
              <w:rPr>
                <w:rFonts w:ascii="Times New Roman" w:hAnsi="Times New Roman" w:cs="Times New Roman"/>
                <w:sz w:val="20"/>
                <w:szCs w:val="20"/>
              </w:rPr>
              <w:t>.</w:t>
            </w:r>
            <w:r w:rsidRPr="00BE711E">
              <w:rPr>
                <w:rFonts w:ascii="Times New Roman" w:hAnsi="Times New Roman" w:cs="Times New Roman"/>
                <w:sz w:val="20"/>
                <w:szCs w:val="20"/>
              </w:rPr>
              <w:t xml:space="preserve"> </w:t>
            </w:r>
            <w:r w:rsidR="00FF0378" w:rsidRPr="00FF0378">
              <w:rPr>
                <w:rFonts w:ascii="Times New Roman" w:hAnsi="Times New Roman" w:cs="Times New Roman"/>
                <w:sz w:val="20"/>
                <w:szCs w:val="20"/>
              </w:rPr>
              <w:t>O preço foi identificado tanto em contratação pública de objeto compatível quanto na pesquisa direta realizada com o atual prestador de serviço, demonstrando sua adequação às condições da contratação.</w:t>
            </w:r>
          </w:p>
          <w:p w14:paraId="2C7B284A" w14:textId="59472C88"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valor unitário compreende a mão de obra, a disponibilização de roçadeira manual, combustível, ferramentas, equipamentos de proteção individual, deslocamento, manutenção dos equipamentos, encargos trabalhistas, previdenciários, fiscais e demais custos diretos e indiretos necessários à execução dos serviços.</w:t>
            </w:r>
          </w:p>
          <w:p w14:paraId="26662263" w14:textId="7A060911" w:rsidR="00861F29"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Considerando a estimativa anual de até </w:t>
            </w:r>
            <w:r w:rsidR="00D339D9" w:rsidRPr="00D339D9">
              <w:rPr>
                <w:rFonts w:ascii="Times New Roman" w:hAnsi="Times New Roman" w:cs="Times New Roman"/>
                <w:iCs/>
                <w:color w:val="000000" w:themeColor="text1"/>
                <w:sz w:val="20"/>
                <w:szCs w:val="20"/>
              </w:rPr>
              <w:t xml:space="preserve">183.792 m², </w:t>
            </w:r>
            <w:r w:rsidRPr="00BE711E">
              <w:rPr>
                <w:rFonts w:ascii="Times New Roman" w:hAnsi="Times New Roman" w:cs="Times New Roman"/>
                <w:sz w:val="20"/>
                <w:szCs w:val="20"/>
              </w:rPr>
              <w:t>o valor estimado da contratação corresponde 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69"/>
              <w:gridCol w:w="1228"/>
              <w:gridCol w:w="1016"/>
              <w:gridCol w:w="1328"/>
            </w:tblGrid>
            <w:tr w:rsidR="00256976" w:rsidRPr="00BE711E" w14:paraId="27D840BB" w14:textId="77777777" w:rsidTr="00DE4F70">
              <w:trPr>
                <w:tblHeader/>
                <w:tblCellSpacing w:w="15" w:type="dxa"/>
              </w:trPr>
              <w:tc>
                <w:tcPr>
                  <w:tcW w:w="5224" w:type="dxa"/>
                  <w:vAlign w:val="center"/>
                  <w:hideMark/>
                </w:tcPr>
                <w:p w14:paraId="039FFFBC" w14:textId="77777777" w:rsidR="00256976" w:rsidRPr="00BE711E" w:rsidRDefault="00256976"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Descrição</w:t>
                  </w:r>
                </w:p>
              </w:tc>
              <w:tc>
                <w:tcPr>
                  <w:tcW w:w="1198" w:type="dxa"/>
                  <w:vAlign w:val="center"/>
                  <w:hideMark/>
                </w:tcPr>
                <w:p w14:paraId="2C2279A2" w14:textId="77777777" w:rsidR="00256976" w:rsidRPr="00BE711E" w:rsidRDefault="00256976"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Quantidade estimada</w:t>
                  </w:r>
                </w:p>
              </w:tc>
              <w:tc>
                <w:tcPr>
                  <w:tcW w:w="0" w:type="auto"/>
                  <w:vAlign w:val="center"/>
                  <w:hideMark/>
                </w:tcPr>
                <w:p w14:paraId="41A10761" w14:textId="77777777" w:rsidR="00256976" w:rsidRPr="00BE711E" w:rsidRDefault="00256976"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Valor unitário</w:t>
                  </w:r>
                </w:p>
              </w:tc>
              <w:tc>
                <w:tcPr>
                  <w:tcW w:w="0" w:type="auto"/>
                  <w:vAlign w:val="center"/>
                  <w:hideMark/>
                </w:tcPr>
                <w:p w14:paraId="59A4F1AC" w14:textId="77777777" w:rsidR="00256976" w:rsidRPr="00BE711E" w:rsidRDefault="00256976"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Valor total estimado</w:t>
                  </w:r>
                </w:p>
              </w:tc>
            </w:tr>
            <w:tr w:rsidR="00256976" w:rsidRPr="00BE711E" w14:paraId="22A68F9D" w14:textId="77777777" w:rsidTr="00DE4F70">
              <w:trPr>
                <w:tblCellSpacing w:w="15" w:type="dxa"/>
              </w:trPr>
              <w:tc>
                <w:tcPr>
                  <w:tcW w:w="5224" w:type="dxa"/>
                  <w:vAlign w:val="center"/>
                  <w:hideMark/>
                </w:tcPr>
                <w:p w14:paraId="2E381955" w14:textId="77777777" w:rsidR="00256976" w:rsidRPr="00BE711E" w:rsidRDefault="00256976"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Serviços de roçadas em geral, com roçadeira manual, incluindo mão de obra, combustível e demais insumos necessários</w:t>
                  </w:r>
                </w:p>
              </w:tc>
              <w:tc>
                <w:tcPr>
                  <w:tcW w:w="1198" w:type="dxa"/>
                  <w:vAlign w:val="center"/>
                  <w:hideMark/>
                </w:tcPr>
                <w:p w14:paraId="39308BB9" w14:textId="2F0311D7" w:rsidR="00256976" w:rsidRPr="00D339D9" w:rsidRDefault="00D339D9" w:rsidP="00981221">
                  <w:pPr>
                    <w:spacing w:after="0"/>
                    <w:ind w:firstLine="0"/>
                    <w:contextualSpacing w:val="0"/>
                    <w:jc w:val="right"/>
                    <w:rPr>
                      <w:rFonts w:ascii="Times New Roman" w:eastAsia="Times New Roman" w:hAnsi="Times New Roman" w:cs="Times New Roman"/>
                      <w:color w:val="000000" w:themeColor="text1"/>
                      <w:sz w:val="20"/>
                      <w:szCs w:val="20"/>
                      <w:lang w:eastAsia="pt-BR"/>
                    </w:rPr>
                  </w:pPr>
                  <w:r w:rsidRPr="00D339D9">
                    <w:rPr>
                      <w:rFonts w:ascii="Times New Roman" w:eastAsia="Times New Roman" w:hAnsi="Times New Roman" w:cs="Times New Roman"/>
                      <w:iCs/>
                      <w:color w:val="000000" w:themeColor="text1"/>
                      <w:sz w:val="20"/>
                      <w:szCs w:val="20"/>
                      <w:lang w:eastAsia="pt-BR"/>
                    </w:rPr>
                    <w:t>183.792 m²</w:t>
                  </w:r>
                </w:p>
              </w:tc>
              <w:tc>
                <w:tcPr>
                  <w:tcW w:w="0" w:type="auto"/>
                  <w:vAlign w:val="center"/>
                  <w:hideMark/>
                </w:tcPr>
                <w:p w14:paraId="166D1ABE" w14:textId="1023E785" w:rsidR="00256976" w:rsidRPr="00D339D9" w:rsidRDefault="00256976" w:rsidP="00981221">
                  <w:pPr>
                    <w:spacing w:after="0"/>
                    <w:ind w:firstLine="0"/>
                    <w:contextualSpacing w:val="0"/>
                    <w:jc w:val="right"/>
                    <w:rPr>
                      <w:rFonts w:ascii="Times New Roman" w:eastAsia="Times New Roman" w:hAnsi="Times New Roman" w:cs="Times New Roman"/>
                      <w:color w:val="000000" w:themeColor="text1"/>
                      <w:sz w:val="20"/>
                      <w:szCs w:val="20"/>
                      <w:lang w:eastAsia="pt-BR"/>
                    </w:rPr>
                  </w:pPr>
                  <w:r w:rsidRPr="00D339D9">
                    <w:rPr>
                      <w:rFonts w:ascii="Times New Roman" w:eastAsia="Times New Roman" w:hAnsi="Times New Roman" w:cs="Times New Roman"/>
                      <w:color w:val="000000" w:themeColor="text1"/>
                      <w:sz w:val="20"/>
                      <w:szCs w:val="20"/>
                      <w:lang w:eastAsia="pt-BR"/>
                    </w:rPr>
                    <w:t>R$ 0,3</w:t>
                  </w:r>
                  <w:r w:rsidR="007121F3">
                    <w:rPr>
                      <w:rFonts w:ascii="Times New Roman" w:eastAsia="Times New Roman" w:hAnsi="Times New Roman" w:cs="Times New Roman"/>
                      <w:color w:val="000000" w:themeColor="text1"/>
                      <w:sz w:val="20"/>
                      <w:szCs w:val="20"/>
                      <w:lang w:eastAsia="pt-BR"/>
                    </w:rPr>
                    <w:t>4</w:t>
                  </w:r>
                </w:p>
              </w:tc>
              <w:tc>
                <w:tcPr>
                  <w:tcW w:w="0" w:type="auto"/>
                  <w:vAlign w:val="center"/>
                  <w:hideMark/>
                </w:tcPr>
                <w:p w14:paraId="72A79907" w14:textId="3DE096CE" w:rsidR="00256976" w:rsidRPr="00D339D9" w:rsidRDefault="00D339D9" w:rsidP="00981221">
                  <w:pPr>
                    <w:spacing w:after="0"/>
                    <w:ind w:firstLine="0"/>
                    <w:contextualSpacing w:val="0"/>
                    <w:jc w:val="right"/>
                    <w:rPr>
                      <w:rFonts w:ascii="Times New Roman" w:eastAsia="Times New Roman" w:hAnsi="Times New Roman" w:cs="Times New Roman"/>
                      <w:color w:val="000000" w:themeColor="text1"/>
                      <w:sz w:val="20"/>
                      <w:szCs w:val="20"/>
                      <w:lang w:eastAsia="pt-BR"/>
                    </w:rPr>
                  </w:pPr>
                  <w:r w:rsidRPr="00D339D9">
                    <w:rPr>
                      <w:rFonts w:ascii="Times New Roman" w:eastAsia="Times New Roman" w:hAnsi="Times New Roman" w:cs="Times New Roman"/>
                      <w:b/>
                      <w:bCs/>
                      <w:color w:val="000000" w:themeColor="text1"/>
                      <w:sz w:val="20"/>
                      <w:szCs w:val="20"/>
                      <w:lang w:eastAsia="pt-BR"/>
                    </w:rPr>
                    <w:t xml:space="preserve">R$ </w:t>
                  </w:r>
                  <w:r w:rsidR="007121F3">
                    <w:rPr>
                      <w:rFonts w:ascii="Times New Roman" w:eastAsia="Times New Roman" w:hAnsi="Times New Roman" w:cs="Times New Roman"/>
                      <w:b/>
                      <w:bCs/>
                      <w:color w:val="000000" w:themeColor="text1"/>
                      <w:sz w:val="20"/>
                      <w:szCs w:val="20"/>
                      <w:lang w:eastAsia="pt-BR"/>
                    </w:rPr>
                    <w:t>62.489,28</w:t>
                  </w:r>
                </w:p>
              </w:tc>
            </w:tr>
          </w:tbl>
          <w:p w14:paraId="76BC2C57" w14:textId="77777777" w:rsidR="00256976" w:rsidRPr="00BE711E" w:rsidRDefault="00256976" w:rsidP="00981221">
            <w:pPr>
              <w:spacing w:after="0"/>
              <w:ind w:firstLine="0"/>
              <w:rPr>
                <w:rFonts w:ascii="Times New Roman" w:hAnsi="Times New Roman" w:cs="Times New Roman"/>
                <w:sz w:val="20"/>
                <w:szCs w:val="20"/>
              </w:rPr>
            </w:pPr>
          </w:p>
          <w:p w14:paraId="2BDD50B4" w14:textId="16ACC59B"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Dessa forma, o valor estimado para o período de 12 meses corresponde a </w:t>
            </w:r>
            <w:r w:rsidR="00D339D9" w:rsidRPr="00D339D9">
              <w:rPr>
                <w:rFonts w:ascii="Times New Roman" w:hAnsi="Times New Roman" w:cs="Times New Roman"/>
                <w:color w:val="000000" w:themeColor="text1"/>
                <w:sz w:val="20"/>
                <w:szCs w:val="20"/>
              </w:rPr>
              <w:t xml:space="preserve">R$ </w:t>
            </w:r>
            <w:r w:rsidR="007121F3">
              <w:rPr>
                <w:rFonts w:ascii="Times New Roman" w:hAnsi="Times New Roman" w:cs="Times New Roman"/>
                <w:color w:val="000000" w:themeColor="text1"/>
                <w:sz w:val="20"/>
                <w:szCs w:val="20"/>
              </w:rPr>
              <w:t>62.489,28</w:t>
            </w:r>
            <w:r w:rsidR="00D339D9" w:rsidRPr="00D339D9">
              <w:rPr>
                <w:rFonts w:ascii="Times New Roman" w:hAnsi="Times New Roman" w:cs="Times New Roman"/>
                <w:color w:val="000000" w:themeColor="text1"/>
                <w:sz w:val="20"/>
                <w:szCs w:val="20"/>
              </w:rPr>
              <w:t xml:space="preserve"> </w:t>
            </w:r>
            <w:r w:rsidR="00F16E4B" w:rsidRPr="00F16E4B">
              <w:rPr>
                <w:rFonts w:ascii="Times New Roman" w:hAnsi="Times New Roman" w:cs="Times New Roman"/>
                <w:sz w:val="20"/>
                <w:szCs w:val="20"/>
              </w:rPr>
              <w:t>(sessenta e dois mil, quatrocentos e oitenta e nove reais e vinte e oito centavos)</w:t>
            </w:r>
          </w:p>
          <w:p w14:paraId="2D4D9C4C" w14:textId="77777777" w:rsidR="00FF0378" w:rsidRDefault="00FF0378" w:rsidP="00981221">
            <w:pPr>
              <w:spacing w:after="0"/>
              <w:ind w:firstLine="596"/>
              <w:rPr>
                <w:rFonts w:ascii="Times New Roman" w:hAnsi="Times New Roman" w:cs="Times New Roman"/>
                <w:sz w:val="20"/>
                <w:szCs w:val="20"/>
              </w:rPr>
            </w:pPr>
            <w:r w:rsidRPr="00FF0378">
              <w:rPr>
                <w:rFonts w:ascii="Times New Roman" w:hAnsi="Times New Roman" w:cs="Times New Roman"/>
                <w:sz w:val="20"/>
                <w:szCs w:val="20"/>
              </w:rPr>
              <w:t xml:space="preserve">A pesquisa de preços considerou contratações públicas semelhantes e pesquisa direta de mercado. Entre as referências analisadas, o valor de R$ 0,34 por metro quadrado foi identificado em contratação pública de objeto compatível e também na pesquisa direta realizada com o atual prestador de serviço, razão pela qual foi adotado como preço uniforme do credenciamento. As demais referências apresentaram valores superiores e, em alguns casos, incluíam atividades adicionais, como varrição, </w:t>
            </w:r>
            <w:proofErr w:type="spellStart"/>
            <w:r w:rsidRPr="00FF0378">
              <w:rPr>
                <w:rFonts w:ascii="Times New Roman" w:hAnsi="Times New Roman" w:cs="Times New Roman"/>
                <w:sz w:val="20"/>
                <w:szCs w:val="20"/>
              </w:rPr>
              <w:t>rastelamento</w:t>
            </w:r>
            <w:proofErr w:type="spellEnd"/>
            <w:r w:rsidRPr="00FF0378">
              <w:rPr>
                <w:rFonts w:ascii="Times New Roman" w:hAnsi="Times New Roman" w:cs="Times New Roman"/>
                <w:sz w:val="20"/>
                <w:szCs w:val="20"/>
              </w:rPr>
              <w:t>, recolhimento, transporte e destinação de resíduos.</w:t>
            </w:r>
          </w:p>
          <w:p w14:paraId="77604182" w14:textId="597D0C4C"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valor global possui caráter estimativo, não representando obrigação de utilização integral, garantia de faturamento mínimo ou direito dos credenciados à execução de determinado quantitativo. O pagamento será efetuado exclusivamente pela metragem previamente autorizada, efetivamente executada, medida e atestada pela fiscalização.</w:t>
            </w:r>
          </w:p>
        </w:tc>
      </w:tr>
    </w:tbl>
    <w:p w14:paraId="0E9A09B8" w14:textId="77777777" w:rsidR="008F76F3" w:rsidRPr="00BE711E" w:rsidRDefault="008F76F3" w:rsidP="00981221">
      <w:pPr>
        <w:spacing w:after="0"/>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F76F3" w:rsidRPr="00BE711E" w14:paraId="59783D2D" w14:textId="77777777" w:rsidTr="008B3682">
        <w:tc>
          <w:tcPr>
            <w:tcW w:w="9067" w:type="dxa"/>
          </w:tcPr>
          <w:p w14:paraId="467389BF" w14:textId="25EBD790" w:rsidR="008F76F3" w:rsidRPr="00BE711E" w:rsidRDefault="00421493" w:rsidP="00981221">
            <w:pPr>
              <w:spacing w:after="0"/>
              <w:ind w:firstLine="0"/>
              <w:rPr>
                <w:rFonts w:ascii="Times New Roman" w:hAnsi="Times New Roman" w:cs="Times New Roman"/>
                <w:b/>
                <w:bCs/>
                <w:sz w:val="20"/>
                <w:szCs w:val="20"/>
              </w:rPr>
            </w:pPr>
            <w:r w:rsidRPr="00BE711E">
              <w:rPr>
                <w:rFonts w:ascii="Times New Roman" w:hAnsi="Times New Roman" w:cs="Times New Roman"/>
                <w:b/>
                <w:bCs/>
                <w:sz w:val="20"/>
                <w:szCs w:val="20"/>
              </w:rPr>
              <w:t>8</w:t>
            </w:r>
            <w:r w:rsidR="008F76F3" w:rsidRPr="00BE711E">
              <w:rPr>
                <w:rFonts w:ascii="Times New Roman" w:hAnsi="Times New Roman" w:cs="Times New Roman"/>
                <w:b/>
                <w:bCs/>
                <w:sz w:val="20"/>
                <w:szCs w:val="20"/>
              </w:rPr>
              <w:t xml:space="preserve"> </w:t>
            </w:r>
            <w:r w:rsidR="00886C26" w:rsidRPr="00BE711E">
              <w:rPr>
                <w:rFonts w:ascii="Times New Roman" w:hAnsi="Times New Roman" w:cs="Times New Roman"/>
                <w:b/>
                <w:bCs/>
                <w:sz w:val="20"/>
                <w:szCs w:val="20"/>
              </w:rPr>
              <w:t>–</w:t>
            </w:r>
            <w:r w:rsidR="008F76F3" w:rsidRPr="00BE711E">
              <w:rPr>
                <w:rFonts w:ascii="Times New Roman" w:hAnsi="Times New Roman" w:cs="Times New Roman"/>
                <w:b/>
                <w:bCs/>
                <w:sz w:val="20"/>
                <w:szCs w:val="20"/>
              </w:rPr>
              <w:t xml:space="preserve"> DESCRIÇÃO DA SOLUÇÃO COMO UM TODO</w:t>
            </w:r>
            <w:r w:rsidR="00FC4923" w:rsidRPr="00BE711E">
              <w:rPr>
                <w:rFonts w:ascii="Times New Roman" w:hAnsi="Times New Roman" w:cs="Times New Roman"/>
                <w:b/>
                <w:bCs/>
                <w:sz w:val="20"/>
                <w:szCs w:val="20"/>
              </w:rPr>
              <w:t>:</w:t>
            </w:r>
          </w:p>
        </w:tc>
      </w:tr>
      <w:tr w:rsidR="008F76F3" w:rsidRPr="00BE711E" w14:paraId="629A6FF1" w14:textId="77777777" w:rsidTr="008B3682">
        <w:tc>
          <w:tcPr>
            <w:tcW w:w="9067" w:type="dxa"/>
            <w:shd w:val="clear" w:color="auto" w:fill="F2F2F2" w:themeFill="background1" w:themeFillShade="F2"/>
          </w:tcPr>
          <w:p w14:paraId="74CFCA8D"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 xml:space="preserve">Descrição da solução como um todo, inclusive das exigências relacionadas à manutenção e à assistência técnica, quando for o caso (inciso VII do § 1° do art. 18 da Lei 14.133/21); </w:t>
            </w:r>
          </w:p>
        </w:tc>
      </w:tr>
      <w:tr w:rsidR="008F76F3" w:rsidRPr="00BE711E" w14:paraId="03FF8AC2" w14:textId="77777777" w:rsidTr="00256976">
        <w:trPr>
          <w:trHeight w:val="111"/>
        </w:trPr>
        <w:tc>
          <w:tcPr>
            <w:tcW w:w="9067" w:type="dxa"/>
          </w:tcPr>
          <w:p w14:paraId="79817502"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solução proposta consiste na realização de Chamamento Público para Credenciamento de pessoas jurídicas devidamente habilitadas para a prestação, conforme demanda, de serviços de roçadas em geral, com utilização de roçadeira manual, incluindo mão de obra, equipamentos, combustível, materiais, ferramentas e demais insumos necessários à execução em áreas públicas do Município de Paverama.</w:t>
            </w:r>
          </w:p>
          <w:p w14:paraId="29B27EE8"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credenciamento será realizado sob o regime de contratação paralela e não excludente, permitindo a habilitação de todos os interessados que cumpram os requisitos jurídicos, fiscais, trabalhistas, técnicos e operacionais estabelecidos pela Administração e aceitem o valor unitário previamente fixado.</w:t>
            </w:r>
          </w:p>
          <w:p w14:paraId="1130DFA1"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execução será parcelada e dependerá da emissão prévia de Ordem de Serviço pela Secretaria Municipal competente, na qual deverão constar, no mínimo, a identificação do local, a metragem estimada, o prazo de execução e eventuais condições específicas dos trabalhos.</w:t>
            </w:r>
          </w:p>
          <w:p w14:paraId="64E947C3"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serviços compreenderão:</w:t>
            </w:r>
          </w:p>
          <w:p w14:paraId="278698AD"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corte da vegetação rasteira, grama e mato existentes nas áreas indicadas;</w:t>
            </w:r>
          </w:p>
          <w:p w14:paraId="04E8E142"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acabamento junto a meios-fios, cercas, postes, árvores, edificações, placas e demais obstáculos existentes;</w:t>
            </w:r>
          </w:p>
          <w:p w14:paraId="7245D3BE"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adoção das medidas necessárias à proteção de pessoas, veículos, imóveis, equipamentos públicos e redes de infraestrutura;</w:t>
            </w:r>
          </w:p>
          <w:p w14:paraId="627ECAC5" w14:textId="0322AF94" w:rsidR="00256976" w:rsidRPr="00BE711E" w:rsidRDefault="00BE711E" w:rsidP="00981221">
            <w:pPr>
              <w:spacing w:after="0"/>
              <w:ind w:firstLine="596"/>
              <w:rPr>
                <w:rFonts w:ascii="Times New Roman" w:hAnsi="Times New Roman" w:cs="Times New Roman"/>
                <w:sz w:val="20"/>
                <w:szCs w:val="20"/>
              </w:rPr>
            </w:pPr>
            <w:r>
              <w:rPr>
                <w:rFonts w:ascii="Times New Roman" w:hAnsi="Times New Roman" w:cs="Times New Roman"/>
                <w:sz w:val="20"/>
                <w:szCs w:val="20"/>
              </w:rPr>
              <w:t>d</w:t>
            </w:r>
            <w:r w:rsidR="00256976" w:rsidRPr="00BE711E">
              <w:rPr>
                <w:rFonts w:ascii="Times New Roman" w:hAnsi="Times New Roman" w:cs="Times New Roman"/>
                <w:sz w:val="20"/>
                <w:szCs w:val="20"/>
              </w:rPr>
              <w:t>) demais atividades acessórias indispensáveis à adequada conclusão da roçada, desde que compatíveis com o objeto.</w:t>
            </w:r>
          </w:p>
          <w:p w14:paraId="6C54ACEA" w14:textId="13391260"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A solução abrangerá áreas externas de estabelecimentos municipais de ensino e demais áreas públicas, tais como praças, canteiros, entornos de prédios públicos, unidades de saúde, logradouros e outros espaços sob responsabilidade do Município. A estimativa corresponde a até </w:t>
            </w:r>
            <w:r w:rsidR="00E55F68" w:rsidRPr="00E55F68">
              <w:rPr>
                <w:rFonts w:ascii="Times New Roman" w:hAnsi="Times New Roman" w:cs="Times New Roman"/>
                <w:iCs/>
                <w:sz w:val="20"/>
                <w:szCs w:val="20"/>
              </w:rPr>
              <w:t>15.316 m²</w:t>
            </w:r>
            <w:r w:rsidR="00E55F68">
              <w:rPr>
                <w:rFonts w:ascii="Times New Roman" w:hAnsi="Times New Roman" w:cs="Times New Roman"/>
                <w:iCs/>
                <w:sz w:val="20"/>
                <w:szCs w:val="20"/>
              </w:rPr>
              <w:t xml:space="preserve"> </w:t>
            </w:r>
            <w:r w:rsidRPr="00BE711E">
              <w:rPr>
                <w:rFonts w:ascii="Times New Roman" w:hAnsi="Times New Roman" w:cs="Times New Roman"/>
                <w:sz w:val="20"/>
                <w:szCs w:val="20"/>
              </w:rPr>
              <w:t xml:space="preserve">por ciclo e até </w:t>
            </w:r>
            <w:r w:rsidR="00E55F68" w:rsidRPr="00E55F68">
              <w:rPr>
                <w:rFonts w:ascii="Times New Roman" w:hAnsi="Times New Roman" w:cs="Times New Roman"/>
                <w:iCs/>
                <w:sz w:val="20"/>
                <w:szCs w:val="20"/>
              </w:rPr>
              <w:t>183.792 m</w:t>
            </w:r>
            <w:r w:rsidR="00E55F68">
              <w:rPr>
                <w:rFonts w:ascii="Times New Roman" w:hAnsi="Times New Roman" w:cs="Times New Roman"/>
                <w:iCs/>
                <w:sz w:val="20"/>
                <w:szCs w:val="20"/>
              </w:rPr>
              <w:t xml:space="preserve">² </w:t>
            </w:r>
            <w:r w:rsidRPr="00BE711E">
              <w:rPr>
                <w:rFonts w:ascii="Times New Roman" w:hAnsi="Times New Roman" w:cs="Times New Roman"/>
                <w:sz w:val="20"/>
                <w:szCs w:val="20"/>
              </w:rPr>
              <w:t>durante o período de 12 meses, sem obrigação de utilização integral.</w:t>
            </w:r>
          </w:p>
          <w:p w14:paraId="004C479D"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credenciada deverá disponibilizar, por sua conta e responsabilidade:</w:t>
            </w:r>
          </w:p>
          <w:p w14:paraId="5DD25D26"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trabalhadores em quantidade suficiente para o atendimento das Ordens de Serviço;</w:t>
            </w:r>
          </w:p>
          <w:p w14:paraId="0FF57579"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roçadeiras manuais em adequadas condições de funcionamento e conservação;</w:t>
            </w:r>
          </w:p>
          <w:p w14:paraId="127BD856"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c) combustível, lubrificantes, ferramentas, materiais e demais insumos necessários;</w:t>
            </w:r>
          </w:p>
          <w:p w14:paraId="5ADF49D5"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equipamentos de proteção individual e coletiva compatíveis com a atividade;</w:t>
            </w:r>
          </w:p>
          <w:p w14:paraId="498CAF5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meios para deslocamento dos trabalhadores, equipamentos e materiais até qualquer local indicado no território municipal;</w:t>
            </w:r>
          </w:p>
          <w:p w14:paraId="08EB6C48"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sinalização e isolamento da área, sempre que necessários à segurança da execução;</w:t>
            </w:r>
          </w:p>
          <w:p w14:paraId="55954D94"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identificação dos trabalhadores como vinculados à empresa credenciada.</w:t>
            </w:r>
          </w:p>
          <w:p w14:paraId="0B97CDD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Durante a execução, deverão ser observadas as normas de segurança do trabalho, trânsito, saúde ocupacional e proteção ambiental aplicáveis. A credenciada deverá adotar medidas para evitar a projeção de pedras, galhos e outros materiais, bem como danos a pessoas, veículos, edificações, cercas, equipamentos, redes de infraestrutura e propriedades confrontantes.</w:t>
            </w:r>
          </w:p>
          <w:p w14:paraId="55E255DF"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empresa responderá integralmente pelos danos decorrentes de ação ou omissão de seus trabalhadores, representantes ou equipamentos, obrigando-se a promover a reparação ou indenização correspondente, sem ônus para o Município.</w:t>
            </w:r>
          </w:p>
          <w:p w14:paraId="4CF13DB3"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distribuição das Ordens de Serviço entre os credenciados observará critérios objetivos, impessoais e previamente definidos no edital, de acordo com o Decreto Municipal nº 1.178/2022. A Administração poderá convocar simultaneamente mais de um prestador quando a extensão das áreas, a dispersão territorial, a urgência ou o prazo de execução justificarem a formação de diferentes frentes de trabalho.</w:t>
            </w:r>
          </w:p>
          <w:p w14:paraId="65CA7234"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pagamento será calculado com base na metragem efetivamente roçada, medida e atestada pela fiscalização contratual. Não serão remunerados serviços executados sem Ordem de Serviço, em local diverso do autorizado, de forma incompleta ou em desacordo com as condições estabelecidas.</w:t>
            </w:r>
          </w:p>
          <w:p w14:paraId="7306C321" w14:textId="25CF132D"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credenciada deverá corrigir ou refazer, sem custos adicionais para o Município, os serviços rejeitados pela fiscalização em razão de falhas, acabamento inadequado, vegetação remanescente</w:t>
            </w:r>
            <w:r w:rsidR="00BE711E">
              <w:rPr>
                <w:rFonts w:ascii="Times New Roman" w:hAnsi="Times New Roman" w:cs="Times New Roman"/>
                <w:sz w:val="20"/>
                <w:szCs w:val="20"/>
              </w:rPr>
              <w:t xml:space="preserve"> </w:t>
            </w:r>
            <w:r w:rsidRPr="00BE711E">
              <w:rPr>
                <w:rFonts w:ascii="Times New Roman" w:hAnsi="Times New Roman" w:cs="Times New Roman"/>
                <w:sz w:val="20"/>
                <w:szCs w:val="20"/>
              </w:rPr>
              <w:t>ou qualquer outra desconformidade imputável à contratada.</w:t>
            </w:r>
          </w:p>
          <w:p w14:paraId="61B1FDD3"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Não há necessidade de garantia contratual financeira, manutenção ou assistência técnica posterior à conclusão dos serviços. Entretanto, durante toda a execução, a credenciada deverá manter seus equipamentos em condições adequadas de uso, realizar os reparos e substituições necessários e assegurar a continuidade dos trabalhos sem transferência de custos adicionais ao Município.</w:t>
            </w:r>
          </w:p>
          <w:p w14:paraId="76D8EB53"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gestão e a fiscalização serão exercidas por servidores formalmente designados, responsáveis pela emissão e acompanhamento das Ordens de Serviço, conferência dos locais, medição das áreas executadas, verificação da qualidade, registro de ocorrências, realização de glosas e atesto para pagamento.</w:t>
            </w:r>
          </w:p>
          <w:p w14:paraId="05B07D42"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solução não assegura exclusividade, quantitativo mínimo de serviços ou faturamento aos credenciados. A execução dependerá da necessidade efetivamente identificada, da disponibilidade orçamentária e da prévia autorização da Administração.</w:t>
            </w:r>
          </w:p>
          <w:p w14:paraId="59C55FF8" w14:textId="5541A0AC" w:rsidR="008F76F3"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Considerada em sua integralidade, a solução mostra-se tecnicamente adequada, operacionalmente viável e economicamente compatível com a realidade do Município, pois amplia a capacidade de atendimento, permite a execução simultânea em diferentes áreas, reduz a dependência de um único prestador e vincula o pagamento exclusivamente aos serviços efetivamente executados, medidos e aprovados.</w:t>
            </w:r>
          </w:p>
        </w:tc>
      </w:tr>
    </w:tbl>
    <w:p w14:paraId="7D7AE9E6" w14:textId="77777777" w:rsidR="008F76F3" w:rsidRPr="00BE711E" w:rsidRDefault="008F76F3" w:rsidP="00981221">
      <w:pPr>
        <w:spacing w:after="0"/>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F76F3" w:rsidRPr="00BE711E" w14:paraId="1EC6909D" w14:textId="77777777" w:rsidTr="008B3682">
        <w:tc>
          <w:tcPr>
            <w:tcW w:w="9067" w:type="dxa"/>
          </w:tcPr>
          <w:p w14:paraId="6F6C09F3" w14:textId="7154823F" w:rsidR="008F76F3" w:rsidRPr="00BE711E" w:rsidRDefault="007B13AF" w:rsidP="00981221">
            <w:pPr>
              <w:spacing w:after="0"/>
              <w:ind w:firstLine="0"/>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9</w:t>
            </w:r>
            <w:r w:rsidR="008F76F3" w:rsidRPr="00BE711E">
              <w:rPr>
                <w:rFonts w:ascii="Times New Roman" w:eastAsia="Times New Roman" w:hAnsi="Times New Roman" w:cs="Times New Roman"/>
                <w:b/>
                <w:bCs/>
                <w:color w:val="000000"/>
                <w:sz w:val="20"/>
                <w:szCs w:val="20"/>
                <w:lang w:eastAsia="pt-BR"/>
              </w:rPr>
              <w:t xml:space="preserve"> – JUSTIFICATIVA PARA PARCELAMENTO</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09D7985E" w14:textId="77777777" w:rsidTr="008B3682">
        <w:tc>
          <w:tcPr>
            <w:tcW w:w="9067" w:type="dxa"/>
            <w:shd w:val="clear" w:color="auto" w:fill="F2F2F2" w:themeFill="background1" w:themeFillShade="F2"/>
          </w:tcPr>
          <w:p w14:paraId="42A688B6"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 xml:space="preserve">Justificativas para o parcelamento ou não da contratação (inciso VIII do § 1° do art. 18 da Lei 14.133/21); </w:t>
            </w:r>
          </w:p>
        </w:tc>
      </w:tr>
      <w:tr w:rsidR="008F76F3" w:rsidRPr="00BE711E" w14:paraId="3E75C34B" w14:textId="77777777" w:rsidTr="008B3682">
        <w:tc>
          <w:tcPr>
            <w:tcW w:w="9067" w:type="dxa"/>
          </w:tcPr>
          <w:p w14:paraId="47DDA1B0"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Nos termos do art. 47, inciso II, da Lei Federal nº 14.133/2021, as contratações de serviços devem observar o parcelamento quando este se mostrar tecnicamente viável e economicamente vantajoso.</w:t>
            </w:r>
          </w:p>
          <w:p w14:paraId="75A9EE82"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No presente caso, o objeto possui natureza homogênea e padronizável, consistindo em um único serviço de roçada em geral, executado com roçadeira manual e remunerado por metro quadrado efetivamente realizado. As variações de local, dimensão, frequência e quantidade não alteram a natureza do serviço nem justificam sua divisão em itens autônomos.</w:t>
            </w:r>
          </w:p>
          <w:p w14:paraId="2DE6E1D2"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Assim, não se mostra técnica ou administrativamente conveniente o parcelamento material do objeto em itens ou lotes distintos por Secretaria, instituição, região ou localidade, uma vez que todas as áreas demandam serviço de mesma natureza, executado com os mesmos equipamentos e insumos e remunerado pelo mesmo valor unitário.</w:t>
            </w:r>
          </w:p>
          <w:p w14:paraId="6911F54F"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divisão formal do objeto poderia:</w:t>
            </w:r>
          </w:p>
          <w:p w14:paraId="2BC60F31"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gerar quantitativos reduzidos e pouco atrativos em determinados lotes;</w:t>
            </w:r>
          </w:p>
          <w:p w14:paraId="35D5219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dificultar a redistribuição dos serviços entre as áreas conforme a necessidade efetiva;</w:t>
            </w:r>
          </w:p>
          <w:p w14:paraId="063FD38B"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criar diferenças injustificadas de preço para serviços equivalentes;</w:t>
            </w:r>
          </w:p>
          <w:p w14:paraId="65E04605"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ampliar os controles administrativos, as medições e os procedimentos de pagamento;</w:t>
            </w:r>
          </w:p>
          <w:p w14:paraId="44068AD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reduzir a flexibilidade necessária para atendimento das variações sazonais e operacionais da demanda.</w:t>
            </w:r>
          </w:p>
          <w:p w14:paraId="6E17E46C"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A manutenção do objeto em item único não implica concentração da execução em uma única empresa. A contratação será realizada mediante Chamamento Público para Credenciamento, sob o regime de contratação paralela e não excludente, permitindo a habilitação de todas as pessoas jurídicas que atendam aos requisitos estabelecidos e aceitem o valor unitário fixado pela Administração.</w:t>
            </w:r>
          </w:p>
          <w:p w14:paraId="79E47023"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execução será naturalmente parcelada, sucessiva e distribuída entre os credenciados mediante Ordens de Serviço, conforme os locais e as metragens que necessitarem de atendimento. Quando não for possível ou necessário convocar simultaneamente todos os credenciados, deverão ser adotados critérios objetivos e previamente divulgados para a distribuição da demanda.</w:t>
            </w:r>
          </w:p>
          <w:p w14:paraId="119D58B6"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distribuição observará a ordem de chamada, a rotatividade e a proporcionalidade dos serviços, nos termos do Decreto Municipal nº 1.178/2022, podendo a Administração convocar simultaneamente mais de um credenciado quando a extensão das áreas, a dispersão geográfica ou o prazo de execução exigirem a formação de diferentes frentes de trabalho.</w:t>
            </w:r>
          </w:p>
          <w:p w14:paraId="0C8BD821"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Não haverá garantia de quantidade mínima, exclusividade ou faturamento aos credenciados. O pagamento será realizado exclusivamente pela metragem previamente autorizada, efetivamente roçada, medida e atestada pela fiscalização contratual.</w:t>
            </w:r>
          </w:p>
          <w:p w14:paraId="501086F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modelagem adotada combina:</w:t>
            </w:r>
          </w:p>
          <w:p w14:paraId="018744C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manutenção do objeto em item único, em razão de sua homogeneidade técnica;</w:t>
            </w:r>
          </w:p>
          <w:p w14:paraId="281BF8EC"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credenciamento de múltiplos prestadores;</w:t>
            </w:r>
          </w:p>
          <w:p w14:paraId="4E7CFBFB"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execução parcelada mediante Ordens de Serviço;</w:t>
            </w:r>
          </w:p>
          <w:p w14:paraId="25A51888"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distribuição objetiva e impessoal da demanda;</w:t>
            </w:r>
          </w:p>
          <w:p w14:paraId="3DD26E9A"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possibilidade de execução simultânea em diferentes áreas;</w:t>
            </w:r>
          </w:p>
          <w:p w14:paraId="44D9FBEC" w14:textId="77777777" w:rsidR="00256976"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remuneração exclusivamente pelos serviços efetivamente executados.</w:t>
            </w:r>
          </w:p>
          <w:p w14:paraId="2EFD175B" w14:textId="677F38FA" w:rsidR="007B13AF" w:rsidRPr="00BE711E" w:rsidRDefault="00256976"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Conclui-se, portanto, que não se mostra conveniente dividir materialmente o objeto em itens ou lotes distintos, sendo mais adequada sua organização em item único, com execução parcelada e possibilidade de contratação paralela de todos os interessados habilitados. A solução preserva a padronização do serviço e do preço, amplia a capacidade operacional e assegura flexibilidade, impessoalidade e eficiência no atendimento das áreas públicas municipais.</w:t>
            </w:r>
          </w:p>
        </w:tc>
      </w:tr>
    </w:tbl>
    <w:p w14:paraId="46D1E7CB" w14:textId="77777777" w:rsidR="008F76F3" w:rsidRPr="00BE711E" w:rsidRDefault="008F76F3" w:rsidP="00981221">
      <w:pPr>
        <w:spacing w:after="0"/>
        <w:rPr>
          <w:rFonts w:ascii="Times New Roman" w:hAnsi="Times New Roman" w:cs="Times New Roman"/>
          <w:b/>
          <w:bCs/>
          <w:sz w:val="20"/>
          <w:szCs w:val="20"/>
        </w:rPr>
      </w:pPr>
    </w:p>
    <w:tbl>
      <w:tblPr>
        <w:tblStyle w:val="Tabelacomgrade"/>
        <w:tblW w:w="9067" w:type="dxa"/>
        <w:tblLook w:val="04A0" w:firstRow="1" w:lastRow="0" w:firstColumn="1" w:lastColumn="0" w:noHBand="0" w:noVBand="1"/>
      </w:tblPr>
      <w:tblGrid>
        <w:gridCol w:w="9067"/>
      </w:tblGrid>
      <w:tr w:rsidR="008F76F3" w:rsidRPr="00BE711E" w14:paraId="4EBDFB55" w14:textId="77777777" w:rsidTr="008B3682">
        <w:tc>
          <w:tcPr>
            <w:tcW w:w="9067" w:type="dxa"/>
          </w:tcPr>
          <w:p w14:paraId="7DB61E86" w14:textId="54A5765D" w:rsidR="008F76F3" w:rsidRPr="00BE711E" w:rsidRDefault="00040784" w:rsidP="00981221">
            <w:pPr>
              <w:spacing w:after="0"/>
              <w:ind w:firstLine="24"/>
              <w:rPr>
                <w:rFonts w:ascii="Times New Roman" w:hAnsi="Times New Roman" w:cs="Times New Roman"/>
                <w:b/>
                <w:sz w:val="20"/>
                <w:szCs w:val="20"/>
              </w:rPr>
            </w:pPr>
            <w:r w:rsidRPr="00BE711E">
              <w:rPr>
                <w:rFonts w:ascii="Times New Roman" w:hAnsi="Times New Roman" w:cs="Times New Roman"/>
                <w:b/>
                <w:sz w:val="20"/>
                <w:szCs w:val="20"/>
              </w:rPr>
              <w:t>10</w:t>
            </w:r>
            <w:r w:rsidR="008F76F3" w:rsidRPr="00BE711E">
              <w:rPr>
                <w:rFonts w:ascii="Times New Roman" w:hAnsi="Times New Roman" w:cs="Times New Roman"/>
                <w:b/>
                <w:sz w:val="20"/>
                <w:szCs w:val="20"/>
              </w:rPr>
              <w:t xml:space="preserve"> </w:t>
            </w:r>
            <w:r w:rsidR="00D8163C" w:rsidRPr="00BE711E">
              <w:rPr>
                <w:rFonts w:ascii="Times New Roman" w:hAnsi="Times New Roman" w:cs="Times New Roman"/>
                <w:b/>
                <w:sz w:val="20"/>
                <w:szCs w:val="20"/>
              </w:rPr>
              <w:t>–</w:t>
            </w:r>
            <w:r w:rsidR="008F76F3" w:rsidRPr="00BE711E">
              <w:rPr>
                <w:rFonts w:ascii="Times New Roman" w:hAnsi="Times New Roman" w:cs="Times New Roman"/>
                <w:b/>
                <w:sz w:val="20"/>
                <w:szCs w:val="20"/>
              </w:rPr>
              <w:t xml:space="preserve"> DEMONSTRATIVO DOS RESULTADOS PRETENDIDOS</w:t>
            </w:r>
            <w:r w:rsidR="00FC4923" w:rsidRPr="00BE711E">
              <w:rPr>
                <w:rFonts w:ascii="Times New Roman" w:hAnsi="Times New Roman" w:cs="Times New Roman"/>
                <w:b/>
                <w:sz w:val="20"/>
                <w:szCs w:val="20"/>
              </w:rPr>
              <w:t>:</w:t>
            </w:r>
          </w:p>
        </w:tc>
      </w:tr>
      <w:tr w:rsidR="008F76F3" w:rsidRPr="00BE711E" w14:paraId="197EBD89" w14:textId="77777777" w:rsidTr="008B3682">
        <w:tc>
          <w:tcPr>
            <w:tcW w:w="9067" w:type="dxa"/>
            <w:shd w:val="clear" w:color="auto" w:fill="F2F2F2" w:themeFill="background1" w:themeFillShade="F2"/>
          </w:tcPr>
          <w:p w14:paraId="695FC112"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hAnsi="Times New Roman" w:cs="Times New Roman"/>
                <w:sz w:val="20"/>
                <w:szCs w:val="20"/>
              </w:rPr>
              <w:t>Demonstrativo dos resultados pretendidos em termos de economicidade e de melhor aproveitamento dos recursos humanos, materiais e financeiros disponíveis (</w:t>
            </w:r>
            <w:r w:rsidRPr="00BE711E">
              <w:rPr>
                <w:rFonts w:ascii="Times New Roman" w:eastAsia="Times New Roman" w:hAnsi="Times New Roman" w:cs="Times New Roman"/>
                <w:color w:val="000000"/>
                <w:sz w:val="20"/>
                <w:szCs w:val="20"/>
                <w:lang w:eastAsia="pt-BR"/>
              </w:rPr>
              <w:t xml:space="preserve">inciso IX do § 1° do art. 18 da Lei 14.133/21); </w:t>
            </w:r>
          </w:p>
        </w:tc>
      </w:tr>
      <w:tr w:rsidR="008F76F3" w:rsidRPr="00BE711E" w14:paraId="01B06BA0" w14:textId="77777777" w:rsidTr="008B3682">
        <w:tc>
          <w:tcPr>
            <w:tcW w:w="9067" w:type="dxa"/>
          </w:tcPr>
          <w:p w14:paraId="75265144"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solução proposta objetiva assegurar a execução regular, contínua e adequadamente controlada dos serviços de roçada nas áreas públicas do Município de Paverama, promovendo melhores condições de limpeza, conservação, salubridade, segurança e utilização dos espaços municipais.</w:t>
            </w:r>
          </w:p>
          <w:p w14:paraId="18E0908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Não se trata apenas de regularizar a forma de contratação atualmente utilizada, mas de estabelecer procedimento permanente, planejado e transparente, com critérios objetivos de convocação, emissão prévia de Ordens de Serviço, medição das áreas executadas, fiscalização e pagamento exclusivamente pelos serviços efetivamente prestados.</w:t>
            </w:r>
          </w:p>
          <w:p w14:paraId="399711B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Sob o aspecto da economicidade, a contratação mediante credenciamento evita a necessidade imediata de ampliação permanente do quadro municipal, aquisição de novos equipamentos e veículos e manutenção de estrutura própria dimensionada para atender aos períodos de maior demanda. Esses investimentos gerariam despesas fixas com pessoal, encargos, combustível, manutenção, ferramentas e equipamentos de proteção, inclusive durante os períodos de menor crescimento da vegetação.</w:t>
            </w:r>
          </w:p>
          <w:p w14:paraId="7A5D818B" w14:textId="79ACC20B"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A remuneração por metro quadrado efetivamente roçado assegura correspondência direta entre a despesa pública e o serviço entregue. O Município não assumirá obrigação de utilização integral do quantitativo estimado de até </w:t>
            </w:r>
            <w:r w:rsidR="00E55F68" w:rsidRPr="00E55F68">
              <w:rPr>
                <w:rFonts w:ascii="Times New Roman" w:hAnsi="Times New Roman" w:cs="Times New Roman"/>
                <w:iCs/>
                <w:sz w:val="20"/>
                <w:szCs w:val="20"/>
              </w:rPr>
              <w:t>183.792</w:t>
            </w:r>
            <w:r w:rsidR="00E55F68">
              <w:rPr>
                <w:rFonts w:ascii="Times New Roman" w:hAnsi="Times New Roman" w:cs="Times New Roman"/>
                <w:iCs/>
                <w:sz w:val="20"/>
                <w:szCs w:val="20"/>
              </w:rPr>
              <w:t xml:space="preserve"> </w:t>
            </w:r>
            <w:r w:rsidRPr="00BE711E">
              <w:rPr>
                <w:rFonts w:ascii="Times New Roman" w:hAnsi="Times New Roman" w:cs="Times New Roman"/>
                <w:sz w:val="20"/>
                <w:szCs w:val="20"/>
              </w:rPr>
              <w:t>m² anuais, nem garantirá faturamento mínimo aos credenciados, sendo o pagamento condicionado à prévia autorização, execução, medição e atesto pela fiscalização.</w:t>
            </w:r>
          </w:p>
          <w:p w14:paraId="5C07AEA9" w14:textId="2DC45FF0" w:rsidR="009B4C26" w:rsidRDefault="009B4C26" w:rsidP="00981221">
            <w:pPr>
              <w:spacing w:after="0"/>
              <w:ind w:firstLine="596"/>
              <w:rPr>
                <w:rFonts w:ascii="Times New Roman" w:hAnsi="Times New Roman" w:cs="Times New Roman"/>
                <w:sz w:val="20"/>
                <w:szCs w:val="20"/>
              </w:rPr>
            </w:pPr>
            <w:r w:rsidRPr="009B4C26">
              <w:rPr>
                <w:rFonts w:ascii="Times New Roman" w:hAnsi="Times New Roman" w:cs="Times New Roman"/>
                <w:sz w:val="20"/>
                <w:szCs w:val="20"/>
              </w:rPr>
              <w:t>A fixação do valor unitário uniforme de R$ 0,34 por metro quadrado, fundamentado em contratação pública semelhante e em pesquisa direta realizada com o atual prestador de serviço, proporcionará previsibilidade orçamentária, transparência e controle dos gastos</w:t>
            </w:r>
            <w:r>
              <w:rPr>
                <w:rFonts w:ascii="Times New Roman" w:hAnsi="Times New Roman" w:cs="Times New Roman"/>
                <w:sz w:val="20"/>
                <w:szCs w:val="20"/>
              </w:rPr>
              <w:t>.</w:t>
            </w:r>
          </w:p>
          <w:p w14:paraId="204316AC" w14:textId="49FF23A8"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Quanto ao aproveitamento dos recursos humanos, a solução permitirá complementar a capacidade operacional do Município sem afastar os servidores próprios de outras atividades essenciais, como manutenção de vias, drenagem, limpeza urbana, conservação de prédios públicos, transporte de materiais e atendimento de demandas emergenciais.</w:t>
            </w:r>
          </w:p>
          <w:p w14:paraId="75031EE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Os servidores municipais permanecerão responsáveis pelo planejamento das intervenções, identificação das áreas prioritárias, emissão das Ordens de Serviço, acompanhamento da execução, medição das áreas, </w:t>
            </w:r>
            <w:r w:rsidRPr="00BE711E">
              <w:rPr>
                <w:rFonts w:ascii="Times New Roman" w:hAnsi="Times New Roman" w:cs="Times New Roman"/>
                <w:sz w:val="20"/>
                <w:szCs w:val="20"/>
              </w:rPr>
              <w:lastRenderedPageBreak/>
              <w:t>fiscalização da qualidade e conferência dos documentos para pagamento, concentrando sua atuação nas funções de gestão e controle.</w:t>
            </w:r>
          </w:p>
          <w:p w14:paraId="2B39B4EB"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Em relação aos recursos materiais, pretende-se utilizar as roçadeiras, ferramentas, combustíveis, equipamentos de proteção, meios de transporte e demais insumos disponibilizados pelos próprios credenciados, reduzindo a necessidade de aquisição, armazenamento, manutenção e reposição desses bens pela Administração.</w:t>
            </w:r>
          </w:p>
          <w:p w14:paraId="73CD8F97"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possibilidade de credenciamento de mais de uma empresa também permitirá a formação de diferentes frentes de trabalho, especialmente nos períodos de maior crescimento da vegetação ou quando houver necessidade de atendimento simultâneo em escolas, unidades administrativas e demais áreas públicas.</w:t>
            </w:r>
          </w:p>
          <w:p w14:paraId="1D60DD58"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Entre os principais resultados pretendidos, destacam-se:</w:t>
            </w:r>
          </w:p>
          <w:p w14:paraId="44B568D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regularização da prestação dos serviços mediante instrumento contratual formal;</w:t>
            </w:r>
          </w:p>
          <w:p w14:paraId="18D8C2FE"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manutenção periódica das áreas públicas abrangidas;</w:t>
            </w:r>
          </w:p>
          <w:p w14:paraId="4CF6C06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melhoria das condições de limpeza, conservação, segurança e salubridade;</w:t>
            </w:r>
          </w:p>
          <w:p w14:paraId="1D5D705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redução da vegetação excessiva em escolas, prédios públicos, praças, canteiros e demais espaços municipais;</w:t>
            </w:r>
          </w:p>
          <w:p w14:paraId="74671FC0"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ampliação da capacidade de atendimento nos períodos de maior demanda;</w:t>
            </w:r>
          </w:p>
          <w:p w14:paraId="55847E3B"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redução do risco de interrupção dos serviços por indisponibilidade de um único prestador;</w:t>
            </w:r>
          </w:p>
          <w:p w14:paraId="22B5E552"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melhor aproveitamento dos servidores, equipamentos e recursos materiais próprios;</w:t>
            </w:r>
          </w:p>
          <w:p w14:paraId="0EAED779"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h) pagamento exclusivamente pela metragem efetivamente executada e aprovada;</w:t>
            </w:r>
          </w:p>
          <w:p w14:paraId="0F4C745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i) aperfeiçoamento dos controles de autorização, medição, fiscalização e pagamento;</w:t>
            </w:r>
          </w:p>
          <w:p w14:paraId="57538E4D"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j) maior transparência e rastreabilidade das despesas;</w:t>
            </w:r>
          </w:p>
          <w:p w14:paraId="472FC673"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k) redução de serviços executados sem cobertura contratual ou sem prévia autorização;</w:t>
            </w:r>
          </w:p>
          <w:p w14:paraId="4F0BDFA4"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l) possibilidade de ingresso de novos prestadores durante a vigência do chamamento.</w:t>
            </w:r>
          </w:p>
          <w:p w14:paraId="50EAC613" w14:textId="3A7C8EAF" w:rsidR="00E9194F"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Para acompanhamento da solução, poderão ser utilizados os seguintes indicadores:</w:t>
            </w:r>
          </w:p>
          <w:tbl>
            <w:tblPr>
              <w:tblStyle w:val="Tabelacomgrade"/>
              <w:tblW w:w="0" w:type="auto"/>
              <w:tblLook w:val="04A0" w:firstRow="1" w:lastRow="0" w:firstColumn="1" w:lastColumn="0" w:noHBand="0" w:noVBand="1"/>
            </w:tblPr>
            <w:tblGrid>
              <w:gridCol w:w="2380"/>
              <w:gridCol w:w="6461"/>
            </w:tblGrid>
            <w:tr w:rsidR="00562D71" w:rsidRPr="00BE711E" w14:paraId="6396D1A5" w14:textId="77777777" w:rsidTr="00981221">
              <w:tc>
                <w:tcPr>
                  <w:tcW w:w="0" w:type="auto"/>
                  <w:vAlign w:val="center"/>
                  <w:hideMark/>
                </w:tcPr>
                <w:p w14:paraId="65471153" w14:textId="56672A8A" w:rsidR="00562D71" w:rsidRPr="00BE711E" w:rsidRDefault="00562D71"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Indicador</w:t>
                  </w:r>
                </w:p>
              </w:tc>
              <w:tc>
                <w:tcPr>
                  <w:tcW w:w="0" w:type="auto"/>
                  <w:vAlign w:val="center"/>
                  <w:hideMark/>
                </w:tcPr>
                <w:p w14:paraId="727091D0" w14:textId="77777777" w:rsidR="00562D71" w:rsidRPr="00BE711E" w:rsidRDefault="00562D71" w:rsidP="00981221">
                  <w:pPr>
                    <w:spacing w:after="0"/>
                    <w:ind w:firstLine="0"/>
                    <w:contextualSpacing w:val="0"/>
                    <w:jc w:val="center"/>
                    <w:rPr>
                      <w:rFonts w:ascii="Times New Roman" w:eastAsia="Times New Roman" w:hAnsi="Times New Roman" w:cs="Times New Roman"/>
                      <w:b/>
                      <w:bCs/>
                      <w:sz w:val="20"/>
                      <w:szCs w:val="20"/>
                      <w:lang w:eastAsia="pt-BR"/>
                    </w:rPr>
                  </w:pPr>
                  <w:r w:rsidRPr="00BE711E">
                    <w:rPr>
                      <w:rFonts w:ascii="Times New Roman" w:eastAsia="Times New Roman" w:hAnsi="Times New Roman" w:cs="Times New Roman"/>
                      <w:b/>
                      <w:bCs/>
                      <w:sz w:val="20"/>
                      <w:szCs w:val="20"/>
                      <w:lang w:eastAsia="pt-BR"/>
                    </w:rPr>
                    <w:t>Resultado pretendido</w:t>
                  </w:r>
                </w:p>
              </w:tc>
            </w:tr>
            <w:tr w:rsidR="00562D71" w:rsidRPr="00BE711E" w14:paraId="41B2D42A" w14:textId="77777777" w:rsidTr="00562D71">
              <w:tc>
                <w:tcPr>
                  <w:tcW w:w="0" w:type="auto"/>
                  <w:hideMark/>
                </w:tcPr>
                <w:p w14:paraId="2BF5952A"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Área efetivamente roçada</w:t>
                  </w:r>
                </w:p>
              </w:tc>
              <w:tc>
                <w:tcPr>
                  <w:tcW w:w="0" w:type="auto"/>
                  <w:hideMark/>
                </w:tcPr>
                <w:p w14:paraId="07682728"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Compatibilidade com as Ordens de Serviço e com a necessidade verificada</w:t>
                  </w:r>
                </w:p>
              </w:tc>
            </w:tr>
            <w:tr w:rsidR="00562D71" w:rsidRPr="00BE711E" w14:paraId="16CE24B7" w14:textId="77777777" w:rsidTr="00562D71">
              <w:tc>
                <w:tcPr>
                  <w:tcW w:w="0" w:type="auto"/>
                  <w:hideMark/>
                </w:tcPr>
                <w:p w14:paraId="048236AA"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Cumprimento dos prazos</w:t>
                  </w:r>
                </w:p>
              </w:tc>
              <w:tc>
                <w:tcPr>
                  <w:tcW w:w="0" w:type="auto"/>
                  <w:hideMark/>
                </w:tcPr>
                <w:p w14:paraId="1277BE59"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Execução dentro dos prazos estabelecidos pela Administração</w:t>
                  </w:r>
                </w:p>
              </w:tc>
            </w:tr>
            <w:tr w:rsidR="00562D71" w:rsidRPr="00BE711E" w14:paraId="1855AB38" w14:textId="77777777" w:rsidTr="00562D71">
              <w:tc>
                <w:tcPr>
                  <w:tcW w:w="0" w:type="auto"/>
                  <w:hideMark/>
                </w:tcPr>
                <w:p w14:paraId="7D6345C9"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Qualidade da execução</w:t>
                  </w:r>
                </w:p>
              </w:tc>
              <w:tc>
                <w:tcPr>
                  <w:tcW w:w="0" w:type="auto"/>
                  <w:hideMark/>
                </w:tcPr>
                <w:p w14:paraId="647930E5"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Serviços concluídos sem vegetação remanescente excessiva e com acabamento adequado</w:t>
                  </w:r>
                </w:p>
              </w:tc>
            </w:tr>
            <w:tr w:rsidR="00562D71" w:rsidRPr="00BE711E" w14:paraId="20F32E8E" w14:textId="77777777" w:rsidTr="00562D71">
              <w:tc>
                <w:tcPr>
                  <w:tcW w:w="0" w:type="auto"/>
                  <w:hideMark/>
                </w:tcPr>
                <w:p w14:paraId="299637A5"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Regularidade das áreas</w:t>
                  </w:r>
                </w:p>
              </w:tc>
              <w:tc>
                <w:tcPr>
                  <w:tcW w:w="0" w:type="auto"/>
                  <w:hideMark/>
                </w:tcPr>
                <w:p w14:paraId="02E1868B"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Manutenção periódica conforme a sazonalidade e as condições de cada local</w:t>
                  </w:r>
                </w:p>
              </w:tc>
            </w:tr>
            <w:tr w:rsidR="00562D71" w:rsidRPr="00BE711E" w14:paraId="624245AF" w14:textId="77777777" w:rsidTr="00562D71">
              <w:tc>
                <w:tcPr>
                  <w:tcW w:w="0" w:type="auto"/>
                  <w:hideMark/>
                </w:tcPr>
                <w:p w14:paraId="2C4DCFF0"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Serviços rejeitados ou refeitos</w:t>
                  </w:r>
                </w:p>
              </w:tc>
              <w:tc>
                <w:tcPr>
                  <w:tcW w:w="0" w:type="auto"/>
                  <w:hideMark/>
                </w:tcPr>
                <w:p w14:paraId="402EE635"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Redução de ocorrências de execução inadequada</w:t>
                  </w:r>
                </w:p>
              </w:tc>
            </w:tr>
            <w:tr w:rsidR="00562D71" w:rsidRPr="00BE711E" w14:paraId="4FA6948D" w14:textId="77777777" w:rsidTr="00562D71">
              <w:tc>
                <w:tcPr>
                  <w:tcW w:w="0" w:type="auto"/>
                  <w:hideMark/>
                </w:tcPr>
                <w:p w14:paraId="237840E3"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Glosas realizadas</w:t>
                  </w:r>
                </w:p>
              </w:tc>
              <w:tc>
                <w:tcPr>
                  <w:tcW w:w="0" w:type="auto"/>
                  <w:hideMark/>
                </w:tcPr>
                <w:p w14:paraId="575E1709"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Redução de medições incorretas, serviços não autorizados ou não comprovados</w:t>
                  </w:r>
                </w:p>
              </w:tc>
            </w:tr>
            <w:tr w:rsidR="00562D71" w:rsidRPr="00BE711E" w14:paraId="102AD397" w14:textId="77777777" w:rsidTr="00562D71">
              <w:tc>
                <w:tcPr>
                  <w:tcW w:w="0" w:type="auto"/>
                  <w:hideMark/>
                </w:tcPr>
                <w:p w14:paraId="449DCEB9"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Atendimento simultâneo</w:t>
                  </w:r>
                </w:p>
              </w:tc>
              <w:tc>
                <w:tcPr>
                  <w:tcW w:w="0" w:type="auto"/>
                  <w:hideMark/>
                </w:tcPr>
                <w:p w14:paraId="75105F74"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Capacidade de execução em diferentes áreas quando necessário</w:t>
                  </w:r>
                </w:p>
              </w:tc>
            </w:tr>
            <w:tr w:rsidR="00562D71" w:rsidRPr="00BE711E" w14:paraId="209F0A0C" w14:textId="77777777" w:rsidTr="00562D71">
              <w:tc>
                <w:tcPr>
                  <w:tcW w:w="0" w:type="auto"/>
                  <w:hideMark/>
                </w:tcPr>
                <w:p w14:paraId="5603F171"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Regularidade documental</w:t>
                  </w:r>
                </w:p>
              </w:tc>
              <w:tc>
                <w:tcPr>
                  <w:tcW w:w="0" w:type="auto"/>
                  <w:hideMark/>
                </w:tcPr>
                <w:p w14:paraId="70524E9E"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Apresentação completa e tempestiva das medições e documentos exigidos</w:t>
                  </w:r>
                </w:p>
              </w:tc>
            </w:tr>
            <w:tr w:rsidR="00562D71" w:rsidRPr="00BE711E" w14:paraId="6DEFF8EF" w14:textId="77777777" w:rsidTr="00562D71">
              <w:tc>
                <w:tcPr>
                  <w:tcW w:w="0" w:type="auto"/>
                  <w:hideMark/>
                </w:tcPr>
                <w:p w14:paraId="10513193"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Interrupções dos serviços</w:t>
                  </w:r>
                </w:p>
              </w:tc>
              <w:tc>
                <w:tcPr>
                  <w:tcW w:w="0" w:type="auto"/>
                  <w:hideMark/>
                </w:tcPr>
                <w:p w14:paraId="15E78542"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Prevenção de descontinuidade por ausência de contratação ou indisponibilidade de prestador</w:t>
                  </w:r>
                </w:p>
              </w:tc>
            </w:tr>
            <w:tr w:rsidR="00562D71" w:rsidRPr="00BE711E" w14:paraId="46AE1237" w14:textId="77777777" w:rsidTr="00562D71">
              <w:tc>
                <w:tcPr>
                  <w:tcW w:w="0" w:type="auto"/>
                  <w:hideMark/>
                </w:tcPr>
                <w:p w14:paraId="2A2DDF5D"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Execução orçamentária</w:t>
                  </w:r>
                </w:p>
              </w:tc>
              <w:tc>
                <w:tcPr>
                  <w:tcW w:w="0" w:type="auto"/>
                  <w:hideMark/>
                </w:tcPr>
                <w:p w14:paraId="3CDEB40C" w14:textId="77777777" w:rsidR="00562D71" w:rsidRPr="00BE711E" w:rsidRDefault="00562D71" w:rsidP="00981221">
                  <w:pPr>
                    <w:spacing w:after="0"/>
                    <w:ind w:firstLine="0"/>
                    <w:contextualSpacing w:val="0"/>
                    <w:jc w:val="left"/>
                    <w:rPr>
                      <w:rFonts w:ascii="Times New Roman" w:eastAsia="Times New Roman" w:hAnsi="Times New Roman" w:cs="Times New Roman"/>
                      <w:sz w:val="20"/>
                      <w:szCs w:val="20"/>
                      <w:lang w:eastAsia="pt-BR"/>
                    </w:rPr>
                  </w:pPr>
                  <w:r w:rsidRPr="00BE711E">
                    <w:rPr>
                      <w:rFonts w:ascii="Times New Roman" w:eastAsia="Times New Roman" w:hAnsi="Times New Roman" w:cs="Times New Roman"/>
                      <w:sz w:val="20"/>
                      <w:szCs w:val="20"/>
                      <w:lang w:eastAsia="pt-BR"/>
                    </w:rPr>
                    <w:t>Pagamento limitado aos serviços efetivamente executados e atestados</w:t>
                  </w:r>
                </w:p>
              </w:tc>
            </w:tr>
          </w:tbl>
          <w:p w14:paraId="6AE1E17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aferição dos resultados deverá considerar a natureza sazonal da atividade, uma vez que a frequência das roçadas dependerá das condições climáticas, do crescimento da vegetação e das necessidades específicas de cada área, não sendo exigível a execução uniforme em todos os meses ou locais.</w:t>
            </w:r>
          </w:p>
          <w:p w14:paraId="40139E04"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Dessa forma, a solução proposta busca promover o uso racional dos recursos humanos, materiais e financeiros disponíveis, ampliar a capacidade operacional do Município, assegurar maior controle da despesa e manter as áreas públicas em condições adequadas de conservação.</w:t>
            </w:r>
          </w:p>
          <w:p w14:paraId="2E39FD1F" w14:textId="17C70A33" w:rsidR="00DD48E9"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Conclui-se que os resultados pretendidos são compatíveis com os princípios do planejamento, eficiência, economicidade, transparência, continuidade do serviço público e responsabilidade fiscal, proporcionando benefícios administrativos, operacionais e coletivos ao Município de Paverama.</w:t>
            </w:r>
          </w:p>
        </w:tc>
      </w:tr>
    </w:tbl>
    <w:p w14:paraId="5284EC27" w14:textId="77777777" w:rsidR="008F76F3" w:rsidRPr="00BE711E" w:rsidRDefault="008F76F3" w:rsidP="00981221">
      <w:pPr>
        <w:spacing w:after="0"/>
        <w:rPr>
          <w:rFonts w:ascii="Times New Roman" w:eastAsia="Times New Roman" w:hAnsi="Times New Roman" w:cs="Times New Roman"/>
          <w:i/>
          <w:sz w:val="20"/>
          <w:szCs w:val="20"/>
          <w:lang w:eastAsia="pt-BR"/>
        </w:rPr>
      </w:pPr>
      <w:r w:rsidRPr="00BE711E">
        <w:rPr>
          <w:rFonts w:ascii="Times New Roman" w:eastAsia="Times New Roman" w:hAnsi="Times New Roman" w:cs="Times New Roman"/>
          <w:i/>
          <w:sz w:val="20"/>
          <w:szCs w:val="20"/>
          <w:lang w:eastAsia="pt-BR"/>
        </w:rPr>
        <w:lastRenderedPageBreak/>
        <w:t xml:space="preserve"> </w:t>
      </w:r>
    </w:p>
    <w:tbl>
      <w:tblPr>
        <w:tblStyle w:val="Tabelacomgrade"/>
        <w:tblW w:w="9067" w:type="dxa"/>
        <w:tblLook w:val="04A0" w:firstRow="1" w:lastRow="0" w:firstColumn="1" w:lastColumn="0" w:noHBand="0" w:noVBand="1"/>
      </w:tblPr>
      <w:tblGrid>
        <w:gridCol w:w="9067"/>
      </w:tblGrid>
      <w:tr w:rsidR="008F76F3" w:rsidRPr="00BE711E" w14:paraId="3675C491" w14:textId="77777777" w:rsidTr="008B3682">
        <w:tc>
          <w:tcPr>
            <w:tcW w:w="9067" w:type="dxa"/>
          </w:tcPr>
          <w:p w14:paraId="506464A4" w14:textId="424DEDAE" w:rsidR="008F76F3" w:rsidRPr="00BE711E" w:rsidRDefault="008F76F3" w:rsidP="00981221">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1</w:t>
            </w:r>
            <w:r w:rsidR="00040784" w:rsidRPr="00BE711E">
              <w:rPr>
                <w:rFonts w:ascii="Times New Roman" w:eastAsia="Times New Roman" w:hAnsi="Times New Roman" w:cs="Times New Roman"/>
                <w:b/>
                <w:bCs/>
                <w:color w:val="000000"/>
                <w:sz w:val="20"/>
                <w:szCs w:val="20"/>
                <w:lang w:eastAsia="pt-BR"/>
              </w:rPr>
              <w:t>1</w:t>
            </w:r>
            <w:r w:rsidRPr="00BE711E">
              <w:rPr>
                <w:rFonts w:ascii="Times New Roman" w:eastAsia="Times New Roman" w:hAnsi="Times New Roman" w:cs="Times New Roman"/>
                <w:b/>
                <w:bCs/>
                <w:color w:val="000000"/>
                <w:sz w:val="20"/>
                <w:szCs w:val="20"/>
                <w:lang w:eastAsia="pt-BR"/>
              </w:rPr>
              <w:t xml:space="preserve"> – PROVIDÊNCIAS PRÉVIAS AO CONTRATO</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0577C84C" w14:textId="77777777" w:rsidTr="008B3682">
        <w:tc>
          <w:tcPr>
            <w:tcW w:w="9067" w:type="dxa"/>
            <w:shd w:val="clear" w:color="auto" w:fill="F2F2F2" w:themeFill="background1" w:themeFillShade="F2"/>
          </w:tcPr>
          <w:p w14:paraId="5F02B21C"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 xml:space="preserve">Providências a serem adotadas pela administração previamente à celebração do contrato, inclusive quanto à capacitação de servidores ou de empregados para fiscalização e gestão contratual (inciso X do § 1° do art. 18 da Lei 14.133/21); </w:t>
            </w:r>
          </w:p>
        </w:tc>
      </w:tr>
      <w:tr w:rsidR="008F76F3" w:rsidRPr="00BE711E" w14:paraId="788C998C" w14:textId="77777777" w:rsidTr="008B3682">
        <w:tc>
          <w:tcPr>
            <w:tcW w:w="9067" w:type="dxa"/>
          </w:tcPr>
          <w:p w14:paraId="47DF28B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Previamente à formalização dos instrumentos decorrentes do credenciamento, deverão ser adotadas as medidas administrativas necessárias à regular instrução do processo, à definição dos fluxos operacionais e à adequada gestão e fiscalização dos serviços de roçada.</w:t>
            </w:r>
          </w:p>
          <w:p w14:paraId="0CA0395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Inicialmente, deverá ser concluído o Termo de Referência, em conformidade com o Documento de Formalização de Demanda e com o presente Estudo Técnico Preliminar, contemplando as especificações do </w:t>
            </w:r>
            <w:r w:rsidRPr="00BE711E">
              <w:rPr>
                <w:rFonts w:ascii="Times New Roman" w:hAnsi="Times New Roman" w:cs="Times New Roman"/>
                <w:sz w:val="20"/>
                <w:szCs w:val="20"/>
              </w:rPr>
              <w:lastRenderedPageBreak/>
              <w:t>serviço, os requisitos de habilitação, a forma de convocação dos credenciados, a emissão das Ordens de Serviço, os critérios de medição, fiscalização, recebimento, pagamento, glosa, sanção e descredenciamento.</w:t>
            </w:r>
          </w:p>
          <w:p w14:paraId="55E1C87C" w14:textId="77777777" w:rsidR="009B4C26" w:rsidRDefault="009B4C26" w:rsidP="00981221">
            <w:pPr>
              <w:spacing w:after="0"/>
              <w:ind w:firstLine="596"/>
              <w:rPr>
                <w:rFonts w:ascii="Times New Roman" w:hAnsi="Times New Roman" w:cs="Times New Roman"/>
                <w:sz w:val="20"/>
                <w:szCs w:val="20"/>
              </w:rPr>
            </w:pPr>
            <w:r w:rsidRPr="009B4C26">
              <w:rPr>
                <w:rFonts w:ascii="Times New Roman" w:hAnsi="Times New Roman" w:cs="Times New Roman"/>
                <w:sz w:val="20"/>
                <w:szCs w:val="20"/>
              </w:rPr>
              <w:t>A pesquisa de preços deverá ser formalmente juntada ao processo, acompanhada do respectivo quadro comparativo, demonstrando que o valor unitário de R$ 0,34 por metro quadrado foi identificado em contratação pública de objeto compatível e na pesquisa direta realizada com o atual prestador de serviço.</w:t>
            </w:r>
          </w:p>
          <w:p w14:paraId="63D1C773" w14:textId="415786F9"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Deverá ser realizada a análise contábil e orçamentária, com identificação das dotações destinadas ao custeio da contratação e confirmação da disponibilidade de recursos para a execução estimada de até </w:t>
            </w:r>
            <w:r w:rsidR="00E55F68" w:rsidRPr="00E55F68">
              <w:rPr>
                <w:rFonts w:ascii="Times New Roman" w:hAnsi="Times New Roman" w:cs="Times New Roman"/>
                <w:iCs/>
                <w:sz w:val="20"/>
                <w:szCs w:val="20"/>
              </w:rPr>
              <w:t>183.792 m²</w:t>
            </w:r>
            <w:r w:rsidRPr="00BE711E">
              <w:rPr>
                <w:rFonts w:ascii="Times New Roman" w:hAnsi="Times New Roman" w:cs="Times New Roman"/>
                <w:sz w:val="20"/>
                <w:szCs w:val="20"/>
              </w:rPr>
              <w:t xml:space="preserve"> durante o período de 12 meses, sem prejuízo de que o pagamento fique limitado aos serviços efetivamente demandados e executados.</w:t>
            </w:r>
          </w:p>
          <w:p w14:paraId="28A789D8"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Na sequência, deverão ser elaborados o Edital de Chamamento Público e a minuta do Termo de Credenciamento, disciplinando, especialmente:</w:t>
            </w:r>
          </w:p>
          <w:p w14:paraId="0399C779"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as condições de participação e habilitação;</w:t>
            </w:r>
          </w:p>
          <w:p w14:paraId="5D9713F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o valor unitário por metro quadrado;</w:t>
            </w:r>
          </w:p>
          <w:p w14:paraId="429F95C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a possibilidade de ingresso de novos interessados durante a vigência do edital;</w:t>
            </w:r>
          </w:p>
          <w:p w14:paraId="0CCB7FC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os critérios objetivos de distribuição e rotatividade das Ordens de Serviço;</w:t>
            </w:r>
          </w:p>
          <w:p w14:paraId="4878D741"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as hipóteses de convocação simultânea de mais de um credenciado;</w:t>
            </w:r>
          </w:p>
          <w:p w14:paraId="5181730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os prazos para aceitação, início e conclusão dos serviços;</w:t>
            </w:r>
          </w:p>
          <w:p w14:paraId="54D1F69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as condições de execução, medição, recebimento e pagamento;</w:t>
            </w:r>
          </w:p>
          <w:p w14:paraId="01517DBE"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h) as obrigações relativas à mão de obra, equipamentos, combustível, transporte, EPI e demais insumos;</w:t>
            </w:r>
          </w:p>
          <w:p w14:paraId="0BE3D58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i) as hipóteses de recusa, glosa, correção, sanção e descredenciamento;</w:t>
            </w:r>
          </w:p>
          <w:p w14:paraId="5D9E957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j) as condições para atualização do valor unitário.</w:t>
            </w:r>
          </w:p>
          <w:p w14:paraId="73E1894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 processo deverá ser submetido à análise jurídica prévia, para exame da regularidade do credenciamento, da caracterização da contratação paralela e não excludente e da conformidade dos documentos com a Lei Federal nº 14.133/2021 e com o Decreto Municipal nº 1.178/2022.</w:t>
            </w:r>
          </w:p>
          <w:p w14:paraId="1EF1B206"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Também deverão ser formalmente designados os agentes responsáveis pela condução do Chamamento Público, bem como os gestores e fiscais dos Termos de Credenciamento, observando-se a segregação de funções e a compatibilidade das atribuições.</w:t>
            </w:r>
          </w:p>
          <w:p w14:paraId="02314536"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Os servidores encarregados da gestão e fiscalização deverão receber orientações específicas sobre:</w:t>
            </w:r>
          </w:p>
          <w:p w14:paraId="19AE49E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elaboração e emissão das Ordens de Serviço;</w:t>
            </w:r>
          </w:p>
          <w:p w14:paraId="6F7371B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distribuição objetiva das demandas entre os credenciados;</w:t>
            </w:r>
          </w:p>
          <w:p w14:paraId="2F240EAD"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identificação e delimitação das áreas a serem roçadas;</w:t>
            </w:r>
          </w:p>
          <w:p w14:paraId="4C2F4A27"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medição da metragem efetivamente executada;</w:t>
            </w:r>
          </w:p>
          <w:p w14:paraId="2A5FA75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verificação da qualidade e do acabamento dos serviços;</w:t>
            </w:r>
          </w:p>
          <w:p w14:paraId="72F12A04"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conferência do cumprimento dos prazos;</w:t>
            </w:r>
          </w:p>
          <w:p w14:paraId="11FB124E"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registro fotográfico e documental, quando necessário;</w:t>
            </w:r>
          </w:p>
          <w:p w14:paraId="7C611C7F"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h) realização de glosas e determinação de correções;</w:t>
            </w:r>
          </w:p>
          <w:p w14:paraId="729BB903"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i) apuração de irregularidades e aplicação de sanções.</w:t>
            </w:r>
          </w:p>
          <w:p w14:paraId="653FE119"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orientação poderá ser realizada internamente, por meio de reunião técnica, formulários padronizados, listas de verificação e modelos de Ordem de Serviço e de boletim de medição, não se identificando, em princípio, necessidade de contratação externa para capacitação.</w:t>
            </w:r>
          </w:p>
          <w:p w14:paraId="6F901EF2"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Antes do início da execução, deverão ser padronizados os seguintes documentos e procedimentos:</w:t>
            </w:r>
          </w:p>
          <w:p w14:paraId="29689496"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modelo de Ordem de Serviço, contendo local, área estimada, prazo e condições específicas;</w:t>
            </w:r>
          </w:p>
          <w:p w14:paraId="556918DC"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b) formulário de aceitação ou recusa da demanda pelo credenciado;</w:t>
            </w:r>
          </w:p>
          <w:p w14:paraId="54C63E62"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c) boletim de medição da área efetivamente roçada;</w:t>
            </w:r>
          </w:p>
          <w:p w14:paraId="39D83D17"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d) registro de ocorrências e desconformidades;</w:t>
            </w:r>
          </w:p>
          <w:p w14:paraId="6F2FA44A"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e) termo de recebimento ou atesto dos serviços;</w:t>
            </w:r>
          </w:p>
          <w:p w14:paraId="583AF965"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f) fluxo para correção, reexecução, glosa e pagamento;</w:t>
            </w:r>
          </w:p>
          <w:p w14:paraId="335D5A00"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g) controle da ordem de chamada e da rotatividade entre os credenciados.</w:t>
            </w:r>
          </w:p>
          <w:p w14:paraId="3C726CC9"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Antes da assinatura de cada Termo de Credenciamento, deverá ser verificada a manutenção das condições de habilitação do interessado e confirmada sua capacidade de disponibilizar mão de obra, roçadeiras manuais, combustível, ferramentas, transporte, equipamentos de proteção individual e demais recursos necessários.</w:t>
            </w:r>
          </w:p>
          <w:p w14:paraId="60013883"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 Administração poderá verificar os equipamentos e as condições operacionais declaradas pelo credenciado antes da primeira Ordem de Serviço ou durante a execução, sem que isso configure vistoria prévia obrigatória como condição de participação.</w:t>
            </w:r>
          </w:p>
          <w:p w14:paraId="5A3934F2"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Após a aprovação jurídica, o Edital de Chamamento Público deverá ser divulgado no Portal Nacional de Contratações Públicas, no sítio eletrônico oficial do Município, no </w:t>
            </w:r>
            <w:proofErr w:type="spellStart"/>
            <w:r w:rsidRPr="00BE711E">
              <w:rPr>
                <w:rFonts w:ascii="Times New Roman" w:hAnsi="Times New Roman" w:cs="Times New Roman"/>
                <w:sz w:val="20"/>
                <w:szCs w:val="20"/>
              </w:rPr>
              <w:t>LicitaCon</w:t>
            </w:r>
            <w:proofErr w:type="spellEnd"/>
            <w:r w:rsidRPr="00BE711E">
              <w:rPr>
                <w:rFonts w:ascii="Times New Roman" w:hAnsi="Times New Roman" w:cs="Times New Roman"/>
                <w:sz w:val="20"/>
                <w:szCs w:val="20"/>
              </w:rPr>
              <w:t xml:space="preserve">/TCE-RS e nos demais meios </w:t>
            </w:r>
            <w:r w:rsidRPr="00BE711E">
              <w:rPr>
                <w:rFonts w:ascii="Times New Roman" w:hAnsi="Times New Roman" w:cs="Times New Roman"/>
                <w:sz w:val="20"/>
                <w:szCs w:val="20"/>
              </w:rPr>
              <w:lastRenderedPageBreak/>
              <w:t>legalmente exigidos, assegurando ampla publicidade e possibilidade de ingresso de novos interessados durante sua vigência.</w:t>
            </w:r>
          </w:p>
          <w:p w14:paraId="28770E6E" w14:textId="77777777" w:rsidR="00562D71"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Somente após a conclusão da instrução, análise dos pedidos, homologação do credenciamento, confirmação da regularidade do interessado e formalização do respectivo Termo de Credenciamento poderão ser emitidas Ordens de Serviço para início da execução.</w:t>
            </w:r>
          </w:p>
          <w:p w14:paraId="5F4BC334" w14:textId="675381EB" w:rsidR="00AE7322" w:rsidRPr="00BE711E" w:rsidRDefault="00562D71" w:rsidP="00981221">
            <w:pPr>
              <w:spacing w:after="0"/>
              <w:ind w:firstLine="596"/>
              <w:rPr>
                <w:rFonts w:ascii="Times New Roman" w:hAnsi="Times New Roman" w:cs="Times New Roman"/>
                <w:sz w:val="20"/>
                <w:szCs w:val="20"/>
              </w:rPr>
            </w:pPr>
            <w:r w:rsidRPr="00BE711E">
              <w:rPr>
                <w:rFonts w:ascii="Times New Roman" w:hAnsi="Times New Roman" w:cs="Times New Roman"/>
                <w:sz w:val="20"/>
                <w:szCs w:val="20"/>
              </w:rPr>
              <w:t>As providências descritas mostram-se suficientes para assegurar a regularidade do procedimento, a distribuição impessoal das demandas, a adequada medição das áreas, o controle dos serviços executados e o pagamento exclusivamente pela metragem efetivamente roçada e atestada.</w:t>
            </w:r>
          </w:p>
        </w:tc>
      </w:tr>
    </w:tbl>
    <w:p w14:paraId="44EB9322" w14:textId="77777777" w:rsidR="008F76F3" w:rsidRPr="00BE711E" w:rsidRDefault="008F76F3" w:rsidP="00981221">
      <w:pPr>
        <w:spacing w:after="0"/>
        <w:rPr>
          <w:rFonts w:ascii="Times New Roman" w:hAnsi="Times New Roman" w:cs="Times New Roman"/>
          <w:color w:val="FF0000"/>
          <w:sz w:val="20"/>
          <w:szCs w:val="20"/>
        </w:rPr>
      </w:pPr>
    </w:p>
    <w:tbl>
      <w:tblPr>
        <w:tblStyle w:val="Tabelacomgrade"/>
        <w:tblW w:w="9067" w:type="dxa"/>
        <w:tblLook w:val="04A0" w:firstRow="1" w:lastRow="0" w:firstColumn="1" w:lastColumn="0" w:noHBand="0" w:noVBand="1"/>
      </w:tblPr>
      <w:tblGrid>
        <w:gridCol w:w="9067"/>
      </w:tblGrid>
      <w:tr w:rsidR="008F76F3" w:rsidRPr="00BE711E" w14:paraId="515B6EF4" w14:textId="77777777" w:rsidTr="008B3682">
        <w:tc>
          <w:tcPr>
            <w:tcW w:w="9067" w:type="dxa"/>
          </w:tcPr>
          <w:p w14:paraId="1C78622F" w14:textId="0C86436E" w:rsidR="008F76F3" w:rsidRPr="00BE711E" w:rsidRDefault="008F76F3" w:rsidP="00981221">
            <w:pPr>
              <w:shd w:val="clear" w:color="auto" w:fill="FFFFFF"/>
              <w:spacing w:after="0"/>
              <w:ind w:firstLine="0"/>
              <w:textAlignment w:val="baseline"/>
              <w:rPr>
                <w:rFonts w:ascii="Times New Roman" w:eastAsia="Times New Roman" w:hAnsi="Times New Roman" w:cs="Times New Roman"/>
                <w:b/>
                <w:bCs/>
                <w:color w:val="000000"/>
                <w:sz w:val="20"/>
                <w:szCs w:val="20"/>
                <w:lang w:eastAsia="pt-BR"/>
              </w:rPr>
            </w:pPr>
            <w:r w:rsidRPr="00BE711E">
              <w:rPr>
                <w:rFonts w:ascii="Times New Roman" w:eastAsia="Times New Roman" w:hAnsi="Times New Roman" w:cs="Times New Roman"/>
                <w:b/>
                <w:bCs/>
                <w:color w:val="000000"/>
                <w:sz w:val="20"/>
                <w:szCs w:val="20"/>
                <w:lang w:eastAsia="pt-BR"/>
              </w:rPr>
              <w:t>1</w:t>
            </w:r>
            <w:r w:rsidR="009611FE" w:rsidRPr="00BE711E">
              <w:rPr>
                <w:rFonts w:ascii="Times New Roman" w:eastAsia="Times New Roman" w:hAnsi="Times New Roman" w:cs="Times New Roman"/>
                <w:b/>
                <w:bCs/>
                <w:color w:val="000000"/>
                <w:sz w:val="20"/>
                <w:szCs w:val="20"/>
                <w:lang w:eastAsia="pt-BR"/>
              </w:rPr>
              <w:t>2</w:t>
            </w:r>
            <w:r w:rsidRPr="00BE711E">
              <w:rPr>
                <w:rFonts w:ascii="Times New Roman" w:eastAsia="Times New Roman" w:hAnsi="Times New Roman" w:cs="Times New Roman"/>
                <w:b/>
                <w:bCs/>
                <w:color w:val="000000"/>
                <w:sz w:val="20"/>
                <w:szCs w:val="20"/>
                <w:lang w:eastAsia="pt-BR"/>
              </w:rPr>
              <w:t xml:space="preserve"> – CONTRATAÇÕES CORRELATAS/INTERDEPENDENTES</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455DD9E4" w14:textId="77777777" w:rsidTr="008B3682">
        <w:tc>
          <w:tcPr>
            <w:tcW w:w="9067" w:type="dxa"/>
            <w:shd w:val="clear" w:color="auto" w:fill="F2F2F2" w:themeFill="background1" w:themeFillShade="F2"/>
          </w:tcPr>
          <w:p w14:paraId="3BBC643A"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eastAsia="Times New Roman" w:hAnsi="Times New Roman" w:cs="Times New Roman"/>
                <w:color w:val="000000"/>
                <w:sz w:val="20"/>
                <w:szCs w:val="20"/>
                <w:lang w:eastAsia="pt-BR"/>
              </w:rPr>
              <w:t>Contratações correlatas e/ou interdependentes (inciso XI do § 1° do art. 18 da Lei 14.133/21);</w:t>
            </w:r>
          </w:p>
        </w:tc>
      </w:tr>
      <w:tr w:rsidR="008F76F3" w:rsidRPr="00BE711E" w14:paraId="1A83E025" w14:textId="77777777" w:rsidTr="008B3682">
        <w:tc>
          <w:tcPr>
            <w:tcW w:w="9067" w:type="dxa"/>
          </w:tcPr>
          <w:p w14:paraId="75D5D117"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A contratação possui autonomia jurídica, técnica e operacional, uma vez que os serviços de roçada poderão ser executados diretamente pelas pessoas jurídicas credenciadas, mediante emissão prévia de Ordem de Serviço, sem depender da celebração de outro contrato para o início de sua execução.</w:t>
            </w:r>
          </w:p>
          <w:p w14:paraId="2F278EDB"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A credenciada será responsável pelo fornecimento da mão de obra, das roçadeiras manuais, do combustível, das ferramentas, dos equipamentos de proteção individual, do transporte e dos demais insumos necessários à execução integral do objeto.</w:t>
            </w:r>
          </w:p>
          <w:p w14:paraId="69C3C839"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Entretanto, a prestação dos serviços mantém relação de complementaridade com as seguintes atividades municipais:</w:t>
            </w:r>
          </w:p>
          <w:p w14:paraId="6DAEB68D"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 xml:space="preserve">I – </w:t>
            </w:r>
            <w:proofErr w:type="gramStart"/>
            <w:r w:rsidRPr="00BE711E">
              <w:rPr>
                <w:rFonts w:ascii="Times New Roman" w:eastAsia="Times New Roman" w:hAnsi="Times New Roman" w:cs="Times New Roman"/>
                <w:color w:val="000000"/>
                <w:sz w:val="20"/>
                <w:szCs w:val="20"/>
                <w:lang w:eastAsia="pt-BR"/>
              </w:rPr>
              <w:t>serviços</w:t>
            </w:r>
            <w:proofErr w:type="gramEnd"/>
            <w:r w:rsidRPr="00BE711E">
              <w:rPr>
                <w:rFonts w:ascii="Times New Roman" w:eastAsia="Times New Roman" w:hAnsi="Times New Roman" w:cs="Times New Roman"/>
                <w:color w:val="000000"/>
                <w:sz w:val="20"/>
                <w:szCs w:val="20"/>
                <w:lang w:eastAsia="pt-BR"/>
              </w:rPr>
              <w:t xml:space="preserve"> executados pelas equipes próprias do Município: poderão continuar sendo realizados de forma complementar, especialmente em situações pontuais, emergenciais ou em áreas não incluídas nas Ordens de Serviço, sem sobreposição de medições ou pagamentos;</w:t>
            </w:r>
          </w:p>
          <w:p w14:paraId="6C476684"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 xml:space="preserve">II – </w:t>
            </w:r>
            <w:proofErr w:type="gramStart"/>
            <w:r w:rsidRPr="00BE711E">
              <w:rPr>
                <w:rFonts w:ascii="Times New Roman" w:eastAsia="Times New Roman" w:hAnsi="Times New Roman" w:cs="Times New Roman"/>
                <w:color w:val="000000"/>
                <w:sz w:val="20"/>
                <w:szCs w:val="20"/>
                <w:lang w:eastAsia="pt-BR"/>
              </w:rPr>
              <w:t>serviços</w:t>
            </w:r>
            <w:proofErr w:type="gramEnd"/>
            <w:r w:rsidRPr="00BE711E">
              <w:rPr>
                <w:rFonts w:ascii="Times New Roman" w:eastAsia="Times New Roman" w:hAnsi="Times New Roman" w:cs="Times New Roman"/>
                <w:color w:val="000000"/>
                <w:sz w:val="20"/>
                <w:szCs w:val="20"/>
                <w:lang w:eastAsia="pt-BR"/>
              </w:rPr>
              <w:t xml:space="preserve"> de limpeza e conservação de áreas públicas: abrangem varrição, retirada de resíduos, manutenção de praças, canteiros, prédios públicos e demais espaços municipais, podendo ocorrer antes ou após a roçada, conforme a necessidade de cada local;</w:t>
            </w:r>
          </w:p>
          <w:p w14:paraId="39A920FC" w14:textId="05BF3ECC" w:rsidR="00562D71" w:rsidRPr="00BE711E" w:rsidRDefault="00BE711E" w:rsidP="00981221">
            <w:pPr>
              <w:spacing w:after="0"/>
              <w:ind w:firstLine="596"/>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III</w:t>
            </w:r>
            <w:r w:rsidR="00562D71" w:rsidRPr="00BE711E">
              <w:rPr>
                <w:rFonts w:ascii="Times New Roman" w:eastAsia="Times New Roman" w:hAnsi="Times New Roman" w:cs="Times New Roman"/>
                <w:color w:val="000000"/>
                <w:sz w:val="20"/>
                <w:szCs w:val="20"/>
                <w:lang w:eastAsia="pt-BR"/>
              </w:rPr>
              <w:t xml:space="preserve"> – serviços de poda, supressão e manejo de árvores: não integram o objeto do credenciamento, mas poderão ser necessários em determinadas áreas e deverão ser executados por meio de estrutura própria ou contratação específica, quando cabível;</w:t>
            </w:r>
          </w:p>
          <w:p w14:paraId="000929BB" w14:textId="14D8C572" w:rsidR="00562D71" w:rsidRPr="00BE711E" w:rsidRDefault="00BE711E" w:rsidP="00981221">
            <w:pPr>
              <w:spacing w:after="0"/>
              <w:ind w:firstLine="596"/>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I</w:t>
            </w:r>
            <w:r w:rsidR="00562D71" w:rsidRPr="00BE711E">
              <w:rPr>
                <w:rFonts w:ascii="Times New Roman" w:eastAsia="Times New Roman" w:hAnsi="Times New Roman" w:cs="Times New Roman"/>
                <w:color w:val="000000"/>
                <w:sz w:val="20"/>
                <w:szCs w:val="20"/>
                <w:lang w:eastAsia="pt-BR"/>
              </w:rPr>
              <w:t xml:space="preserve">V – </w:t>
            </w:r>
            <w:proofErr w:type="gramStart"/>
            <w:r w:rsidR="00562D71" w:rsidRPr="00BE711E">
              <w:rPr>
                <w:rFonts w:ascii="Times New Roman" w:eastAsia="Times New Roman" w:hAnsi="Times New Roman" w:cs="Times New Roman"/>
                <w:color w:val="000000"/>
                <w:sz w:val="20"/>
                <w:szCs w:val="20"/>
                <w:lang w:eastAsia="pt-BR"/>
              </w:rPr>
              <w:t>manutenção</w:t>
            </w:r>
            <w:proofErr w:type="gramEnd"/>
            <w:r w:rsidR="00562D71" w:rsidRPr="00BE711E">
              <w:rPr>
                <w:rFonts w:ascii="Times New Roman" w:eastAsia="Times New Roman" w:hAnsi="Times New Roman" w:cs="Times New Roman"/>
                <w:color w:val="000000"/>
                <w:sz w:val="20"/>
                <w:szCs w:val="20"/>
                <w:lang w:eastAsia="pt-BR"/>
              </w:rPr>
              <w:t xml:space="preserve"> de vias, passeios, cercas, drenagem e equipamentos públicos: poderá apresentar relação funcional com a roçada, especialmente quando a vegetação dificultar o acesso ou a execução de outros serviços, sem constituir condição obrigatória para o credenciamento;</w:t>
            </w:r>
          </w:p>
          <w:p w14:paraId="64D6FF32" w14:textId="5B1B55C4"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 xml:space="preserve">V – </w:t>
            </w:r>
            <w:proofErr w:type="gramStart"/>
            <w:r w:rsidRPr="00BE711E">
              <w:rPr>
                <w:rFonts w:ascii="Times New Roman" w:eastAsia="Times New Roman" w:hAnsi="Times New Roman" w:cs="Times New Roman"/>
                <w:color w:val="000000"/>
                <w:sz w:val="20"/>
                <w:szCs w:val="20"/>
                <w:lang w:eastAsia="pt-BR"/>
              </w:rPr>
              <w:t>atividades</w:t>
            </w:r>
            <w:proofErr w:type="gramEnd"/>
            <w:r w:rsidRPr="00BE711E">
              <w:rPr>
                <w:rFonts w:ascii="Times New Roman" w:eastAsia="Times New Roman" w:hAnsi="Times New Roman" w:cs="Times New Roman"/>
                <w:color w:val="000000"/>
                <w:sz w:val="20"/>
                <w:szCs w:val="20"/>
                <w:lang w:eastAsia="pt-BR"/>
              </w:rPr>
              <w:t xml:space="preserve"> das Secretarias Municipais demandantes: compreendem a identificação das áreas que necessitam de intervenção, a definição das prioridades, a emissão das Ordens de Serviço e o acompanhamento da execução.</w:t>
            </w:r>
          </w:p>
          <w:p w14:paraId="232CB203"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As atividades acima não se confundem com o objeto da contratação e não deverão gerar duplicidade de serviços ou pagamentos. A Administração deverá delimitar previamente as áreas e os serviços autorizados, especialmente quando houver atuação concomitante de equipe própria e empresa credenciada.</w:t>
            </w:r>
          </w:p>
          <w:p w14:paraId="537E5DC1" w14:textId="77777777" w:rsidR="00562D71"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Não foi identificada contratação interdependente cuja ausência inviabilize a formalização ou a execução dos Termos de Credenciamento. A solução poderá ser implementada com a estrutura administrativa atualmente disponível, desde que estejam definidos os procedimentos de convocação, emissão de Ordens de Serviço, medição, fiscalização, recebimento e pagamento.</w:t>
            </w:r>
          </w:p>
          <w:p w14:paraId="3C7CCAFB" w14:textId="68763892" w:rsidR="008F76F3" w:rsidRPr="00BE711E" w:rsidRDefault="00562D71" w:rsidP="00981221">
            <w:pPr>
              <w:spacing w:after="0"/>
              <w:ind w:firstLine="596"/>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color w:val="000000"/>
                <w:sz w:val="20"/>
                <w:szCs w:val="20"/>
                <w:lang w:eastAsia="pt-BR"/>
              </w:rPr>
              <w:t>Conclui-se, portanto, que a contratação possui autonomia suficiente para ser processada e executada independentemente, embora deva permanecer articulada com os serviços municipais de limpeza, conservação, manutenção de áreas públicas e manejo dos resíduos vegetais.</w:t>
            </w:r>
          </w:p>
        </w:tc>
      </w:tr>
    </w:tbl>
    <w:p w14:paraId="503AA091" w14:textId="77777777" w:rsidR="008F76F3" w:rsidRPr="00BE711E" w:rsidRDefault="008F76F3" w:rsidP="00981221">
      <w:pPr>
        <w:spacing w:after="0"/>
        <w:rPr>
          <w:rFonts w:ascii="Times New Roman" w:eastAsia="Times New Roman" w:hAnsi="Times New Roman" w:cs="Times New Roman"/>
          <w:color w:val="000000"/>
          <w:sz w:val="20"/>
          <w:szCs w:val="20"/>
          <w:lang w:eastAsia="pt-BR"/>
        </w:rPr>
      </w:pPr>
    </w:p>
    <w:tbl>
      <w:tblPr>
        <w:tblStyle w:val="Tabelacomgrade"/>
        <w:tblW w:w="9067" w:type="dxa"/>
        <w:tblLook w:val="04A0" w:firstRow="1" w:lastRow="0" w:firstColumn="1" w:lastColumn="0" w:noHBand="0" w:noVBand="1"/>
      </w:tblPr>
      <w:tblGrid>
        <w:gridCol w:w="9067"/>
      </w:tblGrid>
      <w:tr w:rsidR="008F76F3" w:rsidRPr="00BE711E" w14:paraId="3D90EBFB" w14:textId="77777777" w:rsidTr="008B3682">
        <w:tc>
          <w:tcPr>
            <w:tcW w:w="9067" w:type="dxa"/>
          </w:tcPr>
          <w:p w14:paraId="742EAC32" w14:textId="3BDE04FF" w:rsidR="008F76F3" w:rsidRPr="00BE711E" w:rsidRDefault="008F76F3" w:rsidP="00981221">
            <w:pPr>
              <w:spacing w:after="0"/>
              <w:ind w:firstLine="0"/>
              <w:rPr>
                <w:rFonts w:ascii="Times New Roman" w:eastAsia="Times New Roman" w:hAnsi="Times New Roman" w:cs="Times New Roman"/>
                <w:b/>
                <w:color w:val="000000"/>
                <w:sz w:val="20"/>
                <w:szCs w:val="20"/>
                <w:lang w:eastAsia="pt-BR"/>
              </w:rPr>
            </w:pPr>
            <w:r w:rsidRPr="00BE711E">
              <w:rPr>
                <w:rFonts w:ascii="Times New Roman" w:eastAsia="Times New Roman" w:hAnsi="Times New Roman" w:cs="Times New Roman"/>
                <w:b/>
                <w:bCs/>
                <w:color w:val="000000"/>
                <w:sz w:val="20"/>
                <w:szCs w:val="20"/>
                <w:lang w:eastAsia="pt-BR"/>
              </w:rPr>
              <w:t>1</w:t>
            </w:r>
            <w:r w:rsidR="009611FE" w:rsidRPr="00BE711E">
              <w:rPr>
                <w:rFonts w:ascii="Times New Roman" w:eastAsia="Times New Roman" w:hAnsi="Times New Roman" w:cs="Times New Roman"/>
                <w:b/>
                <w:bCs/>
                <w:color w:val="000000"/>
                <w:sz w:val="20"/>
                <w:szCs w:val="20"/>
                <w:lang w:eastAsia="pt-BR"/>
              </w:rPr>
              <w:t>3</w:t>
            </w:r>
            <w:r w:rsidRPr="00BE711E">
              <w:rPr>
                <w:rFonts w:ascii="Times New Roman" w:eastAsia="Times New Roman" w:hAnsi="Times New Roman" w:cs="Times New Roman"/>
                <w:b/>
                <w:bCs/>
                <w:color w:val="000000"/>
                <w:sz w:val="20"/>
                <w:szCs w:val="20"/>
                <w:lang w:eastAsia="pt-BR"/>
              </w:rPr>
              <w:t xml:space="preserve"> – IMPACTOS AMBIENTAIS</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22D5FB8B" w14:textId="77777777" w:rsidTr="008B3682">
        <w:tc>
          <w:tcPr>
            <w:tcW w:w="9067" w:type="dxa"/>
            <w:shd w:val="clear" w:color="auto" w:fill="F2F2F2" w:themeFill="background1" w:themeFillShade="F2"/>
          </w:tcPr>
          <w:p w14:paraId="7BB9D2B9"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hAnsi="Times New Roman" w:cs="Times New Roman"/>
                <w:sz w:val="20"/>
                <w:szCs w:val="20"/>
              </w:rPr>
              <w:t>Descrição de possíveis impactos ambientais e respectivas medidas mitigadoras, incluídos requisitos de baixo consumo de energia e de outros recursos, bem como logística reversa para desfazimento e reciclagem de bens e refugos, quando aplicável (</w:t>
            </w:r>
            <w:r w:rsidRPr="00BE711E">
              <w:rPr>
                <w:rFonts w:ascii="Times New Roman" w:eastAsia="Times New Roman" w:hAnsi="Times New Roman" w:cs="Times New Roman"/>
                <w:color w:val="000000"/>
                <w:sz w:val="20"/>
                <w:szCs w:val="20"/>
                <w:lang w:eastAsia="pt-BR"/>
              </w:rPr>
              <w:t>inciso XII do § 1° do art. 18 da Lei 14.133/21);</w:t>
            </w:r>
          </w:p>
        </w:tc>
      </w:tr>
      <w:tr w:rsidR="008F76F3" w:rsidRPr="00BE711E" w14:paraId="0DDD108A" w14:textId="77777777" w:rsidTr="008B3682">
        <w:tc>
          <w:tcPr>
            <w:tcW w:w="9067" w:type="dxa"/>
          </w:tcPr>
          <w:p w14:paraId="45245C7B"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A execução dos serviços de roçada apresenta impactos ambientais de pequena ou moderada magnitude, predominantemente locais e temporários, relacionados ao funcionamento das roçadeiras, ao consumo de combustível, à geração de resíduos vegetais e à possibilidade de interferência sobre o solo, a vegetação e a fauna existente nas áreas atendidas.</w:t>
            </w:r>
          </w:p>
          <w:p w14:paraId="5F83CBE7"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Entre os principais impactos possíveis, destacam-se:</w:t>
            </w:r>
          </w:p>
          <w:p w14:paraId="4903AFC9"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a) consumo de combustível e emissão de gases decorrentes do funcionamento das roçadeiras;</w:t>
            </w:r>
          </w:p>
          <w:p w14:paraId="762A5A2E"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b) geração de ruídos durante a execução;</w:t>
            </w:r>
          </w:p>
          <w:p w14:paraId="14A43B66"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c) geração de resíduos vegetais provenientes do corte da vegetação;</w:t>
            </w:r>
          </w:p>
          <w:p w14:paraId="16ECDE4B"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d) risco de derramamento de combustível, óleo ou lubrificantes;</w:t>
            </w:r>
          </w:p>
          <w:p w14:paraId="058B6427"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lastRenderedPageBreak/>
              <w:t>e) geração de embalagens, peças, fios de corte, equipamentos de proteção e materiais inutilizados;</w:t>
            </w:r>
          </w:p>
          <w:p w14:paraId="138CAECD"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f) projeção de pedras, galhos e outros materiais;</w:t>
            </w:r>
          </w:p>
          <w:p w14:paraId="76FF93B3"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g) danos acidentais a árvores, mudas, jardins, cercas, redes de infraestrutura ou equipamentos públicos;</w:t>
            </w:r>
          </w:p>
          <w:p w14:paraId="2D5B77D2"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h) perturbação de pequenos animais eventualmente presentes nas áreas;</w:t>
            </w:r>
          </w:p>
          <w:p w14:paraId="776E05E9"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i) exposição excessiva do solo quando a vegetação for cortada abaixo do padrão adequado.</w:t>
            </w:r>
          </w:p>
          <w:p w14:paraId="53DCD4B6"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Para prevenir ou reduzir esses impactos, a credenciada deverá:</w:t>
            </w:r>
          </w:p>
          <w:p w14:paraId="7BE04D2E"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a) utilizar equipamentos em adequadas condições de funcionamento e conservação, com manutenção periódica, de forma a reduzir emissões, ruídos excessivos e vazamentos;</w:t>
            </w:r>
          </w:p>
          <w:p w14:paraId="32122462"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b) realizar o abastecimento e o manuseio de combustível com cautela, evitando derramamentos e contaminação do solo;</w:t>
            </w:r>
          </w:p>
          <w:p w14:paraId="186F8A72"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c) manter combustíveis, óleos e demais produtos em recipientes apropriados e devidamente fechados;</w:t>
            </w:r>
          </w:p>
          <w:p w14:paraId="601D3360"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d) executar o corte em altura adequada, evitando a retirada excessiva da cobertura vegetal e a exposição desnecessária do solo;</w:t>
            </w:r>
          </w:p>
          <w:p w14:paraId="15D8E37E"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e) preservar árvores, mudas, jardins, vegetação ornamental e demais elementos que não integrem a área autorizada para roçada;</w:t>
            </w:r>
          </w:p>
          <w:p w14:paraId="4DCD5409"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f) interromper ou adequar a execução quando constatada a presença de ninhos, animais ou outras situações que exijam proteção específica;</w:t>
            </w:r>
          </w:p>
          <w:p w14:paraId="6639E57E"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g) adotar medidas para evitar a projeção de materiais, especialmente nas proximidades de pessoas, veículos, imóveis, vias e equipamentos públicos;</w:t>
            </w:r>
          </w:p>
          <w:p w14:paraId="0D5116E5"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h) observar horários compatíveis com o funcionamento das instituições e com a redução de incômodos decorrentes do ruído;</w:t>
            </w:r>
          </w:p>
          <w:p w14:paraId="56E7FB5F" w14:textId="63A6B4E7" w:rsidR="00562D71" w:rsidRPr="00BE711E" w:rsidRDefault="00BE711E" w:rsidP="00981221">
            <w:pPr>
              <w:tabs>
                <w:tab w:val="left" w:pos="3207"/>
              </w:tabs>
              <w:spacing w:after="0"/>
              <w:ind w:firstLine="596"/>
              <w:rPr>
                <w:rFonts w:ascii="Times New Roman" w:hAnsi="Times New Roman" w:cs="Times New Roman"/>
                <w:sz w:val="20"/>
                <w:szCs w:val="20"/>
              </w:rPr>
            </w:pPr>
            <w:r>
              <w:rPr>
                <w:rFonts w:ascii="Times New Roman" w:hAnsi="Times New Roman" w:cs="Times New Roman"/>
                <w:sz w:val="20"/>
                <w:szCs w:val="20"/>
              </w:rPr>
              <w:t>i</w:t>
            </w:r>
            <w:r w:rsidR="00562D71" w:rsidRPr="00BE711E">
              <w:rPr>
                <w:rFonts w:ascii="Times New Roman" w:hAnsi="Times New Roman" w:cs="Times New Roman"/>
                <w:sz w:val="20"/>
                <w:szCs w:val="20"/>
              </w:rPr>
              <w:t>) não realizar queima de resíduos vegetais ou de outros materiais;</w:t>
            </w:r>
          </w:p>
          <w:p w14:paraId="406E8AEF" w14:textId="24C5288C" w:rsidR="00562D71" w:rsidRPr="00BE711E" w:rsidRDefault="00BE711E" w:rsidP="00981221">
            <w:pPr>
              <w:tabs>
                <w:tab w:val="left" w:pos="3207"/>
              </w:tabs>
              <w:spacing w:after="0"/>
              <w:ind w:firstLine="596"/>
              <w:rPr>
                <w:rFonts w:ascii="Times New Roman" w:hAnsi="Times New Roman" w:cs="Times New Roman"/>
                <w:sz w:val="20"/>
                <w:szCs w:val="20"/>
              </w:rPr>
            </w:pPr>
            <w:r>
              <w:rPr>
                <w:rFonts w:ascii="Times New Roman" w:hAnsi="Times New Roman" w:cs="Times New Roman"/>
                <w:sz w:val="20"/>
                <w:szCs w:val="20"/>
              </w:rPr>
              <w:t>j</w:t>
            </w:r>
            <w:r w:rsidR="00562D71" w:rsidRPr="00BE711E">
              <w:rPr>
                <w:rFonts w:ascii="Times New Roman" w:hAnsi="Times New Roman" w:cs="Times New Roman"/>
                <w:sz w:val="20"/>
                <w:szCs w:val="20"/>
              </w:rPr>
              <w:t>) não utilizar herbicidas ou produtos químicos para controle da vegetação, salvo em procedimento específico, previamente autorizado e não integrante deste objeto;</w:t>
            </w:r>
          </w:p>
          <w:p w14:paraId="1009AD05" w14:textId="77777777" w:rsidR="00981221" w:rsidRDefault="00BE711E" w:rsidP="00981221">
            <w:pPr>
              <w:tabs>
                <w:tab w:val="left" w:pos="3207"/>
              </w:tabs>
              <w:spacing w:after="0"/>
              <w:ind w:firstLine="596"/>
              <w:rPr>
                <w:rFonts w:ascii="Times New Roman" w:hAnsi="Times New Roman" w:cs="Times New Roman"/>
                <w:sz w:val="20"/>
                <w:szCs w:val="20"/>
              </w:rPr>
            </w:pPr>
            <w:r>
              <w:rPr>
                <w:rFonts w:ascii="Times New Roman" w:hAnsi="Times New Roman" w:cs="Times New Roman"/>
                <w:sz w:val="20"/>
                <w:szCs w:val="20"/>
              </w:rPr>
              <w:t>k</w:t>
            </w:r>
            <w:r w:rsidR="00562D71" w:rsidRPr="00BE711E">
              <w:rPr>
                <w:rFonts w:ascii="Times New Roman" w:hAnsi="Times New Roman" w:cs="Times New Roman"/>
                <w:sz w:val="20"/>
                <w:szCs w:val="20"/>
              </w:rPr>
              <w:t>) encaminhar embalagens contaminadas, óleos, lubrificantes, peças, componentes e demais materiais sujeitos à logística reversa ou destinação especial aos respectivos sistemas de coleta ou locais ambientalmente adequados;</w:t>
            </w:r>
          </w:p>
          <w:p w14:paraId="73C04C48" w14:textId="77EB1175" w:rsidR="00562D71" w:rsidRPr="00BE711E" w:rsidRDefault="00BE711E" w:rsidP="00981221">
            <w:pPr>
              <w:tabs>
                <w:tab w:val="left" w:pos="3207"/>
              </w:tabs>
              <w:spacing w:after="0"/>
              <w:ind w:firstLine="596"/>
              <w:rPr>
                <w:rFonts w:ascii="Times New Roman" w:hAnsi="Times New Roman" w:cs="Times New Roman"/>
                <w:sz w:val="20"/>
                <w:szCs w:val="20"/>
              </w:rPr>
            </w:pPr>
            <w:r>
              <w:rPr>
                <w:rFonts w:ascii="Times New Roman" w:hAnsi="Times New Roman" w:cs="Times New Roman"/>
                <w:sz w:val="20"/>
                <w:szCs w:val="20"/>
              </w:rPr>
              <w:t>l</w:t>
            </w:r>
            <w:r w:rsidR="00562D71" w:rsidRPr="00BE711E">
              <w:rPr>
                <w:rFonts w:ascii="Times New Roman" w:hAnsi="Times New Roman" w:cs="Times New Roman"/>
                <w:sz w:val="20"/>
                <w:szCs w:val="20"/>
              </w:rPr>
              <w:t>) manter o local limpo após a execução, sem abandono de embalagens, fios de corte, peças ou outros resíduos decorrentes da atividade.</w:t>
            </w:r>
          </w:p>
          <w:p w14:paraId="0700FE20" w14:textId="41D075A8"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 xml:space="preserve">Os resíduos vegetais poderão permanecer no local </w:t>
            </w:r>
            <w:r w:rsidR="00BE711E">
              <w:rPr>
                <w:rFonts w:ascii="Times New Roman" w:hAnsi="Times New Roman" w:cs="Times New Roman"/>
                <w:sz w:val="20"/>
                <w:szCs w:val="20"/>
              </w:rPr>
              <w:t xml:space="preserve">sem </w:t>
            </w:r>
            <w:r w:rsidRPr="00BE711E">
              <w:rPr>
                <w:rFonts w:ascii="Times New Roman" w:hAnsi="Times New Roman" w:cs="Times New Roman"/>
                <w:sz w:val="20"/>
                <w:szCs w:val="20"/>
              </w:rPr>
              <w:t>comprometer a circulação, a drenagem, a segurança, a limpeza ou a utilização da área. Quando exigido o recolhimento, a destinação deverá ocorrer no local indicado pelo Município ou em outro espaço ambientalmente adequado.</w:t>
            </w:r>
          </w:p>
          <w:p w14:paraId="441DC471"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A fiscalização poderá determinar a interrupção dos serviços quando forem constatados riscos de dano ambiental, derramamento de combustível, utilização inadequada dos equipamentos, corte de vegetação não autorizada ou descumprimento das medidas de proteção estabelecidas.</w:t>
            </w:r>
          </w:p>
          <w:p w14:paraId="0EF7C8B5" w14:textId="77777777" w:rsidR="00562D71"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Não se identifica necessidade de licenciamento ambiental específico para a simples execução de roçada de vegetação rasteira nas áreas públicas abrangidas. Permanecem excluídos do objeto a supressão de árvores, a intervenção em vegetação protegida, o uso de produtos químicos e quaisquer atividades sujeitas a autorização ou licenciamento próprios.</w:t>
            </w:r>
          </w:p>
          <w:p w14:paraId="061FD28D" w14:textId="478F4990" w:rsidR="00553289" w:rsidRPr="00BE711E" w:rsidRDefault="00562D71" w:rsidP="00981221">
            <w:pPr>
              <w:tabs>
                <w:tab w:val="left" w:pos="3207"/>
              </w:tabs>
              <w:spacing w:after="0"/>
              <w:ind w:firstLine="596"/>
              <w:rPr>
                <w:rFonts w:ascii="Times New Roman" w:hAnsi="Times New Roman" w:cs="Times New Roman"/>
                <w:sz w:val="20"/>
                <w:szCs w:val="20"/>
              </w:rPr>
            </w:pPr>
            <w:r w:rsidRPr="00BE711E">
              <w:rPr>
                <w:rFonts w:ascii="Times New Roman" w:hAnsi="Times New Roman" w:cs="Times New Roman"/>
                <w:sz w:val="20"/>
                <w:szCs w:val="20"/>
              </w:rPr>
              <w:t>Conclui-se que os impactos ambientais relacionados à contratação são previsíveis e controláveis mediante manutenção adequada dos equipamentos, uso racional de combustível, proteção da vegetação não abrangida, correto manejo dos resíduos e adoção das medidas ordinárias de prevenção e segurança ambiental.</w:t>
            </w:r>
          </w:p>
        </w:tc>
      </w:tr>
    </w:tbl>
    <w:p w14:paraId="74D04324" w14:textId="77777777" w:rsidR="008F76F3" w:rsidRPr="00BE711E" w:rsidRDefault="008F76F3" w:rsidP="00981221">
      <w:pPr>
        <w:spacing w:after="0"/>
        <w:rPr>
          <w:rFonts w:ascii="Times New Roman" w:eastAsia="Times New Roman" w:hAnsi="Times New Roman" w:cs="Times New Roman"/>
          <w:color w:val="000000"/>
          <w:sz w:val="20"/>
          <w:szCs w:val="20"/>
          <w:lang w:eastAsia="pt-BR"/>
        </w:rPr>
      </w:pPr>
    </w:p>
    <w:tbl>
      <w:tblPr>
        <w:tblStyle w:val="Tabelacomgrade"/>
        <w:tblW w:w="9067" w:type="dxa"/>
        <w:tblLook w:val="04A0" w:firstRow="1" w:lastRow="0" w:firstColumn="1" w:lastColumn="0" w:noHBand="0" w:noVBand="1"/>
      </w:tblPr>
      <w:tblGrid>
        <w:gridCol w:w="9067"/>
      </w:tblGrid>
      <w:tr w:rsidR="008F76F3" w:rsidRPr="00BE711E" w14:paraId="1DAC76C7" w14:textId="77777777" w:rsidTr="008B3682">
        <w:tc>
          <w:tcPr>
            <w:tcW w:w="9067" w:type="dxa"/>
          </w:tcPr>
          <w:p w14:paraId="74ACA114" w14:textId="7870810E" w:rsidR="008F76F3" w:rsidRPr="00BE711E" w:rsidRDefault="008F76F3" w:rsidP="00981221">
            <w:pPr>
              <w:spacing w:after="0"/>
              <w:ind w:firstLine="0"/>
              <w:rPr>
                <w:rFonts w:ascii="Times New Roman" w:hAnsi="Times New Roman" w:cs="Times New Roman"/>
                <w:b/>
                <w:sz w:val="20"/>
                <w:szCs w:val="20"/>
              </w:rPr>
            </w:pPr>
            <w:r w:rsidRPr="00BE711E">
              <w:rPr>
                <w:rFonts w:ascii="Times New Roman" w:eastAsia="Times New Roman" w:hAnsi="Times New Roman" w:cs="Times New Roman"/>
                <w:b/>
                <w:bCs/>
                <w:color w:val="000000"/>
                <w:sz w:val="20"/>
                <w:szCs w:val="20"/>
                <w:lang w:eastAsia="pt-BR"/>
              </w:rPr>
              <w:t>1</w:t>
            </w:r>
            <w:r w:rsidR="009611FE" w:rsidRPr="00BE711E">
              <w:rPr>
                <w:rFonts w:ascii="Times New Roman" w:eastAsia="Times New Roman" w:hAnsi="Times New Roman" w:cs="Times New Roman"/>
                <w:b/>
                <w:bCs/>
                <w:color w:val="000000"/>
                <w:sz w:val="20"/>
                <w:szCs w:val="20"/>
                <w:lang w:eastAsia="pt-BR"/>
              </w:rPr>
              <w:t>4</w:t>
            </w:r>
            <w:r w:rsidRPr="00BE711E">
              <w:rPr>
                <w:rFonts w:ascii="Times New Roman" w:eastAsia="Times New Roman" w:hAnsi="Times New Roman" w:cs="Times New Roman"/>
                <w:b/>
                <w:bCs/>
                <w:color w:val="000000"/>
                <w:sz w:val="20"/>
                <w:szCs w:val="20"/>
                <w:lang w:eastAsia="pt-BR"/>
              </w:rPr>
              <w:t xml:space="preserve"> – VIABILIDADE DA CONTRATAÇÃO</w:t>
            </w:r>
            <w:r w:rsidR="00FC4923" w:rsidRPr="00BE711E">
              <w:rPr>
                <w:rFonts w:ascii="Times New Roman" w:eastAsia="Times New Roman" w:hAnsi="Times New Roman" w:cs="Times New Roman"/>
                <w:b/>
                <w:bCs/>
                <w:color w:val="000000"/>
                <w:sz w:val="20"/>
                <w:szCs w:val="20"/>
                <w:lang w:eastAsia="pt-BR"/>
              </w:rPr>
              <w:t>:</w:t>
            </w:r>
          </w:p>
        </w:tc>
      </w:tr>
      <w:tr w:rsidR="008F76F3" w:rsidRPr="00BE711E" w14:paraId="72CA4F45" w14:textId="77777777" w:rsidTr="008B3682">
        <w:tc>
          <w:tcPr>
            <w:tcW w:w="9067" w:type="dxa"/>
            <w:shd w:val="clear" w:color="auto" w:fill="F2F2F2" w:themeFill="background1" w:themeFillShade="F2"/>
          </w:tcPr>
          <w:p w14:paraId="7C55632A" w14:textId="77777777" w:rsidR="008F76F3" w:rsidRPr="00BE711E" w:rsidRDefault="008F76F3" w:rsidP="00981221">
            <w:pPr>
              <w:spacing w:after="0"/>
              <w:ind w:firstLine="0"/>
              <w:rPr>
                <w:rFonts w:ascii="Times New Roman" w:eastAsia="Times New Roman" w:hAnsi="Times New Roman" w:cs="Times New Roman"/>
                <w:color w:val="000000"/>
                <w:sz w:val="20"/>
                <w:szCs w:val="20"/>
                <w:lang w:eastAsia="pt-BR"/>
              </w:rPr>
            </w:pPr>
            <w:r w:rsidRPr="00BE711E">
              <w:rPr>
                <w:rFonts w:ascii="Times New Roman" w:eastAsia="Times New Roman" w:hAnsi="Times New Roman" w:cs="Times New Roman"/>
                <w:bCs/>
                <w:color w:val="000000"/>
                <w:sz w:val="20"/>
                <w:szCs w:val="20"/>
                <w:lang w:eastAsia="pt-BR"/>
              </w:rPr>
              <w:t xml:space="preserve">Fundamentação: </w:t>
            </w:r>
            <w:r w:rsidRPr="00BE711E">
              <w:rPr>
                <w:rFonts w:ascii="Times New Roman" w:hAnsi="Times New Roman" w:cs="Times New Roman"/>
                <w:sz w:val="20"/>
                <w:szCs w:val="20"/>
              </w:rPr>
              <w:t>Posicionamento conclusivo sobre a adequação da contratação para o atendimento da necessidade a que se destina</w:t>
            </w:r>
            <w:r w:rsidRPr="00BE711E">
              <w:rPr>
                <w:rFonts w:ascii="Times New Roman" w:eastAsia="Times New Roman" w:hAnsi="Times New Roman" w:cs="Times New Roman"/>
                <w:color w:val="000000"/>
                <w:sz w:val="20"/>
                <w:szCs w:val="20"/>
                <w:lang w:eastAsia="pt-BR"/>
              </w:rPr>
              <w:t xml:space="preserve"> (inciso XIII do § 1° do art. 18 da Lei 14.133/21); </w:t>
            </w:r>
          </w:p>
        </w:tc>
      </w:tr>
      <w:tr w:rsidR="008F76F3" w:rsidRPr="00BE711E" w14:paraId="56CC54A4" w14:textId="77777777" w:rsidTr="008B3682">
        <w:tc>
          <w:tcPr>
            <w:tcW w:w="9067" w:type="dxa"/>
          </w:tcPr>
          <w:p w14:paraId="05293B64"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análise consolidada desenvolvida neste Estudo Técnico Preliminar demonstra que a contratação pretendida constitui medida necessária, adequada e proporcional para assegurar a execução regular dos serviços de roçada nas áreas públicas do Município de Paverama.</w:t>
            </w:r>
          </w:p>
          <w:p w14:paraId="1430CA5B"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O estudo contemplou a identificação da necessidade administrativa, a insuficiência do quadro próprio de servidores, o histórico da prestação anteriormente realizada por credenciamento, a situação transitória de pagamentos diretos, a avaliação das alternativas disponíveis, a definição dos requisitos técnicos e operacionais, a estimativa das quantidades e dos valores, os impactos ambientais e as providências necessárias à formalização e à fiscalização da contratação.</w:t>
            </w:r>
          </w:p>
          <w:p w14:paraId="714638AE"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Restou evidenciado que a manutenção periódica da vegetação em escolas, praças, canteiros, entornos de prédios públicos e demais áreas municipais é indispensável à preservação das condições de limpeza, salubridade, segurança, acessibilidade e adequada utilização desses espaços.</w:t>
            </w:r>
          </w:p>
          <w:p w14:paraId="54A052FF"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lastRenderedPageBreak/>
              <w:t>A ausência ou a execução irregular dos serviços pode ocasionar crescimento excessivo da vegetação, proliferação de insetos e animais peçonhentos, acúmulo de resíduos, comprometimento da visibilidade, dificuldades de circulação e deterioração das condições de uso e conservação das áreas públicas.</w:t>
            </w:r>
          </w:p>
          <w:p w14:paraId="0D342EF8"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O Município possui quadro reduzido de servidores destinados às atividades de manutenção e conservação, os quais também executam outras atribuições essenciais. A utilização exclusiva da estrutura própria não se mostra suficiente para atender, com a frequência e a abrangência necessárias, à demanda estimada, especialmente nos períodos de maior crescimento da vegetação.</w:t>
            </w:r>
          </w:p>
          <w:p w14:paraId="1B9F9B52"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ampliação imediata da estrutura municipal exigiria aumento das despesas permanentes com pessoal, aquisição de equipamentos, veículos, combustível, ferramentas, manutenção e equipamentos de proteção, independentemente da efetiva demanda ao longo do exercício. Essa alternativa não apresenta, no momento, a mesma flexibilidade e racionalidade econômica da contratação por demanda.</w:t>
            </w:r>
          </w:p>
          <w:p w14:paraId="57BFCD1A"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Também foi analisada a contratação de um único prestador mediante procedimento competitivo. Embora juridicamente possível, essa solução aumentaria a dependência de uma única empresa e o risco de descontinuidade em caso de indisponibilidade, falha de equipamentos, atraso ou insuficiência de capacidade para atender simultaneamente áreas distribuídas pelo território municipal.</w:t>
            </w:r>
          </w:p>
          <w:p w14:paraId="5FD1362E"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Após a análise comparativa das alternativas, concluiu-se que o Chamamento Público para Credenciamento, sob o regime de contratação paralela e não excludente, apresenta maior aderência às características da demanda municipal.</w:t>
            </w:r>
          </w:p>
          <w:p w14:paraId="5D6EF32E"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Esse modelo permite:</w:t>
            </w:r>
          </w:p>
          <w:p w14:paraId="75EE16E3"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o credenciamento de todos os interessados que cumpram os requisitos estabelecidos;</w:t>
            </w:r>
          </w:p>
          <w:p w14:paraId="3BBB85FE"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b) o ingresso de novos prestadores durante a vigência do edital;</w:t>
            </w:r>
          </w:p>
          <w:p w14:paraId="1CF801E0"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c) a redução da dependência de uma única empresa;</w:t>
            </w:r>
          </w:p>
          <w:p w14:paraId="709B0D94"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d) a execução simultânea em diferentes áreas, quando necessária;</w:t>
            </w:r>
          </w:p>
          <w:p w14:paraId="43C15811"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e) a distribuição objetiva e impessoal das Ordens de Serviço;</w:t>
            </w:r>
          </w:p>
          <w:p w14:paraId="517B7208"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f) a adaptação da execução às variações climáticas, sazonais e operacionais;</w:t>
            </w:r>
          </w:p>
          <w:p w14:paraId="2EA6E022"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g) o pagamento exclusivamente pela metragem previamente autorizada, efetivamente executada, medida e atestada;</w:t>
            </w:r>
          </w:p>
          <w:p w14:paraId="0A226A92"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h) a ausência de garantia de quantitativo mínimo, exclusividade ou faturamento aos credenciados;</w:t>
            </w:r>
          </w:p>
          <w:p w14:paraId="0A7FA82F"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i) a ampliação da capacidade operacional sem criação imediata de estrutura permanente pelo Município.</w:t>
            </w:r>
          </w:p>
          <w:p w14:paraId="3343B23A"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 xml:space="preserve">A solução encontra fundamento nos </w:t>
            </w:r>
            <w:proofErr w:type="spellStart"/>
            <w:r w:rsidRPr="00BE711E">
              <w:rPr>
                <w:rFonts w:ascii="Times New Roman" w:hAnsi="Times New Roman" w:cs="Times New Roman"/>
                <w:sz w:val="20"/>
                <w:szCs w:val="20"/>
              </w:rPr>
              <w:t>arts</w:t>
            </w:r>
            <w:proofErr w:type="spellEnd"/>
            <w:r w:rsidRPr="00BE711E">
              <w:rPr>
                <w:rFonts w:ascii="Times New Roman" w:hAnsi="Times New Roman" w:cs="Times New Roman"/>
                <w:sz w:val="20"/>
                <w:szCs w:val="20"/>
              </w:rPr>
              <w:t>. 74, inciso IV, e 79, inciso I, da Lei Federal nº 14.133/2021 e no Decreto Municipal nº 1.178/2022, que disciplina o credenciamento e a contratação paralela e não excludente no âmbito municipal.</w:t>
            </w:r>
          </w:p>
          <w:p w14:paraId="2983492F" w14:textId="060401F8"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 xml:space="preserve">A estimativa de </w:t>
            </w:r>
            <w:r w:rsidRPr="00E55F68">
              <w:rPr>
                <w:rFonts w:ascii="Times New Roman" w:hAnsi="Times New Roman" w:cs="Times New Roman"/>
                <w:color w:val="000000" w:themeColor="text1"/>
                <w:sz w:val="20"/>
                <w:szCs w:val="20"/>
              </w:rPr>
              <w:t xml:space="preserve">até </w:t>
            </w:r>
            <w:r w:rsidR="00E55F68" w:rsidRPr="00E55F68">
              <w:rPr>
                <w:rFonts w:ascii="Times New Roman" w:hAnsi="Times New Roman" w:cs="Times New Roman"/>
                <w:iCs/>
                <w:color w:val="000000" w:themeColor="text1"/>
                <w:sz w:val="20"/>
                <w:szCs w:val="20"/>
              </w:rPr>
              <w:t xml:space="preserve">15.316 m² </w:t>
            </w:r>
            <w:r w:rsidRPr="00E55F68">
              <w:rPr>
                <w:rFonts w:ascii="Times New Roman" w:hAnsi="Times New Roman" w:cs="Times New Roman"/>
                <w:color w:val="000000" w:themeColor="text1"/>
                <w:sz w:val="20"/>
                <w:szCs w:val="20"/>
              </w:rPr>
              <w:t xml:space="preserve">por ciclo, correspondente a até </w:t>
            </w:r>
            <w:r w:rsidR="00E55F68" w:rsidRPr="00E55F68">
              <w:rPr>
                <w:rFonts w:ascii="Times New Roman" w:hAnsi="Times New Roman" w:cs="Times New Roman"/>
                <w:iCs/>
                <w:color w:val="000000" w:themeColor="text1"/>
                <w:sz w:val="20"/>
                <w:szCs w:val="20"/>
              </w:rPr>
              <w:t xml:space="preserve">183.792 m² </w:t>
            </w:r>
            <w:r w:rsidRPr="00BE711E">
              <w:rPr>
                <w:rFonts w:ascii="Times New Roman" w:hAnsi="Times New Roman" w:cs="Times New Roman"/>
                <w:sz w:val="20"/>
                <w:szCs w:val="20"/>
              </w:rPr>
              <w:t>durante o período de 12 meses, mostra-se compatível com o levantamento das áreas municipais e com a frequência provável das intervenções. O quantitativo possui natureza referencial e não representa obrigação de utilização integral.</w:t>
            </w:r>
          </w:p>
          <w:p w14:paraId="2B150176" w14:textId="77777777" w:rsidR="009B4C26" w:rsidRDefault="009B4C26" w:rsidP="00981221">
            <w:pPr>
              <w:spacing w:after="0"/>
              <w:ind w:firstLine="454"/>
              <w:rPr>
                <w:rFonts w:ascii="Times New Roman" w:hAnsi="Times New Roman" w:cs="Times New Roman"/>
                <w:sz w:val="20"/>
                <w:szCs w:val="20"/>
              </w:rPr>
            </w:pPr>
            <w:r w:rsidRPr="009B4C26">
              <w:rPr>
                <w:rFonts w:ascii="Times New Roman" w:hAnsi="Times New Roman" w:cs="Times New Roman"/>
                <w:sz w:val="20"/>
                <w:szCs w:val="20"/>
              </w:rPr>
              <w:t>Adotou-se o valor unitário de R$ 0,34 por metro quadrado, identificado em contratação pública de objeto compatível e na pesquisa direta realizada com o atual prestador de serviço. Considerando a estimativa de até 183.792 m² para o período de 12 meses, o valor global estimado da contratação corresponde a R$ 62.489,28.</w:t>
            </w:r>
          </w:p>
          <w:p w14:paraId="73B07646" w14:textId="3B118B2D"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remuneração por metro quadrado efetivamente executado assegura correspondência direta entre a despesa pública e o serviço entregue, evita custos fixos associados à capacidade ociosa e permite melhor controle orçamentário, administrativo e operacional.</w:t>
            </w:r>
          </w:p>
          <w:p w14:paraId="147BF7E5"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manutenção do objeto em item único mostra-se tecnicamente adequada, por se tratar de serviço homogêneo, executado com roçadeira manual e remunerado segundo a mesma unidade de medida. A ausência de divisão em lotes não ocasiona concentração da execução, pois o credenciamento permitirá a contratação paralela de múltiplos prestadores.</w:t>
            </w:r>
          </w:p>
          <w:p w14:paraId="5D90861B"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contratação encontra-se prevista no Plano de Contratações Anual de 2026 e apresenta compatibilidade com os instrumentos de planejamento e com a programação orçamentária municipal. Não foram identificadas contratações interdependentes cuja ausência impeça a implantação da solução.</w:t>
            </w:r>
          </w:p>
          <w:p w14:paraId="16E48B03"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Os impactos ambientais relacionados à atividade são previsíveis e controláveis mediante manutenção adequada dos equipamentos, prevenção de vazamentos, manejo correto dos resíduos vegetais, preservação da vegetação não abrangida e adoção das medidas de segurança necessárias.</w:t>
            </w:r>
          </w:p>
          <w:p w14:paraId="4DD6A3BE"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Também foram definidas providências prévias suficientes para assegurar a regularidade do procedimento, incluindo a conclusão do Termo de Referência, a consolidação da pesquisa de preços, a confirmação da disponibilidade orçamentária, a elaboração do edital e do Termo de Credenciamento, a análise jurídica, a designação dos agentes responsáveis e a padronização dos procedimentos de convocação, medição, fiscalização e pagamento.</w:t>
            </w:r>
          </w:p>
          <w:p w14:paraId="4A9BC794"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Diante do conjunto das análises realizadas, conclui-se que a contratação pretendida:</w:t>
            </w:r>
          </w:p>
          <w:p w14:paraId="3BC277B8"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a) atende adequadamente à necessidade pública identificada;</w:t>
            </w:r>
          </w:p>
          <w:p w14:paraId="3E8E4013"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lastRenderedPageBreak/>
              <w:t>b) apresenta compatibilidade com a estrutura e a capacidade administrativa do Município;</w:t>
            </w:r>
          </w:p>
          <w:p w14:paraId="28196A9C"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c) complementa a capacidade operacional das equipes próprias;</w:t>
            </w:r>
          </w:p>
          <w:p w14:paraId="2ADCD921"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d) mostra-se economicamente racional diante da natureza variável e sazonal da demanda;</w:t>
            </w:r>
          </w:p>
          <w:p w14:paraId="2C5E5959"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e) reduz o risco de descontinuidade dos serviços;</w:t>
            </w:r>
          </w:p>
          <w:p w14:paraId="3A3DC924"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f) permite a atuação paralela de múltiplos prestadores;</w:t>
            </w:r>
          </w:p>
          <w:p w14:paraId="75091EBF"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g) assegura controle sobre a autorização, a medição e o pagamento;</w:t>
            </w:r>
          </w:p>
          <w:p w14:paraId="27AC494B" w14:textId="77777777" w:rsidR="00562D71"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h) encontra respaldo na Lei Federal nº 14.133/2021 e no Decreto Municipal nº 1.178/2022.</w:t>
            </w:r>
          </w:p>
          <w:p w14:paraId="56500493" w14:textId="54CF5063" w:rsidR="008F76F3" w:rsidRPr="00BE711E" w:rsidRDefault="00562D71" w:rsidP="00981221">
            <w:pPr>
              <w:spacing w:after="0"/>
              <w:ind w:firstLine="454"/>
              <w:rPr>
                <w:rFonts w:ascii="Times New Roman" w:hAnsi="Times New Roman" w:cs="Times New Roman"/>
                <w:sz w:val="20"/>
                <w:szCs w:val="20"/>
              </w:rPr>
            </w:pPr>
            <w:r w:rsidRPr="00BE711E">
              <w:rPr>
                <w:rFonts w:ascii="Times New Roman" w:hAnsi="Times New Roman" w:cs="Times New Roman"/>
                <w:sz w:val="20"/>
                <w:szCs w:val="20"/>
              </w:rPr>
              <w:t>Declara-se, portanto, a viabilidade técnica, operacional, econômica, administrativa e jurídica da contratação de pessoas jurídicas para a prestação de serviços de roçadas em geral, com roçadeira manual, incluindo mão de obra, combustível e demais insumos necessários, mediante Chamamento Público para Credenciamento, nos termos e condições definidos neste Estudo Técnico Preliminar.</w:t>
            </w:r>
          </w:p>
        </w:tc>
      </w:tr>
    </w:tbl>
    <w:p w14:paraId="0D9DE615" w14:textId="77777777" w:rsidR="007E6ACA" w:rsidRPr="00BE711E" w:rsidRDefault="007E6ACA" w:rsidP="00981221">
      <w:pPr>
        <w:ind w:firstLine="567"/>
        <w:rPr>
          <w:rFonts w:ascii="Times New Roman" w:hAnsi="Times New Roman" w:cs="Times New Roman"/>
          <w:bCs/>
          <w:sz w:val="20"/>
          <w:szCs w:val="20"/>
        </w:rPr>
      </w:pPr>
    </w:p>
    <w:p w14:paraId="592092EC" w14:textId="0CDB372D" w:rsidR="00402879" w:rsidRPr="00BE711E" w:rsidRDefault="009611FE" w:rsidP="00981221">
      <w:pPr>
        <w:ind w:firstLine="0"/>
        <w:rPr>
          <w:rFonts w:ascii="Times New Roman" w:hAnsi="Times New Roman" w:cs="Times New Roman"/>
          <w:b/>
          <w:sz w:val="20"/>
          <w:szCs w:val="20"/>
        </w:rPr>
      </w:pPr>
      <w:r w:rsidRPr="00BE711E">
        <w:rPr>
          <w:rFonts w:ascii="Times New Roman" w:hAnsi="Times New Roman" w:cs="Times New Roman"/>
          <w:b/>
          <w:sz w:val="20"/>
          <w:szCs w:val="20"/>
        </w:rPr>
        <w:t>RESPONSÁVE</w:t>
      </w:r>
      <w:r w:rsidR="00205FCE" w:rsidRPr="00BE711E">
        <w:rPr>
          <w:rFonts w:ascii="Times New Roman" w:hAnsi="Times New Roman" w:cs="Times New Roman"/>
          <w:b/>
          <w:sz w:val="20"/>
          <w:szCs w:val="20"/>
        </w:rPr>
        <w:t>L</w:t>
      </w:r>
      <w:r w:rsidRPr="00BE711E">
        <w:rPr>
          <w:rFonts w:ascii="Times New Roman" w:hAnsi="Times New Roman" w:cs="Times New Roman"/>
          <w:b/>
          <w:sz w:val="20"/>
          <w:szCs w:val="20"/>
        </w:rPr>
        <w:t xml:space="preserve"> PELA REDAÇÃO DO ETP: </w:t>
      </w:r>
    </w:p>
    <w:p w14:paraId="1253995B" w14:textId="61266216" w:rsidR="004A579F" w:rsidRPr="00BE711E" w:rsidRDefault="00205FCE" w:rsidP="00981221">
      <w:pPr>
        <w:spacing w:after="0"/>
        <w:ind w:firstLine="0"/>
        <w:rPr>
          <w:rFonts w:ascii="Times New Roman" w:hAnsi="Times New Roman" w:cs="Times New Roman"/>
          <w:sz w:val="20"/>
          <w:szCs w:val="20"/>
        </w:rPr>
      </w:pPr>
      <w:r w:rsidRPr="00BE711E">
        <w:rPr>
          <w:rFonts w:ascii="Times New Roman" w:hAnsi="Times New Roman" w:cs="Times New Roman"/>
          <w:sz w:val="20"/>
          <w:szCs w:val="20"/>
        </w:rPr>
        <w:t xml:space="preserve">Vanessa Becker de Vargas </w:t>
      </w:r>
      <w:r w:rsidR="00402879" w:rsidRPr="00BE711E">
        <w:rPr>
          <w:rFonts w:ascii="Times New Roman" w:hAnsi="Times New Roman" w:cs="Times New Roman"/>
          <w:sz w:val="20"/>
          <w:szCs w:val="20"/>
        </w:rPr>
        <w:t xml:space="preserve">– Chefe </w:t>
      </w:r>
      <w:r w:rsidRPr="00BE711E">
        <w:rPr>
          <w:rFonts w:ascii="Times New Roman" w:hAnsi="Times New Roman" w:cs="Times New Roman"/>
          <w:sz w:val="20"/>
          <w:szCs w:val="20"/>
        </w:rPr>
        <w:t>de Gabinete</w:t>
      </w:r>
      <w:r w:rsidR="00402879" w:rsidRPr="00BE711E">
        <w:rPr>
          <w:rFonts w:ascii="Times New Roman" w:hAnsi="Times New Roman" w:cs="Times New Roman"/>
          <w:sz w:val="20"/>
          <w:szCs w:val="20"/>
        </w:rPr>
        <w:t xml:space="preserve"> – </w:t>
      </w:r>
      <w:r w:rsidRPr="00BE711E">
        <w:rPr>
          <w:rFonts w:ascii="Times New Roman" w:hAnsi="Times New Roman" w:cs="Times New Roman"/>
          <w:sz w:val="20"/>
          <w:szCs w:val="20"/>
        </w:rPr>
        <w:t>Matrícula</w:t>
      </w:r>
      <w:r w:rsidR="00402879" w:rsidRPr="00BE711E">
        <w:rPr>
          <w:rFonts w:ascii="Times New Roman" w:hAnsi="Times New Roman" w:cs="Times New Roman"/>
          <w:sz w:val="20"/>
          <w:szCs w:val="20"/>
        </w:rPr>
        <w:t xml:space="preserve">: </w:t>
      </w:r>
      <w:r w:rsidRPr="00BE711E">
        <w:rPr>
          <w:rFonts w:ascii="Times New Roman" w:hAnsi="Times New Roman" w:cs="Times New Roman"/>
          <w:sz w:val="20"/>
          <w:szCs w:val="20"/>
        </w:rPr>
        <w:t>2030</w:t>
      </w:r>
    </w:p>
    <w:p w14:paraId="3605C0E1" w14:textId="77777777" w:rsidR="00402879" w:rsidRPr="00BE711E" w:rsidRDefault="00402879" w:rsidP="00981221">
      <w:pPr>
        <w:spacing w:after="0"/>
        <w:ind w:firstLine="0"/>
        <w:rPr>
          <w:rFonts w:ascii="Times New Roman" w:hAnsi="Times New Roman" w:cs="Times New Roman"/>
          <w:sz w:val="20"/>
          <w:szCs w:val="20"/>
        </w:rPr>
      </w:pPr>
    </w:p>
    <w:p w14:paraId="62931E1D" w14:textId="4B7D588A" w:rsidR="004A579F" w:rsidRPr="00BE711E" w:rsidRDefault="00117BBF" w:rsidP="00981221">
      <w:pPr>
        <w:spacing w:after="0"/>
        <w:jc w:val="center"/>
        <w:rPr>
          <w:rFonts w:ascii="Times New Roman" w:hAnsi="Times New Roman" w:cs="Times New Roman"/>
          <w:sz w:val="20"/>
          <w:szCs w:val="20"/>
        </w:rPr>
      </w:pPr>
      <w:r w:rsidRPr="00BE711E">
        <w:rPr>
          <w:rFonts w:ascii="Times New Roman" w:hAnsi="Times New Roman" w:cs="Times New Roman"/>
          <w:sz w:val="20"/>
          <w:szCs w:val="20"/>
        </w:rPr>
        <w:t>Paverama/RS</w:t>
      </w:r>
      <w:r w:rsidR="008F76F3" w:rsidRPr="00BE711E">
        <w:rPr>
          <w:rFonts w:ascii="Times New Roman" w:hAnsi="Times New Roman" w:cs="Times New Roman"/>
          <w:sz w:val="20"/>
          <w:szCs w:val="20"/>
        </w:rPr>
        <w:t xml:space="preserve">, </w:t>
      </w:r>
      <w:r w:rsidR="003752DD">
        <w:rPr>
          <w:rFonts w:ascii="Times New Roman" w:hAnsi="Times New Roman" w:cs="Times New Roman"/>
          <w:sz w:val="20"/>
          <w:szCs w:val="20"/>
        </w:rPr>
        <w:t>20</w:t>
      </w:r>
      <w:r w:rsidR="008F76F3" w:rsidRPr="00BE711E">
        <w:rPr>
          <w:rFonts w:ascii="Times New Roman" w:hAnsi="Times New Roman" w:cs="Times New Roman"/>
          <w:sz w:val="20"/>
          <w:szCs w:val="20"/>
        </w:rPr>
        <w:t xml:space="preserve"> de </w:t>
      </w:r>
      <w:r w:rsidR="00205FCE" w:rsidRPr="00BE711E">
        <w:rPr>
          <w:rFonts w:ascii="Times New Roman" w:hAnsi="Times New Roman" w:cs="Times New Roman"/>
          <w:sz w:val="20"/>
          <w:szCs w:val="20"/>
        </w:rPr>
        <w:t>julho</w:t>
      </w:r>
      <w:r w:rsidR="008F76F3" w:rsidRPr="00BE711E">
        <w:rPr>
          <w:rFonts w:ascii="Times New Roman" w:hAnsi="Times New Roman" w:cs="Times New Roman"/>
          <w:sz w:val="20"/>
          <w:szCs w:val="20"/>
        </w:rPr>
        <w:t xml:space="preserve"> de 202</w:t>
      </w:r>
      <w:r w:rsidR="00565F57" w:rsidRPr="00BE711E">
        <w:rPr>
          <w:rFonts w:ascii="Times New Roman" w:hAnsi="Times New Roman" w:cs="Times New Roman"/>
          <w:sz w:val="20"/>
          <w:szCs w:val="20"/>
        </w:rPr>
        <w:t>6</w:t>
      </w:r>
      <w:r w:rsidR="008F76F3" w:rsidRPr="00BE711E">
        <w:rPr>
          <w:rFonts w:ascii="Times New Roman" w:hAnsi="Times New Roman" w:cs="Times New Roman"/>
          <w:sz w:val="20"/>
          <w:szCs w:val="20"/>
        </w:rPr>
        <w:t>.</w:t>
      </w:r>
    </w:p>
    <w:p w14:paraId="5588EF92" w14:textId="736F0D91" w:rsidR="00205FCE" w:rsidRPr="00BE711E" w:rsidRDefault="00205FCE" w:rsidP="00981221">
      <w:pPr>
        <w:spacing w:after="0"/>
        <w:ind w:firstLine="0"/>
        <w:rPr>
          <w:rFonts w:ascii="Times New Roman" w:hAnsi="Times New Roman" w:cs="Times New Roman"/>
          <w:sz w:val="20"/>
          <w:szCs w:val="20"/>
        </w:rPr>
      </w:pPr>
    </w:p>
    <w:p w14:paraId="0CCB3BB4" w14:textId="77777777" w:rsidR="006352A6" w:rsidRDefault="006352A6" w:rsidP="00981221">
      <w:pPr>
        <w:spacing w:after="0"/>
        <w:ind w:firstLine="0"/>
        <w:rPr>
          <w:rFonts w:ascii="Times New Roman" w:hAnsi="Times New Roman" w:cs="Times New Roman"/>
          <w:sz w:val="20"/>
          <w:szCs w:val="20"/>
        </w:rPr>
      </w:pPr>
    </w:p>
    <w:p w14:paraId="6EF56E2C" w14:textId="77777777" w:rsidR="00903080" w:rsidRPr="00BE711E" w:rsidRDefault="00903080" w:rsidP="00981221">
      <w:pPr>
        <w:spacing w:after="0"/>
        <w:ind w:firstLine="0"/>
        <w:rPr>
          <w:rFonts w:ascii="Times New Roman" w:hAnsi="Times New Roman" w:cs="Times New Roman"/>
          <w:sz w:val="20"/>
          <w:szCs w:val="20"/>
        </w:rPr>
      </w:pPr>
    </w:p>
    <w:p w14:paraId="6F995862" w14:textId="77777777" w:rsidR="006352A6" w:rsidRPr="00BE711E" w:rsidRDefault="006352A6" w:rsidP="00981221">
      <w:pPr>
        <w:spacing w:after="0"/>
        <w:ind w:firstLine="0"/>
        <w:rPr>
          <w:rFonts w:ascii="Times New Roman" w:hAnsi="Times New Roman" w:cs="Times New Roman"/>
          <w:sz w:val="20"/>
          <w:szCs w:val="20"/>
        </w:rPr>
      </w:pPr>
    </w:p>
    <w:p w14:paraId="2CABA8A3" w14:textId="5E8A23FC" w:rsidR="00205FCE" w:rsidRPr="00BE711E" w:rsidRDefault="00205FCE" w:rsidP="00981221">
      <w:pPr>
        <w:spacing w:after="0"/>
        <w:ind w:firstLine="0"/>
        <w:jc w:val="center"/>
        <w:rPr>
          <w:rFonts w:ascii="Times New Roman" w:hAnsi="Times New Roman" w:cs="Times New Roman"/>
          <w:b/>
          <w:bCs/>
          <w:sz w:val="20"/>
          <w:szCs w:val="20"/>
        </w:rPr>
      </w:pPr>
      <w:r w:rsidRPr="00BE711E">
        <w:rPr>
          <w:rFonts w:ascii="Times New Roman" w:hAnsi="Times New Roman" w:cs="Times New Roman"/>
          <w:b/>
          <w:bCs/>
          <w:sz w:val="20"/>
          <w:szCs w:val="20"/>
        </w:rPr>
        <w:t>VANESSA BECKER DE VARGAS</w:t>
      </w:r>
    </w:p>
    <w:p w14:paraId="19C4706C" w14:textId="1D8265D6" w:rsidR="009611FE" w:rsidRPr="00BE711E" w:rsidRDefault="00205FCE" w:rsidP="00981221">
      <w:pPr>
        <w:spacing w:after="0"/>
        <w:ind w:firstLine="0"/>
        <w:jc w:val="center"/>
        <w:rPr>
          <w:rFonts w:ascii="Times New Roman" w:hAnsi="Times New Roman" w:cs="Times New Roman"/>
          <w:b/>
          <w:bCs/>
          <w:sz w:val="20"/>
          <w:szCs w:val="20"/>
        </w:rPr>
      </w:pPr>
      <w:r w:rsidRPr="00BE711E">
        <w:rPr>
          <w:rFonts w:ascii="Times New Roman" w:hAnsi="Times New Roman" w:cs="Times New Roman"/>
          <w:b/>
          <w:bCs/>
          <w:sz w:val="20"/>
          <w:szCs w:val="20"/>
        </w:rPr>
        <w:t>Chefe de Gabinete</w:t>
      </w:r>
    </w:p>
    <w:p w14:paraId="48B916FC" w14:textId="77777777" w:rsidR="00205FCE" w:rsidRPr="00BE711E" w:rsidRDefault="00205FCE" w:rsidP="003752DD">
      <w:pPr>
        <w:ind w:firstLine="0"/>
        <w:rPr>
          <w:rFonts w:ascii="Times New Roman" w:hAnsi="Times New Roman" w:cs="Times New Roman"/>
          <w:b/>
          <w:sz w:val="20"/>
          <w:szCs w:val="20"/>
        </w:rPr>
      </w:pPr>
    </w:p>
    <w:p w14:paraId="0A7647E4" w14:textId="1DAEB752" w:rsidR="00565F57" w:rsidRPr="00BE711E" w:rsidRDefault="009611FE" w:rsidP="00981221">
      <w:pPr>
        <w:ind w:firstLine="567"/>
        <w:rPr>
          <w:rFonts w:ascii="Times New Roman" w:hAnsi="Times New Roman" w:cs="Times New Roman"/>
          <w:bCs/>
          <w:sz w:val="20"/>
          <w:szCs w:val="20"/>
        </w:rPr>
      </w:pPr>
      <w:r w:rsidRPr="00BE711E">
        <w:rPr>
          <w:rFonts w:ascii="Times New Roman" w:hAnsi="Times New Roman" w:cs="Times New Roman"/>
          <w:bCs/>
          <w:sz w:val="20"/>
          <w:szCs w:val="20"/>
        </w:rPr>
        <w:t>Diante disso, encaminha-se o presente Estudo Técnico Preliminar para ciência e aprovação, a fim de viabilizar o regular prosseguimento do processo administrativo, com a posterior elaboração do Termo de Referência e/ou Projeto Básico, em estrita observância às disposições da Lei nº 14.133/2021 e demais normativas aplicáveis.</w:t>
      </w:r>
    </w:p>
    <w:p w14:paraId="7ED90529" w14:textId="77777777" w:rsidR="009611FE" w:rsidRPr="00BE711E" w:rsidRDefault="009611FE" w:rsidP="00981221">
      <w:pPr>
        <w:ind w:firstLine="567"/>
        <w:rPr>
          <w:rFonts w:ascii="Times New Roman" w:hAnsi="Times New Roman" w:cs="Times New Roman"/>
          <w:b/>
          <w:sz w:val="20"/>
          <w:szCs w:val="20"/>
        </w:rPr>
      </w:pPr>
    </w:p>
    <w:tbl>
      <w:tblPr>
        <w:tblStyle w:val="Tabelacomgrade"/>
        <w:tblW w:w="9067" w:type="dxa"/>
        <w:tblLook w:val="04A0" w:firstRow="1" w:lastRow="0" w:firstColumn="1" w:lastColumn="0" w:noHBand="0" w:noVBand="1"/>
      </w:tblPr>
      <w:tblGrid>
        <w:gridCol w:w="9067"/>
      </w:tblGrid>
      <w:tr w:rsidR="008B6606" w:rsidRPr="00BE711E" w14:paraId="3FA8DB09" w14:textId="77777777" w:rsidTr="008B3682">
        <w:tc>
          <w:tcPr>
            <w:tcW w:w="9067" w:type="dxa"/>
          </w:tcPr>
          <w:p w14:paraId="49966813" w14:textId="77777777" w:rsidR="008B6606" w:rsidRPr="00BE711E" w:rsidRDefault="008B6606" w:rsidP="00981221">
            <w:pPr>
              <w:spacing w:after="0"/>
              <w:ind w:firstLine="314"/>
              <w:rPr>
                <w:rFonts w:ascii="Times New Roman" w:hAnsi="Times New Roman" w:cs="Times New Roman"/>
                <w:b/>
                <w:sz w:val="20"/>
                <w:szCs w:val="20"/>
              </w:rPr>
            </w:pPr>
          </w:p>
          <w:p w14:paraId="17ABB936" w14:textId="66A80455" w:rsidR="00565F57" w:rsidRPr="00BE711E" w:rsidRDefault="00565F57" w:rsidP="00981221">
            <w:pPr>
              <w:spacing w:after="0"/>
              <w:ind w:firstLine="27"/>
              <w:jc w:val="center"/>
              <w:rPr>
                <w:rFonts w:ascii="Times New Roman" w:hAnsi="Times New Roman" w:cs="Times New Roman"/>
                <w:b/>
                <w:sz w:val="20"/>
                <w:szCs w:val="20"/>
              </w:rPr>
            </w:pPr>
            <w:r w:rsidRPr="00BE711E">
              <w:rPr>
                <w:rFonts w:ascii="Times New Roman" w:hAnsi="Times New Roman" w:cs="Times New Roman"/>
                <w:b/>
                <w:sz w:val="20"/>
                <w:szCs w:val="20"/>
              </w:rPr>
              <w:t>PARECER CONCLUSIVO DE CIÊNCIA E APROVAÇÃO</w:t>
            </w:r>
          </w:p>
          <w:p w14:paraId="313C3943" w14:textId="6C91C7FE" w:rsidR="008B6606" w:rsidRDefault="00942283" w:rsidP="00981221">
            <w:pPr>
              <w:spacing w:after="0"/>
              <w:ind w:firstLine="0"/>
              <w:rPr>
                <w:rFonts w:ascii="Times New Roman" w:hAnsi="Times New Roman" w:cs="Times New Roman"/>
                <w:bCs/>
                <w:sz w:val="20"/>
                <w:szCs w:val="20"/>
              </w:rPr>
            </w:pPr>
            <w:r w:rsidRPr="00942283">
              <w:rPr>
                <w:rFonts w:ascii="Times New Roman" w:hAnsi="Times New Roman" w:cs="Times New Roman"/>
                <w:bCs/>
                <w:sz w:val="20"/>
                <w:szCs w:val="20"/>
              </w:rPr>
              <w:t>Aprovo o presente Estudo Técnico Preliminar quanto aos seus aspectos técnicos e administrativos, reconhecendo a adequação da solução proposta para o atendimento da necessidade identificada e autorizando o regular prosseguimento do processo, sem prejuízo da análise jurídica do procedimento e dos demais documentos da contratação.</w:t>
            </w:r>
          </w:p>
          <w:p w14:paraId="65A908E1" w14:textId="77777777" w:rsidR="00942283" w:rsidRPr="00BE711E" w:rsidRDefault="00942283" w:rsidP="00981221">
            <w:pPr>
              <w:spacing w:after="0"/>
              <w:ind w:firstLine="0"/>
              <w:rPr>
                <w:rFonts w:ascii="Times New Roman" w:hAnsi="Times New Roman" w:cs="Times New Roman"/>
                <w:b/>
                <w:sz w:val="20"/>
                <w:szCs w:val="20"/>
              </w:rPr>
            </w:pPr>
          </w:p>
          <w:p w14:paraId="6E6D8818" w14:textId="3E371CFE" w:rsidR="008B6606" w:rsidRPr="00BE711E" w:rsidRDefault="008B6606" w:rsidP="00981221">
            <w:pPr>
              <w:spacing w:after="0"/>
              <w:ind w:firstLine="0"/>
              <w:jc w:val="center"/>
              <w:rPr>
                <w:rFonts w:ascii="Times New Roman" w:hAnsi="Times New Roman" w:cs="Times New Roman"/>
                <w:sz w:val="20"/>
                <w:szCs w:val="20"/>
              </w:rPr>
            </w:pPr>
            <w:r w:rsidRPr="00BE711E">
              <w:rPr>
                <w:rFonts w:ascii="Times New Roman" w:hAnsi="Times New Roman" w:cs="Times New Roman"/>
                <w:sz w:val="20"/>
                <w:szCs w:val="20"/>
              </w:rPr>
              <w:t xml:space="preserve">Paverama/RS, </w:t>
            </w:r>
            <w:r w:rsidR="00562D71" w:rsidRPr="00BE711E">
              <w:rPr>
                <w:rFonts w:ascii="Times New Roman" w:hAnsi="Times New Roman" w:cs="Times New Roman"/>
                <w:sz w:val="20"/>
                <w:szCs w:val="20"/>
              </w:rPr>
              <w:t>20</w:t>
            </w:r>
            <w:r w:rsidRPr="00BE711E">
              <w:rPr>
                <w:rFonts w:ascii="Times New Roman" w:hAnsi="Times New Roman" w:cs="Times New Roman"/>
                <w:sz w:val="20"/>
                <w:szCs w:val="20"/>
              </w:rPr>
              <w:t xml:space="preserve"> de </w:t>
            </w:r>
            <w:r w:rsidR="00205FCE" w:rsidRPr="00BE711E">
              <w:rPr>
                <w:rFonts w:ascii="Times New Roman" w:hAnsi="Times New Roman" w:cs="Times New Roman"/>
                <w:sz w:val="20"/>
                <w:szCs w:val="20"/>
              </w:rPr>
              <w:t>julho</w:t>
            </w:r>
            <w:r w:rsidRPr="00BE711E">
              <w:rPr>
                <w:rFonts w:ascii="Times New Roman" w:hAnsi="Times New Roman" w:cs="Times New Roman"/>
                <w:sz w:val="20"/>
                <w:szCs w:val="20"/>
              </w:rPr>
              <w:t xml:space="preserve"> de 202</w:t>
            </w:r>
            <w:r w:rsidR="006734C9" w:rsidRPr="00BE711E">
              <w:rPr>
                <w:rFonts w:ascii="Times New Roman" w:hAnsi="Times New Roman" w:cs="Times New Roman"/>
                <w:sz w:val="20"/>
                <w:szCs w:val="20"/>
              </w:rPr>
              <w:t>6</w:t>
            </w:r>
            <w:r w:rsidRPr="00BE711E">
              <w:rPr>
                <w:rFonts w:ascii="Times New Roman" w:hAnsi="Times New Roman" w:cs="Times New Roman"/>
                <w:sz w:val="20"/>
                <w:szCs w:val="20"/>
              </w:rPr>
              <w:t>.</w:t>
            </w:r>
          </w:p>
          <w:p w14:paraId="10B64F4C" w14:textId="77777777" w:rsidR="00C0172E" w:rsidRDefault="00C0172E" w:rsidP="00981221">
            <w:pPr>
              <w:spacing w:after="0"/>
              <w:ind w:firstLine="0"/>
              <w:jc w:val="center"/>
              <w:rPr>
                <w:rFonts w:ascii="Times New Roman" w:hAnsi="Times New Roman" w:cs="Times New Roman"/>
                <w:b/>
                <w:sz w:val="20"/>
                <w:szCs w:val="20"/>
              </w:rPr>
            </w:pPr>
          </w:p>
          <w:p w14:paraId="3B7DC6D7" w14:textId="77777777" w:rsidR="00903080" w:rsidRPr="00BE711E" w:rsidRDefault="00903080" w:rsidP="00981221">
            <w:pPr>
              <w:spacing w:after="0"/>
              <w:ind w:firstLine="0"/>
              <w:jc w:val="center"/>
              <w:rPr>
                <w:rFonts w:ascii="Times New Roman" w:hAnsi="Times New Roman" w:cs="Times New Roman"/>
                <w:b/>
                <w:sz w:val="20"/>
                <w:szCs w:val="20"/>
              </w:rPr>
            </w:pPr>
          </w:p>
          <w:p w14:paraId="50889B5B" w14:textId="77777777" w:rsidR="006352A6" w:rsidRPr="00BE711E" w:rsidRDefault="006352A6" w:rsidP="00981221">
            <w:pPr>
              <w:spacing w:after="0"/>
              <w:ind w:firstLine="0"/>
              <w:jc w:val="center"/>
              <w:rPr>
                <w:rFonts w:ascii="Times New Roman" w:hAnsi="Times New Roman" w:cs="Times New Roman"/>
                <w:b/>
                <w:sz w:val="20"/>
                <w:szCs w:val="20"/>
              </w:rPr>
            </w:pPr>
          </w:p>
          <w:p w14:paraId="18287957" w14:textId="3E88FA4E" w:rsidR="00565F57" w:rsidRPr="00BE711E" w:rsidRDefault="00205FCE" w:rsidP="00981221">
            <w:pPr>
              <w:spacing w:after="0"/>
              <w:ind w:firstLine="0"/>
              <w:jc w:val="center"/>
              <w:rPr>
                <w:rFonts w:ascii="Times New Roman" w:hAnsi="Times New Roman" w:cs="Times New Roman"/>
                <w:b/>
                <w:sz w:val="20"/>
                <w:szCs w:val="20"/>
              </w:rPr>
            </w:pPr>
            <w:r w:rsidRPr="00BE711E">
              <w:rPr>
                <w:rFonts w:ascii="Times New Roman" w:hAnsi="Times New Roman" w:cs="Times New Roman"/>
                <w:b/>
                <w:sz w:val="20"/>
                <w:szCs w:val="20"/>
              </w:rPr>
              <w:t>ALEXANDRE LUÍS KLEBER</w:t>
            </w:r>
          </w:p>
          <w:p w14:paraId="65824705" w14:textId="4E29EFBD" w:rsidR="00205FCE" w:rsidRPr="00BE711E" w:rsidRDefault="00205FCE" w:rsidP="00981221">
            <w:pPr>
              <w:spacing w:after="0"/>
              <w:ind w:firstLine="0"/>
              <w:jc w:val="center"/>
              <w:rPr>
                <w:rFonts w:ascii="Times New Roman" w:hAnsi="Times New Roman" w:cs="Times New Roman"/>
                <w:b/>
                <w:sz w:val="20"/>
                <w:szCs w:val="20"/>
              </w:rPr>
            </w:pPr>
            <w:r w:rsidRPr="00BE711E">
              <w:rPr>
                <w:rFonts w:ascii="Times New Roman" w:hAnsi="Times New Roman" w:cs="Times New Roman"/>
                <w:b/>
                <w:sz w:val="20"/>
                <w:szCs w:val="20"/>
              </w:rPr>
              <w:t>Secretário Municipal de Administração, Fazenda e Planejamento</w:t>
            </w:r>
          </w:p>
          <w:p w14:paraId="70F69B18" w14:textId="2CD73501" w:rsidR="00A956A1" w:rsidRPr="00BE711E" w:rsidRDefault="00A956A1" w:rsidP="00981221">
            <w:pPr>
              <w:spacing w:after="0"/>
              <w:ind w:firstLine="0"/>
              <w:jc w:val="center"/>
              <w:rPr>
                <w:rFonts w:ascii="Times New Roman" w:hAnsi="Times New Roman" w:cs="Times New Roman"/>
                <w:b/>
                <w:sz w:val="20"/>
                <w:szCs w:val="20"/>
              </w:rPr>
            </w:pPr>
          </w:p>
        </w:tc>
      </w:tr>
    </w:tbl>
    <w:p w14:paraId="19528256" w14:textId="77777777" w:rsidR="00117BBF" w:rsidRPr="00BE711E" w:rsidRDefault="00117BBF" w:rsidP="00981221">
      <w:pPr>
        <w:rPr>
          <w:rFonts w:ascii="Times New Roman" w:hAnsi="Times New Roman" w:cs="Times New Roman"/>
          <w:b/>
          <w:sz w:val="20"/>
          <w:szCs w:val="20"/>
        </w:rPr>
      </w:pPr>
    </w:p>
    <w:sectPr w:rsidR="00117BBF" w:rsidRPr="00BE711E" w:rsidSect="00C0172E">
      <w:headerReference w:type="default" r:id="rId8"/>
      <w:footerReference w:type="default" r:id="rId9"/>
      <w:headerReference w:type="first" r:id="rId10"/>
      <w:footerReference w:type="first" r:id="rId11"/>
      <w:type w:val="continuous"/>
      <w:pgSz w:w="11906" w:h="16838" w:code="9"/>
      <w:pgMar w:top="1843" w:right="1134" w:bottom="1418" w:left="1701" w:header="113"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B13C1" w14:textId="77777777" w:rsidR="006232F8" w:rsidRDefault="006232F8" w:rsidP="009F2D5E">
      <w:pPr>
        <w:spacing w:after="0"/>
      </w:pPr>
      <w:r>
        <w:separator/>
      </w:r>
    </w:p>
  </w:endnote>
  <w:endnote w:type="continuationSeparator" w:id="0">
    <w:p w14:paraId="143D1C81" w14:textId="77777777" w:rsidR="006232F8" w:rsidRDefault="006232F8" w:rsidP="009F2D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charset w:val="00"/>
    <w:family w:val="auto"/>
    <w:pitch w:val="default"/>
  </w:font>
  <w:font w:name="ArialMT">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414894699"/>
      <w:docPartObj>
        <w:docPartGallery w:val="Page Numbers (Bottom of Page)"/>
        <w:docPartUnique/>
      </w:docPartObj>
    </w:sdtPr>
    <w:sdtContent>
      <w:sdt>
        <w:sdtPr>
          <w:rPr>
            <w:sz w:val="14"/>
            <w:szCs w:val="14"/>
          </w:rPr>
          <w:id w:val="723338103"/>
          <w:docPartObj>
            <w:docPartGallery w:val="Page Numbers (Top of Page)"/>
            <w:docPartUnique/>
          </w:docPartObj>
        </w:sdtPr>
        <w:sdtContent>
          <w:p w14:paraId="4952FB71" w14:textId="2C69B465" w:rsidR="00F45779" w:rsidRPr="002E46A9" w:rsidRDefault="00A15280">
            <w:pPr>
              <w:pStyle w:val="Rodap"/>
              <w:jc w:val="right"/>
              <w:rPr>
                <w:sz w:val="14"/>
                <w:szCs w:val="14"/>
              </w:rPr>
            </w:pPr>
            <w:r>
              <w:rPr>
                <w:noProof/>
              </w:rPr>
              <w:drawing>
                <wp:anchor distT="0" distB="0" distL="114300" distR="114300" simplePos="0" relativeHeight="251665408" behindDoc="1" locked="0" layoutInCell="1" allowOverlap="1" wp14:anchorId="326994F8" wp14:editId="55AA3007">
                  <wp:simplePos x="0" y="0"/>
                  <wp:positionH relativeFrom="margin">
                    <wp:align>center</wp:align>
                  </wp:positionH>
                  <wp:positionV relativeFrom="paragraph">
                    <wp:posOffset>-393428</wp:posOffset>
                  </wp:positionV>
                  <wp:extent cx="4543300" cy="762000"/>
                  <wp:effectExtent l="0" t="0" r="0" b="0"/>
                  <wp:wrapNone/>
                  <wp:docPr id="1535372754" name="Imagem 153537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43300" cy="762000"/>
                          </a:xfrm>
                          <a:prstGeom prst="rect">
                            <a:avLst/>
                          </a:prstGeom>
                          <a:noFill/>
                        </pic:spPr>
                      </pic:pic>
                    </a:graphicData>
                  </a:graphic>
                  <wp14:sizeRelH relativeFrom="margin">
                    <wp14:pctWidth>0</wp14:pctWidth>
                  </wp14:sizeRelH>
                  <wp14:sizeRelV relativeFrom="margin">
                    <wp14:pctHeight>0</wp14:pctHeight>
                  </wp14:sizeRelV>
                </wp:anchor>
              </w:drawing>
            </w:r>
            <w:r w:rsidR="00F45779" w:rsidRPr="002E46A9">
              <w:rPr>
                <w:sz w:val="14"/>
                <w:szCs w:val="14"/>
              </w:rPr>
              <w:t xml:space="preserve">Página </w:t>
            </w:r>
            <w:r w:rsidR="00F45779" w:rsidRPr="002E46A9">
              <w:rPr>
                <w:b/>
                <w:bCs/>
                <w:sz w:val="14"/>
                <w:szCs w:val="14"/>
              </w:rPr>
              <w:fldChar w:fldCharType="begin"/>
            </w:r>
            <w:r w:rsidR="00F45779" w:rsidRPr="002E46A9">
              <w:rPr>
                <w:b/>
                <w:bCs/>
                <w:sz w:val="14"/>
                <w:szCs w:val="14"/>
              </w:rPr>
              <w:instrText>PAGE</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r w:rsidR="00F45779" w:rsidRPr="002E46A9">
              <w:rPr>
                <w:sz w:val="14"/>
                <w:szCs w:val="14"/>
              </w:rPr>
              <w:t xml:space="preserve"> de </w:t>
            </w:r>
            <w:r w:rsidR="00F45779" w:rsidRPr="002E46A9">
              <w:rPr>
                <w:b/>
                <w:bCs/>
                <w:sz w:val="14"/>
                <w:szCs w:val="14"/>
              </w:rPr>
              <w:fldChar w:fldCharType="begin"/>
            </w:r>
            <w:r w:rsidR="00F45779" w:rsidRPr="002E46A9">
              <w:rPr>
                <w:b/>
                <w:bCs/>
                <w:sz w:val="14"/>
                <w:szCs w:val="14"/>
              </w:rPr>
              <w:instrText>NUMPAGES</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p>
        </w:sdtContent>
      </w:sdt>
    </w:sdtContent>
  </w:sdt>
  <w:p w14:paraId="3D15040F" w14:textId="5983B2A8" w:rsidR="00F45779" w:rsidRPr="00EC4156" w:rsidRDefault="00F45779" w:rsidP="00EC4156">
    <w:pPr>
      <w:pStyle w:val="Rodap"/>
      <w:ind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17286773"/>
      <w:docPartObj>
        <w:docPartGallery w:val="Page Numbers (Top of Page)"/>
        <w:docPartUnique/>
      </w:docPartObj>
    </w:sdtPr>
    <w:sdtContent>
      <w:p w14:paraId="3F8E410B" w14:textId="7F1DF7DF" w:rsidR="00F45779" w:rsidRDefault="0035517D" w:rsidP="007B19F6">
        <w:pPr>
          <w:pStyle w:val="Rodap"/>
          <w:jc w:val="right"/>
          <w:rPr>
            <w:sz w:val="14"/>
            <w:szCs w:val="14"/>
          </w:rPr>
        </w:pPr>
        <w:r>
          <w:rPr>
            <w:noProof/>
            <w:sz w:val="14"/>
            <w:szCs w:val="14"/>
          </w:rPr>
          <w:drawing>
            <wp:anchor distT="0" distB="0" distL="114300" distR="114300" simplePos="0" relativeHeight="251664384" behindDoc="1" locked="0" layoutInCell="1" allowOverlap="1" wp14:anchorId="245CD423" wp14:editId="5A8A2CB6">
              <wp:simplePos x="0" y="0"/>
              <wp:positionH relativeFrom="margin">
                <wp:align>center</wp:align>
              </wp:positionH>
              <wp:positionV relativeFrom="paragraph">
                <wp:posOffset>-490129</wp:posOffset>
              </wp:positionV>
              <wp:extent cx="4723765" cy="790575"/>
              <wp:effectExtent l="0" t="0" r="635" b="9525"/>
              <wp:wrapNone/>
              <wp:docPr id="3743347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3765" cy="790575"/>
                      </a:xfrm>
                      <a:prstGeom prst="rect">
                        <a:avLst/>
                      </a:prstGeom>
                      <a:noFill/>
                    </pic:spPr>
                  </pic:pic>
                </a:graphicData>
              </a:graphic>
              <wp14:sizeRelH relativeFrom="page">
                <wp14:pctWidth>0</wp14:pctWidth>
              </wp14:sizeRelH>
              <wp14:sizeRelV relativeFrom="page">
                <wp14:pctHeight>0</wp14:pctHeight>
              </wp14:sizeRelV>
            </wp:anchor>
          </w:drawing>
        </w:r>
        <w:r w:rsidR="00F45779" w:rsidRPr="002E46A9">
          <w:rPr>
            <w:sz w:val="14"/>
            <w:szCs w:val="14"/>
          </w:rPr>
          <w:t xml:space="preserve">Página </w:t>
        </w:r>
        <w:r w:rsidR="00F45779" w:rsidRPr="002E46A9">
          <w:rPr>
            <w:b/>
            <w:bCs/>
            <w:sz w:val="14"/>
            <w:szCs w:val="14"/>
          </w:rPr>
          <w:fldChar w:fldCharType="begin"/>
        </w:r>
        <w:r w:rsidR="00F45779" w:rsidRPr="002E46A9">
          <w:rPr>
            <w:b/>
            <w:bCs/>
            <w:sz w:val="14"/>
            <w:szCs w:val="14"/>
          </w:rPr>
          <w:instrText>PAGE</w:instrText>
        </w:r>
        <w:r w:rsidR="00F45779" w:rsidRPr="002E46A9">
          <w:rPr>
            <w:b/>
            <w:bCs/>
            <w:sz w:val="14"/>
            <w:szCs w:val="14"/>
          </w:rPr>
          <w:fldChar w:fldCharType="separate"/>
        </w:r>
        <w:r w:rsidR="00CC73FC">
          <w:rPr>
            <w:b/>
            <w:bCs/>
            <w:noProof/>
            <w:sz w:val="14"/>
            <w:szCs w:val="14"/>
          </w:rPr>
          <w:t>1</w:t>
        </w:r>
        <w:r w:rsidR="00F45779" w:rsidRPr="002E46A9">
          <w:rPr>
            <w:b/>
            <w:bCs/>
            <w:sz w:val="14"/>
            <w:szCs w:val="14"/>
          </w:rPr>
          <w:fldChar w:fldCharType="end"/>
        </w:r>
        <w:r w:rsidR="00F45779" w:rsidRPr="002E46A9">
          <w:rPr>
            <w:sz w:val="14"/>
            <w:szCs w:val="14"/>
          </w:rPr>
          <w:t xml:space="preserve"> de </w:t>
        </w:r>
        <w:r w:rsidR="00F45779" w:rsidRPr="002E46A9">
          <w:rPr>
            <w:b/>
            <w:bCs/>
            <w:sz w:val="14"/>
            <w:szCs w:val="14"/>
          </w:rPr>
          <w:fldChar w:fldCharType="begin"/>
        </w:r>
        <w:r w:rsidR="00F45779" w:rsidRPr="002E46A9">
          <w:rPr>
            <w:b/>
            <w:bCs/>
            <w:sz w:val="14"/>
            <w:szCs w:val="14"/>
          </w:rPr>
          <w:instrText>NUMPAGES</w:instrText>
        </w:r>
        <w:r w:rsidR="00F45779" w:rsidRPr="002E46A9">
          <w:rPr>
            <w:b/>
            <w:bCs/>
            <w:sz w:val="14"/>
            <w:szCs w:val="14"/>
          </w:rPr>
          <w:fldChar w:fldCharType="separate"/>
        </w:r>
        <w:r w:rsidR="00CC73FC">
          <w:rPr>
            <w:b/>
            <w:bCs/>
            <w:noProof/>
            <w:sz w:val="14"/>
            <w:szCs w:val="14"/>
          </w:rPr>
          <w:t>11</w:t>
        </w:r>
        <w:r w:rsidR="00F45779" w:rsidRPr="002E46A9">
          <w:rPr>
            <w:b/>
            <w:bCs/>
            <w:sz w:val="14"/>
            <w:szCs w:val="14"/>
          </w:rPr>
          <w:fldChar w:fldCharType="end"/>
        </w:r>
      </w:p>
    </w:sdtContent>
  </w:sdt>
  <w:p w14:paraId="756ECB14" w14:textId="338FE7CF" w:rsidR="00F45779" w:rsidRDefault="00F4577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3EFBD" w14:textId="77777777" w:rsidR="006232F8" w:rsidRDefault="006232F8" w:rsidP="009F2D5E">
      <w:pPr>
        <w:spacing w:after="0"/>
      </w:pPr>
      <w:r>
        <w:separator/>
      </w:r>
    </w:p>
  </w:footnote>
  <w:footnote w:type="continuationSeparator" w:id="0">
    <w:p w14:paraId="146F8F67" w14:textId="77777777" w:rsidR="006232F8" w:rsidRDefault="006232F8" w:rsidP="009F2D5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3404D" w14:textId="437AF218" w:rsidR="00F45779" w:rsidRDefault="00F45779">
    <w:pPr>
      <w:pStyle w:val="Cabealho"/>
    </w:pPr>
  </w:p>
  <w:tbl>
    <w:tblPr>
      <w:tblStyle w:val="Tabelacomgrade"/>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38"/>
      <w:gridCol w:w="4961"/>
      <w:gridCol w:w="3402"/>
    </w:tblGrid>
    <w:tr w:rsidR="00F45779" w14:paraId="0013C613" w14:textId="77777777" w:rsidTr="005A641F">
      <w:trPr>
        <w:trHeight w:val="930"/>
      </w:trPr>
      <w:tc>
        <w:tcPr>
          <w:tcW w:w="1838" w:type="dxa"/>
          <w:vAlign w:val="center"/>
        </w:tcPr>
        <w:p w14:paraId="5656840B" w14:textId="7DA9D9AE" w:rsidR="00F45779" w:rsidRDefault="00F45779" w:rsidP="00D15024">
          <w:pPr>
            <w:pStyle w:val="Cabealho"/>
            <w:ind w:firstLine="0"/>
            <w:jc w:val="center"/>
          </w:pPr>
        </w:p>
      </w:tc>
      <w:tc>
        <w:tcPr>
          <w:tcW w:w="4961" w:type="dxa"/>
          <w:vAlign w:val="center"/>
        </w:tcPr>
        <w:p w14:paraId="62003A3B" w14:textId="5EA64EC5" w:rsidR="00F45779" w:rsidRDefault="00AA58B3" w:rsidP="00D15024">
          <w:pPr>
            <w:pStyle w:val="Cabealho"/>
            <w:ind w:firstLine="0"/>
          </w:pPr>
          <w:r>
            <w:rPr>
              <w:noProof/>
              <w:lang w:eastAsia="pt-BR"/>
            </w:rPr>
            <w:drawing>
              <wp:anchor distT="0" distB="0" distL="114300" distR="114300" simplePos="0" relativeHeight="251663360" behindDoc="1" locked="0" layoutInCell="1" allowOverlap="1" wp14:anchorId="337114DB" wp14:editId="4B3B1E0E">
                <wp:simplePos x="0" y="0"/>
                <wp:positionH relativeFrom="column">
                  <wp:posOffset>-590550</wp:posOffset>
                </wp:positionH>
                <wp:positionV relativeFrom="paragraph">
                  <wp:posOffset>-155575</wp:posOffset>
                </wp:positionV>
                <wp:extent cx="4377055" cy="981710"/>
                <wp:effectExtent l="0" t="0" r="4445" b="8890"/>
                <wp:wrapNone/>
                <wp:docPr id="1383645330" name="Imagem 1383645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tc>
      <w:tc>
        <w:tcPr>
          <w:tcW w:w="3402" w:type="dxa"/>
          <w:vAlign w:val="center"/>
        </w:tcPr>
        <w:p w14:paraId="03E418B2" w14:textId="6BAB5066" w:rsidR="00F45779" w:rsidRDefault="00F45779" w:rsidP="005A641F">
          <w:pPr>
            <w:pStyle w:val="Cabealho"/>
            <w:ind w:firstLine="0"/>
            <w:jc w:val="center"/>
          </w:pPr>
        </w:p>
      </w:tc>
    </w:tr>
  </w:tbl>
  <w:p w14:paraId="0AD627A5" w14:textId="62B23590" w:rsidR="00F45779" w:rsidRDefault="00F45779" w:rsidP="00C47D4F">
    <w:pPr>
      <w:pStyle w:val="Cabealho"/>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C3721" w14:textId="08FC45AB" w:rsidR="00F45779" w:rsidRDefault="00F45779">
    <w:pPr>
      <w:pStyle w:val="Cabealho"/>
    </w:pPr>
    <w:r>
      <w:rPr>
        <w:noProof/>
        <w:lang w:eastAsia="pt-BR"/>
      </w:rPr>
      <w:drawing>
        <wp:anchor distT="0" distB="0" distL="114300" distR="114300" simplePos="0" relativeHeight="251658240" behindDoc="1" locked="0" layoutInCell="1" allowOverlap="1" wp14:anchorId="6EBFB506" wp14:editId="60006B5C">
          <wp:simplePos x="0" y="0"/>
          <wp:positionH relativeFrom="margin">
            <wp:align>center</wp:align>
          </wp:positionH>
          <wp:positionV relativeFrom="paragraph">
            <wp:posOffset>50165</wp:posOffset>
          </wp:positionV>
          <wp:extent cx="4377055" cy="981710"/>
          <wp:effectExtent l="0" t="0" r="4445" b="8890"/>
          <wp:wrapNone/>
          <wp:docPr id="1611130553" name="Imagem 1611130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7055" cy="981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95BBF"/>
    <w:multiLevelType w:val="hybridMultilevel"/>
    <w:tmpl w:val="66703882"/>
    <w:lvl w:ilvl="0" w:tplc="4C4C53F6">
      <w:start w:val="1"/>
      <w:numFmt w:val="lowerLetter"/>
      <w:lvlText w:val="%1)"/>
      <w:lvlJc w:val="left"/>
      <w:pPr>
        <w:ind w:left="957" w:hanging="360"/>
      </w:pPr>
      <w:rPr>
        <w:rFonts w:hint="default"/>
      </w:rPr>
    </w:lvl>
    <w:lvl w:ilvl="1" w:tplc="04160019" w:tentative="1">
      <w:start w:val="1"/>
      <w:numFmt w:val="lowerLetter"/>
      <w:lvlText w:val="%2."/>
      <w:lvlJc w:val="left"/>
      <w:pPr>
        <w:ind w:left="1677" w:hanging="360"/>
      </w:pPr>
    </w:lvl>
    <w:lvl w:ilvl="2" w:tplc="0416001B" w:tentative="1">
      <w:start w:val="1"/>
      <w:numFmt w:val="lowerRoman"/>
      <w:lvlText w:val="%3."/>
      <w:lvlJc w:val="right"/>
      <w:pPr>
        <w:ind w:left="2397" w:hanging="180"/>
      </w:pPr>
    </w:lvl>
    <w:lvl w:ilvl="3" w:tplc="0416000F" w:tentative="1">
      <w:start w:val="1"/>
      <w:numFmt w:val="decimal"/>
      <w:lvlText w:val="%4."/>
      <w:lvlJc w:val="left"/>
      <w:pPr>
        <w:ind w:left="3117" w:hanging="360"/>
      </w:pPr>
    </w:lvl>
    <w:lvl w:ilvl="4" w:tplc="04160019" w:tentative="1">
      <w:start w:val="1"/>
      <w:numFmt w:val="lowerLetter"/>
      <w:lvlText w:val="%5."/>
      <w:lvlJc w:val="left"/>
      <w:pPr>
        <w:ind w:left="3837" w:hanging="360"/>
      </w:pPr>
    </w:lvl>
    <w:lvl w:ilvl="5" w:tplc="0416001B" w:tentative="1">
      <w:start w:val="1"/>
      <w:numFmt w:val="lowerRoman"/>
      <w:lvlText w:val="%6."/>
      <w:lvlJc w:val="right"/>
      <w:pPr>
        <w:ind w:left="4557" w:hanging="180"/>
      </w:pPr>
    </w:lvl>
    <w:lvl w:ilvl="6" w:tplc="0416000F" w:tentative="1">
      <w:start w:val="1"/>
      <w:numFmt w:val="decimal"/>
      <w:lvlText w:val="%7."/>
      <w:lvlJc w:val="left"/>
      <w:pPr>
        <w:ind w:left="5277" w:hanging="360"/>
      </w:pPr>
    </w:lvl>
    <w:lvl w:ilvl="7" w:tplc="04160019" w:tentative="1">
      <w:start w:val="1"/>
      <w:numFmt w:val="lowerLetter"/>
      <w:lvlText w:val="%8."/>
      <w:lvlJc w:val="left"/>
      <w:pPr>
        <w:ind w:left="5997" w:hanging="360"/>
      </w:pPr>
    </w:lvl>
    <w:lvl w:ilvl="8" w:tplc="0416001B" w:tentative="1">
      <w:start w:val="1"/>
      <w:numFmt w:val="lowerRoman"/>
      <w:lvlText w:val="%9."/>
      <w:lvlJc w:val="right"/>
      <w:pPr>
        <w:ind w:left="6717" w:hanging="180"/>
      </w:pPr>
    </w:lvl>
  </w:abstractNum>
  <w:abstractNum w:abstractNumId="1" w15:restartNumberingAfterBreak="0">
    <w:nsid w:val="13072176"/>
    <w:multiLevelType w:val="hybridMultilevel"/>
    <w:tmpl w:val="8130B570"/>
    <w:lvl w:ilvl="0" w:tplc="BF0CDFF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2" w15:restartNumberingAfterBreak="0">
    <w:nsid w:val="142A31D8"/>
    <w:multiLevelType w:val="hybridMultilevel"/>
    <w:tmpl w:val="4254DA86"/>
    <w:lvl w:ilvl="0" w:tplc="034CDD2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3" w15:restartNumberingAfterBreak="0">
    <w:nsid w:val="1A7650E2"/>
    <w:multiLevelType w:val="hybridMultilevel"/>
    <w:tmpl w:val="1A0E134C"/>
    <w:lvl w:ilvl="0" w:tplc="1FF42894">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4" w15:restartNumberingAfterBreak="0">
    <w:nsid w:val="21CA029D"/>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 w15:restartNumberingAfterBreak="0">
    <w:nsid w:val="225E3ADB"/>
    <w:multiLevelType w:val="hybridMultilevel"/>
    <w:tmpl w:val="58169AC2"/>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6" w15:restartNumberingAfterBreak="0">
    <w:nsid w:val="249C308B"/>
    <w:multiLevelType w:val="hybridMultilevel"/>
    <w:tmpl w:val="28CA4066"/>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7" w15:restartNumberingAfterBreak="0">
    <w:nsid w:val="25642A1F"/>
    <w:multiLevelType w:val="hybridMultilevel"/>
    <w:tmpl w:val="06E031FA"/>
    <w:lvl w:ilvl="0" w:tplc="1D1E59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8" w15:restartNumberingAfterBreak="0">
    <w:nsid w:val="28DB1DD5"/>
    <w:multiLevelType w:val="hybridMultilevel"/>
    <w:tmpl w:val="7D661FE0"/>
    <w:lvl w:ilvl="0" w:tplc="585C26A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9" w15:restartNumberingAfterBreak="0">
    <w:nsid w:val="2DF00769"/>
    <w:multiLevelType w:val="hybridMultilevel"/>
    <w:tmpl w:val="0474491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0" w15:restartNumberingAfterBreak="0">
    <w:nsid w:val="2ED554C0"/>
    <w:multiLevelType w:val="multilevel"/>
    <w:tmpl w:val="5BE49278"/>
    <w:lvl w:ilvl="0">
      <w:start w:val="1"/>
      <w:numFmt w:val="decimal"/>
      <w:pStyle w:val="Ttulo1"/>
      <w:lvlText w:val="%1"/>
      <w:lvlJc w:val="left"/>
      <w:pPr>
        <w:ind w:left="432" w:hanging="432"/>
      </w:pPr>
      <w:rPr>
        <w:u w:val="words"/>
      </w:rPr>
    </w:lvl>
    <w:lvl w:ilvl="1">
      <w:start w:val="1"/>
      <w:numFmt w:val="decimal"/>
      <w:pStyle w:val="Ttulo2"/>
      <w:lvlText w:val="%1.%2"/>
      <w:lvlJc w:val="left"/>
      <w:pPr>
        <w:ind w:left="5822" w:hanging="576"/>
      </w:pPr>
      <w:rPr>
        <w:u w:val="words"/>
      </w:rPr>
    </w:lvl>
    <w:lvl w:ilvl="2">
      <w:start w:val="1"/>
      <w:numFmt w:val="decimal"/>
      <w:pStyle w:val="Ttulo3"/>
      <w:lvlText w:val="%1.%2.%3"/>
      <w:lvlJc w:val="left"/>
      <w:pPr>
        <w:ind w:left="720" w:hanging="720"/>
      </w:pPr>
    </w:lvl>
    <w:lvl w:ilvl="3">
      <w:start w:val="1"/>
      <w:numFmt w:val="decimal"/>
      <w:pStyle w:val="Ttulo4"/>
      <w:lvlText w:val="%1.%2.%3.%4"/>
      <w:lvlJc w:val="left"/>
      <w:pPr>
        <w:ind w:left="3275"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1" w15:restartNumberingAfterBreak="0">
    <w:nsid w:val="38181E4F"/>
    <w:multiLevelType w:val="hybridMultilevel"/>
    <w:tmpl w:val="F73A229E"/>
    <w:lvl w:ilvl="0" w:tplc="BAA6EB4A">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2" w15:restartNumberingAfterBreak="0">
    <w:nsid w:val="38AA15B3"/>
    <w:multiLevelType w:val="hybridMultilevel"/>
    <w:tmpl w:val="82B86ED6"/>
    <w:lvl w:ilvl="0" w:tplc="0CC4376C">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15:restartNumberingAfterBreak="0">
    <w:nsid w:val="48034EAF"/>
    <w:multiLevelType w:val="hybridMultilevel"/>
    <w:tmpl w:val="404612D6"/>
    <w:lvl w:ilvl="0" w:tplc="D12AE7E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4" w15:restartNumberingAfterBreak="0">
    <w:nsid w:val="4AB82F8E"/>
    <w:multiLevelType w:val="hybridMultilevel"/>
    <w:tmpl w:val="ED709282"/>
    <w:lvl w:ilvl="0" w:tplc="2638A3DE">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5" w15:restartNumberingAfterBreak="0">
    <w:nsid w:val="4FFF2EF0"/>
    <w:multiLevelType w:val="hybridMultilevel"/>
    <w:tmpl w:val="E5523772"/>
    <w:lvl w:ilvl="0" w:tplc="04160017">
      <w:start w:val="1"/>
      <w:numFmt w:val="lowerLetter"/>
      <w:lvlText w:val="%1)"/>
      <w:lvlJc w:val="left"/>
      <w:pPr>
        <w:ind w:left="2160" w:hanging="360"/>
      </w:p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6" w15:restartNumberingAfterBreak="0">
    <w:nsid w:val="528862DD"/>
    <w:multiLevelType w:val="hybridMultilevel"/>
    <w:tmpl w:val="E1E80AA0"/>
    <w:lvl w:ilvl="0" w:tplc="E364095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7" w15:restartNumberingAfterBreak="0">
    <w:nsid w:val="61890C5C"/>
    <w:multiLevelType w:val="hybridMultilevel"/>
    <w:tmpl w:val="28CA4066"/>
    <w:lvl w:ilvl="0" w:tplc="2946F038">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8" w15:restartNumberingAfterBreak="0">
    <w:nsid w:val="716D30AC"/>
    <w:multiLevelType w:val="hybridMultilevel"/>
    <w:tmpl w:val="ED709282"/>
    <w:lvl w:ilvl="0" w:tplc="FFFFFFFF">
      <w:start w:val="1"/>
      <w:numFmt w:val="lowerLetter"/>
      <w:lvlText w:val="%1)"/>
      <w:lvlJc w:val="left"/>
      <w:pPr>
        <w:ind w:left="2628" w:hanging="360"/>
      </w:pPr>
      <w:rPr>
        <w:rFonts w:hint="default"/>
      </w:rPr>
    </w:lvl>
    <w:lvl w:ilvl="1" w:tplc="FFFFFFFF" w:tentative="1">
      <w:start w:val="1"/>
      <w:numFmt w:val="lowerLetter"/>
      <w:lvlText w:val="%2."/>
      <w:lvlJc w:val="left"/>
      <w:pPr>
        <w:ind w:left="3348" w:hanging="360"/>
      </w:pPr>
    </w:lvl>
    <w:lvl w:ilvl="2" w:tplc="FFFFFFFF" w:tentative="1">
      <w:start w:val="1"/>
      <w:numFmt w:val="lowerRoman"/>
      <w:lvlText w:val="%3."/>
      <w:lvlJc w:val="right"/>
      <w:pPr>
        <w:ind w:left="4068" w:hanging="180"/>
      </w:pPr>
    </w:lvl>
    <w:lvl w:ilvl="3" w:tplc="FFFFFFFF" w:tentative="1">
      <w:start w:val="1"/>
      <w:numFmt w:val="decimal"/>
      <w:lvlText w:val="%4."/>
      <w:lvlJc w:val="left"/>
      <w:pPr>
        <w:ind w:left="4788" w:hanging="360"/>
      </w:p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9" w15:restartNumberingAfterBreak="0">
    <w:nsid w:val="7C407DAA"/>
    <w:multiLevelType w:val="hybridMultilevel"/>
    <w:tmpl w:val="72A4856C"/>
    <w:lvl w:ilvl="0" w:tplc="04160001">
      <w:start w:val="1"/>
      <w:numFmt w:val="bullet"/>
      <w:lvlText w:val=""/>
      <w:lvlJc w:val="left"/>
      <w:pPr>
        <w:ind w:left="1724" w:hanging="360"/>
      </w:pPr>
      <w:rPr>
        <w:rFonts w:ascii="Symbol" w:hAnsi="Symbol" w:cs="Symbol" w:hint="default"/>
      </w:rPr>
    </w:lvl>
    <w:lvl w:ilvl="1" w:tplc="04160003">
      <w:start w:val="1"/>
      <w:numFmt w:val="bullet"/>
      <w:lvlText w:val="o"/>
      <w:lvlJc w:val="left"/>
      <w:pPr>
        <w:ind w:left="2444" w:hanging="360"/>
      </w:pPr>
      <w:rPr>
        <w:rFonts w:ascii="Courier New" w:hAnsi="Courier New" w:cs="Courier New" w:hint="default"/>
      </w:rPr>
    </w:lvl>
    <w:lvl w:ilvl="2" w:tplc="04160005">
      <w:start w:val="1"/>
      <w:numFmt w:val="bullet"/>
      <w:lvlText w:val=""/>
      <w:lvlJc w:val="left"/>
      <w:pPr>
        <w:ind w:left="3164" w:hanging="360"/>
      </w:pPr>
      <w:rPr>
        <w:rFonts w:ascii="Wingdings" w:hAnsi="Wingdings" w:cs="Wingdings" w:hint="default"/>
      </w:rPr>
    </w:lvl>
    <w:lvl w:ilvl="3" w:tplc="04160001">
      <w:start w:val="1"/>
      <w:numFmt w:val="bullet"/>
      <w:lvlText w:val=""/>
      <w:lvlJc w:val="left"/>
      <w:pPr>
        <w:ind w:left="3884" w:hanging="360"/>
      </w:pPr>
      <w:rPr>
        <w:rFonts w:ascii="Symbol" w:hAnsi="Symbol" w:cs="Symbol" w:hint="default"/>
      </w:rPr>
    </w:lvl>
    <w:lvl w:ilvl="4" w:tplc="04160003">
      <w:start w:val="1"/>
      <w:numFmt w:val="bullet"/>
      <w:lvlText w:val="o"/>
      <w:lvlJc w:val="left"/>
      <w:pPr>
        <w:ind w:left="4604" w:hanging="360"/>
      </w:pPr>
      <w:rPr>
        <w:rFonts w:ascii="Courier New" w:hAnsi="Courier New" w:cs="Courier New" w:hint="default"/>
      </w:rPr>
    </w:lvl>
    <w:lvl w:ilvl="5" w:tplc="04160005">
      <w:start w:val="1"/>
      <w:numFmt w:val="bullet"/>
      <w:lvlText w:val=""/>
      <w:lvlJc w:val="left"/>
      <w:pPr>
        <w:ind w:left="5324" w:hanging="360"/>
      </w:pPr>
      <w:rPr>
        <w:rFonts w:ascii="Wingdings" w:hAnsi="Wingdings" w:cs="Wingdings" w:hint="default"/>
      </w:rPr>
    </w:lvl>
    <w:lvl w:ilvl="6" w:tplc="04160001">
      <w:start w:val="1"/>
      <w:numFmt w:val="bullet"/>
      <w:lvlText w:val=""/>
      <w:lvlJc w:val="left"/>
      <w:pPr>
        <w:ind w:left="6044" w:hanging="360"/>
      </w:pPr>
      <w:rPr>
        <w:rFonts w:ascii="Symbol" w:hAnsi="Symbol" w:cs="Symbol" w:hint="default"/>
      </w:rPr>
    </w:lvl>
    <w:lvl w:ilvl="7" w:tplc="04160003">
      <w:start w:val="1"/>
      <w:numFmt w:val="bullet"/>
      <w:lvlText w:val="o"/>
      <w:lvlJc w:val="left"/>
      <w:pPr>
        <w:ind w:left="6764" w:hanging="360"/>
      </w:pPr>
      <w:rPr>
        <w:rFonts w:ascii="Courier New" w:hAnsi="Courier New" w:cs="Courier New" w:hint="default"/>
      </w:rPr>
    </w:lvl>
    <w:lvl w:ilvl="8" w:tplc="04160005">
      <w:start w:val="1"/>
      <w:numFmt w:val="bullet"/>
      <w:lvlText w:val=""/>
      <w:lvlJc w:val="left"/>
      <w:pPr>
        <w:ind w:left="7484" w:hanging="360"/>
      </w:pPr>
      <w:rPr>
        <w:rFonts w:ascii="Wingdings" w:hAnsi="Wingdings" w:cs="Wingdings" w:hint="default"/>
      </w:rPr>
    </w:lvl>
  </w:abstractNum>
  <w:num w:numId="1" w16cid:durableId="966089142">
    <w:abstractNumId w:val="8"/>
  </w:num>
  <w:num w:numId="2" w16cid:durableId="1098404163">
    <w:abstractNumId w:val="10"/>
  </w:num>
  <w:num w:numId="3" w16cid:durableId="1895042327">
    <w:abstractNumId w:val="9"/>
  </w:num>
  <w:num w:numId="4" w16cid:durableId="268511640">
    <w:abstractNumId w:val="3"/>
  </w:num>
  <w:num w:numId="5" w16cid:durableId="628828584">
    <w:abstractNumId w:val="1"/>
  </w:num>
  <w:num w:numId="6" w16cid:durableId="1738626942">
    <w:abstractNumId w:val="14"/>
  </w:num>
  <w:num w:numId="7" w16cid:durableId="459805794">
    <w:abstractNumId w:val="18"/>
  </w:num>
  <w:num w:numId="8" w16cid:durableId="593243197">
    <w:abstractNumId w:val="15"/>
  </w:num>
  <w:num w:numId="9" w16cid:durableId="1391339665">
    <w:abstractNumId w:val="19"/>
  </w:num>
  <w:num w:numId="10" w16cid:durableId="28342521">
    <w:abstractNumId w:val="12"/>
  </w:num>
  <w:num w:numId="11" w16cid:durableId="460926879">
    <w:abstractNumId w:val="17"/>
  </w:num>
  <w:num w:numId="12" w16cid:durableId="1471822971">
    <w:abstractNumId w:val="6"/>
  </w:num>
  <w:num w:numId="13" w16cid:durableId="1228419550">
    <w:abstractNumId w:val="4"/>
  </w:num>
  <w:num w:numId="14" w16cid:durableId="1218778523">
    <w:abstractNumId w:val="16"/>
  </w:num>
  <w:num w:numId="15" w16cid:durableId="421295255">
    <w:abstractNumId w:val="13"/>
  </w:num>
  <w:num w:numId="16" w16cid:durableId="208566643">
    <w:abstractNumId w:val="5"/>
  </w:num>
  <w:num w:numId="17" w16cid:durableId="1745879836">
    <w:abstractNumId w:val="7"/>
  </w:num>
  <w:num w:numId="18" w16cid:durableId="2056393335">
    <w:abstractNumId w:val="11"/>
  </w:num>
  <w:num w:numId="19" w16cid:durableId="115368149">
    <w:abstractNumId w:val="2"/>
  </w:num>
  <w:num w:numId="20" w16cid:durableId="129875614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D5E"/>
    <w:rsid w:val="00000A4F"/>
    <w:rsid w:val="00000FCC"/>
    <w:rsid w:val="00001EF4"/>
    <w:rsid w:val="000020B2"/>
    <w:rsid w:val="00002791"/>
    <w:rsid w:val="000034ED"/>
    <w:rsid w:val="00003B3B"/>
    <w:rsid w:val="00004973"/>
    <w:rsid w:val="00005DA8"/>
    <w:rsid w:val="00006300"/>
    <w:rsid w:val="0000702D"/>
    <w:rsid w:val="00011497"/>
    <w:rsid w:val="000126DA"/>
    <w:rsid w:val="000126F0"/>
    <w:rsid w:val="000137E9"/>
    <w:rsid w:val="00014D34"/>
    <w:rsid w:val="000169A1"/>
    <w:rsid w:val="00020DE0"/>
    <w:rsid w:val="000212AF"/>
    <w:rsid w:val="0002143C"/>
    <w:rsid w:val="000219E1"/>
    <w:rsid w:val="00021C16"/>
    <w:rsid w:val="00021EB3"/>
    <w:rsid w:val="00023291"/>
    <w:rsid w:val="00023354"/>
    <w:rsid w:val="0002484E"/>
    <w:rsid w:val="00025308"/>
    <w:rsid w:val="000263A4"/>
    <w:rsid w:val="00027CAC"/>
    <w:rsid w:val="0003344D"/>
    <w:rsid w:val="00033BD0"/>
    <w:rsid w:val="0003483E"/>
    <w:rsid w:val="00037DA5"/>
    <w:rsid w:val="00037F83"/>
    <w:rsid w:val="00040784"/>
    <w:rsid w:val="000424DD"/>
    <w:rsid w:val="00042B72"/>
    <w:rsid w:val="000453CF"/>
    <w:rsid w:val="000468D8"/>
    <w:rsid w:val="000477DA"/>
    <w:rsid w:val="00047C7B"/>
    <w:rsid w:val="00053AEE"/>
    <w:rsid w:val="00055ACC"/>
    <w:rsid w:val="00056B79"/>
    <w:rsid w:val="0005728A"/>
    <w:rsid w:val="000607E0"/>
    <w:rsid w:val="00064F48"/>
    <w:rsid w:val="000665D5"/>
    <w:rsid w:val="00066A34"/>
    <w:rsid w:val="00066FF3"/>
    <w:rsid w:val="000670F3"/>
    <w:rsid w:val="00070EE3"/>
    <w:rsid w:val="00071A93"/>
    <w:rsid w:val="000726EA"/>
    <w:rsid w:val="00072DA4"/>
    <w:rsid w:val="0007381D"/>
    <w:rsid w:val="00075CA6"/>
    <w:rsid w:val="00083A8D"/>
    <w:rsid w:val="000853A7"/>
    <w:rsid w:val="00087E7E"/>
    <w:rsid w:val="00090831"/>
    <w:rsid w:val="00090F2D"/>
    <w:rsid w:val="0009253A"/>
    <w:rsid w:val="00093581"/>
    <w:rsid w:val="00094376"/>
    <w:rsid w:val="00096D63"/>
    <w:rsid w:val="00097B9A"/>
    <w:rsid w:val="00097B9E"/>
    <w:rsid w:val="00097C59"/>
    <w:rsid w:val="000A1A79"/>
    <w:rsid w:val="000A1BB9"/>
    <w:rsid w:val="000A1C6C"/>
    <w:rsid w:val="000A2CA1"/>
    <w:rsid w:val="000A35A5"/>
    <w:rsid w:val="000A7503"/>
    <w:rsid w:val="000B0DA9"/>
    <w:rsid w:val="000B1148"/>
    <w:rsid w:val="000B1A1B"/>
    <w:rsid w:val="000B1C67"/>
    <w:rsid w:val="000B2D3D"/>
    <w:rsid w:val="000B392C"/>
    <w:rsid w:val="000B4579"/>
    <w:rsid w:val="000B50A7"/>
    <w:rsid w:val="000B59B9"/>
    <w:rsid w:val="000B6DFC"/>
    <w:rsid w:val="000B71A7"/>
    <w:rsid w:val="000C0A86"/>
    <w:rsid w:val="000C3EBA"/>
    <w:rsid w:val="000C44C7"/>
    <w:rsid w:val="000C4952"/>
    <w:rsid w:val="000C4B43"/>
    <w:rsid w:val="000C706D"/>
    <w:rsid w:val="000C7951"/>
    <w:rsid w:val="000C7DBC"/>
    <w:rsid w:val="000D0DAF"/>
    <w:rsid w:val="000D1B60"/>
    <w:rsid w:val="000D3B27"/>
    <w:rsid w:val="000D478B"/>
    <w:rsid w:val="000D512C"/>
    <w:rsid w:val="000E3599"/>
    <w:rsid w:val="000E4804"/>
    <w:rsid w:val="000E6B10"/>
    <w:rsid w:val="000E7C5C"/>
    <w:rsid w:val="000F0BE7"/>
    <w:rsid w:val="000F3F04"/>
    <w:rsid w:val="000F4448"/>
    <w:rsid w:val="000F498F"/>
    <w:rsid w:val="000F7797"/>
    <w:rsid w:val="00100262"/>
    <w:rsid w:val="0010036D"/>
    <w:rsid w:val="00100AEC"/>
    <w:rsid w:val="00102299"/>
    <w:rsid w:val="001023D8"/>
    <w:rsid w:val="0010404D"/>
    <w:rsid w:val="0010507F"/>
    <w:rsid w:val="00106483"/>
    <w:rsid w:val="0010773D"/>
    <w:rsid w:val="001116DA"/>
    <w:rsid w:val="0011171F"/>
    <w:rsid w:val="00112764"/>
    <w:rsid w:val="00114696"/>
    <w:rsid w:val="00114881"/>
    <w:rsid w:val="00115910"/>
    <w:rsid w:val="00115AD4"/>
    <w:rsid w:val="001162A0"/>
    <w:rsid w:val="00116958"/>
    <w:rsid w:val="00117BBF"/>
    <w:rsid w:val="00117EC2"/>
    <w:rsid w:val="00117F7E"/>
    <w:rsid w:val="00121005"/>
    <w:rsid w:val="00121CC2"/>
    <w:rsid w:val="00121F6B"/>
    <w:rsid w:val="001229E9"/>
    <w:rsid w:val="00127BF5"/>
    <w:rsid w:val="00131A8C"/>
    <w:rsid w:val="00135A72"/>
    <w:rsid w:val="00136A50"/>
    <w:rsid w:val="0014054A"/>
    <w:rsid w:val="001412DF"/>
    <w:rsid w:val="00143919"/>
    <w:rsid w:val="00145761"/>
    <w:rsid w:val="00146176"/>
    <w:rsid w:val="00146509"/>
    <w:rsid w:val="001467FB"/>
    <w:rsid w:val="00147A26"/>
    <w:rsid w:val="00150D3C"/>
    <w:rsid w:val="001510D9"/>
    <w:rsid w:val="00152B20"/>
    <w:rsid w:val="00154C9D"/>
    <w:rsid w:val="001557BF"/>
    <w:rsid w:val="00155C57"/>
    <w:rsid w:val="001627A9"/>
    <w:rsid w:val="00163DCB"/>
    <w:rsid w:val="00165058"/>
    <w:rsid w:val="00167607"/>
    <w:rsid w:val="001676AE"/>
    <w:rsid w:val="00172BED"/>
    <w:rsid w:val="00175CAE"/>
    <w:rsid w:val="001767AE"/>
    <w:rsid w:val="001768A9"/>
    <w:rsid w:val="001768AF"/>
    <w:rsid w:val="00180744"/>
    <w:rsid w:val="001812AB"/>
    <w:rsid w:val="0018195C"/>
    <w:rsid w:val="001821B2"/>
    <w:rsid w:val="00182E97"/>
    <w:rsid w:val="00183158"/>
    <w:rsid w:val="00183F98"/>
    <w:rsid w:val="00184172"/>
    <w:rsid w:val="001841C5"/>
    <w:rsid w:val="0018610C"/>
    <w:rsid w:val="00191391"/>
    <w:rsid w:val="001915BB"/>
    <w:rsid w:val="00192130"/>
    <w:rsid w:val="0019273D"/>
    <w:rsid w:val="0019540B"/>
    <w:rsid w:val="00195CAA"/>
    <w:rsid w:val="001963AA"/>
    <w:rsid w:val="001A1AA9"/>
    <w:rsid w:val="001A2473"/>
    <w:rsid w:val="001A3388"/>
    <w:rsid w:val="001A3AD1"/>
    <w:rsid w:val="001A4894"/>
    <w:rsid w:val="001A6DFA"/>
    <w:rsid w:val="001A6FC7"/>
    <w:rsid w:val="001B01A3"/>
    <w:rsid w:val="001B03B7"/>
    <w:rsid w:val="001B2D5B"/>
    <w:rsid w:val="001B45B8"/>
    <w:rsid w:val="001C0C32"/>
    <w:rsid w:val="001C2428"/>
    <w:rsid w:val="001C4B1F"/>
    <w:rsid w:val="001C6615"/>
    <w:rsid w:val="001D6147"/>
    <w:rsid w:val="001E1A66"/>
    <w:rsid w:val="001E1D78"/>
    <w:rsid w:val="001E201C"/>
    <w:rsid w:val="001E3068"/>
    <w:rsid w:val="001E384F"/>
    <w:rsid w:val="001E38E7"/>
    <w:rsid w:val="001E422E"/>
    <w:rsid w:val="001E4876"/>
    <w:rsid w:val="001E48AB"/>
    <w:rsid w:val="001E6A8D"/>
    <w:rsid w:val="001E72AC"/>
    <w:rsid w:val="001E73E4"/>
    <w:rsid w:val="001F0503"/>
    <w:rsid w:val="001F10CC"/>
    <w:rsid w:val="001F2BF2"/>
    <w:rsid w:val="001F2E9E"/>
    <w:rsid w:val="001F3188"/>
    <w:rsid w:val="001F583D"/>
    <w:rsid w:val="001F63CE"/>
    <w:rsid w:val="00200ABF"/>
    <w:rsid w:val="002025A0"/>
    <w:rsid w:val="0020306A"/>
    <w:rsid w:val="00204028"/>
    <w:rsid w:val="0020554E"/>
    <w:rsid w:val="00205FCE"/>
    <w:rsid w:val="0021018F"/>
    <w:rsid w:val="00211FE4"/>
    <w:rsid w:val="00213AD4"/>
    <w:rsid w:val="00213C72"/>
    <w:rsid w:val="00214C5A"/>
    <w:rsid w:val="002156A1"/>
    <w:rsid w:val="00216CDE"/>
    <w:rsid w:val="00216D17"/>
    <w:rsid w:val="00225C8D"/>
    <w:rsid w:val="00231E3A"/>
    <w:rsid w:val="002338BA"/>
    <w:rsid w:val="00233B50"/>
    <w:rsid w:val="002344C9"/>
    <w:rsid w:val="00234917"/>
    <w:rsid w:val="0024509A"/>
    <w:rsid w:val="002474FB"/>
    <w:rsid w:val="00251212"/>
    <w:rsid w:val="00253093"/>
    <w:rsid w:val="00253FF3"/>
    <w:rsid w:val="00254CC1"/>
    <w:rsid w:val="002551EF"/>
    <w:rsid w:val="00256976"/>
    <w:rsid w:val="002607FE"/>
    <w:rsid w:val="002629F7"/>
    <w:rsid w:val="00262A51"/>
    <w:rsid w:val="00263C53"/>
    <w:rsid w:val="002652F8"/>
    <w:rsid w:val="00266B88"/>
    <w:rsid w:val="00267E42"/>
    <w:rsid w:val="0027155B"/>
    <w:rsid w:val="002718D9"/>
    <w:rsid w:val="00273F4D"/>
    <w:rsid w:val="00274806"/>
    <w:rsid w:val="00275845"/>
    <w:rsid w:val="002772E1"/>
    <w:rsid w:val="00282158"/>
    <w:rsid w:val="00283D04"/>
    <w:rsid w:val="00283DCC"/>
    <w:rsid w:val="0028455A"/>
    <w:rsid w:val="0028585B"/>
    <w:rsid w:val="002876CF"/>
    <w:rsid w:val="00290373"/>
    <w:rsid w:val="00290CEA"/>
    <w:rsid w:val="00292E4A"/>
    <w:rsid w:val="0029480D"/>
    <w:rsid w:val="002A07F4"/>
    <w:rsid w:val="002A1878"/>
    <w:rsid w:val="002A26CD"/>
    <w:rsid w:val="002A5ACF"/>
    <w:rsid w:val="002A6CFB"/>
    <w:rsid w:val="002A6FFB"/>
    <w:rsid w:val="002A7366"/>
    <w:rsid w:val="002B042F"/>
    <w:rsid w:val="002B0FEB"/>
    <w:rsid w:val="002B25B6"/>
    <w:rsid w:val="002B2931"/>
    <w:rsid w:val="002B2B80"/>
    <w:rsid w:val="002B594D"/>
    <w:rsid w:val="002B6D52"/>
    <w:rsid w:val="002B771D"/>
    <w:rsid w:val="002C0976"/>
    <w:rsid w:val="002C236C"/>
    <w:rsid w:val="002C2790"/>
    <w:rsid w:val="002C3A18"/>
    <w:rsid w:val="002C65DB"/>
    <w:rsid w:val="002C68B5"/>
    <w:rsid w:val="002D0BBB"/>
    <w:rsid w:val="002D16B7"/>
    <w:rsid w:val="002D29C3"/>
    <w:rsid w:val="002D41EE"/>
    <w:rsid w:val="002D52D3"/>
    <w:rsid w:val="002D57B7"/>
    <w:rsid w:val="002D65CF"/>
    <w:rsid w:val="002D66F5"/>
    <w:rsid w:val="002D73BC"/>
    <w:rsid w:val="002D7EDA"/>
    <w:rsid w:val="002E3142"/>
    <w:rsid w:val="002E3A79"/>
    <w:rsid w:val="002E46A9"/>
    <w:rsid w:val="002E7D38"/>
    <w:rsid w:val="002F2904"/>
    <w:rsid w:val="002F4949"/>
    <w:rsid w:val="002F6166"/>
    <w:rsid w:val="002F65C1"/>
    <w:rsid w:val="002F7AFA"/>
    <w:rsid w:val="002F7FC3"/>
    <w:rsid w:val="0030166E"/>
    <w:rsid w:val="0030173D"/>
    <w:rsid w:val="00303043"/>
    <w:rsid w:val="00304062"/>
    <w:rsid w:val="00307B5B"/>
    <w:rsid w:val="003107C3"/>
    <w:rsid w:val="003109B3"/>
    <w:rsid w:val="00313D8C"/>
    <w:rsid w:val="003142B3"/>
    <w:rsid w:val="00317F81"/>
    <w:rsid w:val="003203F1"/>
    <w:rsid w:val="00320C8F"/>
    <w:rsid w:val="00321645"/>
    <w:rsid w:val="00321992"/>
    <w:rsid w:val="00322A43"/>
    <w:rsid w:val="003237AB"/>
    <w:rsid w:val="003237D0"/>
    <w:rsid w:val="00323F13"/>
    <w:rsid w:val="00324CFE"/>
    <w:rsid w:val="00325C26"/>
    <w:rsid w:val="00326CFC"/>
    <w:rsid w:val="0033136D"/>
    <w:rsid w:val="00332733"/>
    <w:rsid w:val="00332C0A"/>
    <w:rsid w:val="00337C40"/>
    <w:rsid w:val="00341D11"/>
    <w:rsid w:val="003430F4"/>
    <w:rsid w:val="00343734"/>
    <w:rsid w:val="00344386"/>
    <w:rsid w:val="00344B61"/>
    <w:rsid w:val="00345BDE"/>
    <w:rsid w:val="00347140"/>
    <w:rsid w:val="00347888"/>
    <w:rsid w:val="00347D92"/>
    <w:rsid w:val="0035022B"/>
    <w:rsid w:val="00352A88"/>
    <w:rsid w:val="0035321E"/>
    <w:rsid w:val="00353C51"/>
    <w:rsid w:val="00354772"/>
    <w:rsid w:val="0035517D"/>
    <w:rsid w:val="00356C3D"/>
    <w:rsid w:val="00357DE1"/>
    <w:rsid w:val="00362A8E"/>
    <w:rsid w:val="0036597A"/>
    <w:rsid w:val="0037060B"/>
    <w:rsid w:val="00371634"/>
    <w:rsid w:val="003722EF"/>
    <w:rsid w:val="003752DD"/>
    <w:rsid w:val="00376212"/>
    <w:rsid w:val="00377F0E"/>
    <w:rsid w:val="00380601"/>
    <w:rsid w:val="00381119"/>
    <w:rsid w:val="00385D81"/>
    <w:rsid w:val="00386B80"/>
    <w:rsid w:val="00387366"/>
    <w:rsid w:val="003901F2"/>
    <w:rsid w:val="00391297"/>
    <w:rsid w:val="00391F9D"/>
    <w:rsid w:val="00396F87"/>
    <w:rsid w:val="003971C8"/>
    <w:rsid w:val="003A1B17"/>
    <w:rsid w:val="003A42DB"/>
    <w:rsid w:val="003A43EC"/>
    <w:rsid w:val="003A6E91"/>
    <w:rsid w:val="003A772A"/>
    <w:rsid w:val="003B0BD9"/>
    <w:rsid w:val="003B1FDE"/>
    <w:rsid w:val="003B299A"/>
    <w:rsid w:val="003B2AA9"/>
    <w:rsid w:val="003B2DD1"/>
    <w:rsid w:val="003B2E21"/>
    <w:rsid w:val="003C00E8"/>
    <w:rsid w:val="003C0D48"/>
    <w:rsid w:val="003C320E"/>
    <w:rsid w:val="003C713D"/>
    <w:rsid w:val="003C790D"/>
    <w:rsid w:val="003C7E28"/>
    <w:rsid w:val="003D15E2"/>
    <w:rsid w:val="003D379D"/>
    <w:rsid w:val="003D4F2F"/>
    <w:rsid w:val="003D50B6"/>
    <w:rsid w:val="003D6752"/>
    <w:rsid w:val="003E1137"/>
    <w:rsid w:val="003E383E"/>
    <w:rsid w:val="003E6632"/>
    <w:rsid w:val="003E6FF8"/>
    <w:rsid w:val="003F143E"/>
    <w:rsid w:val="003F1787"/>
    <w:rsid w:val="003F30DF"/>
    <w:rsid w:val="003F6F7A"/>
    <w:rsid w:val="0040046A"/>
    <w:rsid w:val="00402879"/>
    <w:rsid w:val="00403D8E"/>
    <w:rsid w:val="00404EA3"/>
    <w:rsid w:val="00407B3C"/>
    <w:rsid w:val="00410CC6"/>
    <w:rsid w:val="00411249"/>
    <w:rsid w:val="00411945"/>
    <w:rsid w:val="004121C1"/>
    <w:rsid w:val="00413565"/>
    <w:rsid w:val="00413585"/>
    <w:rsid w:val="00414EE5"/>
    <w:rsid w:val="0041537C"/>
    <w:rsid w:val="004176D6"/>
    <w:rsid w:val="00420D38"/>
    <w:rsid w:val="00421493"/>
    <w:rsid w:val="00422230"/>
    <w:rsid w:val="00422FE7"/>
    <w:rsid w:val="00425AF3"/>
    <w:rsid w:val="00427AD4"/>
    <w:rsid w:val="0043009B"/>
    <w:rsid w:val="00430906"/>
    <w:rsid w:val="004317D9"/>
    <w:rsid w:val="004318CF"/>
    <w:rsid w:val="004328CE"/>
    <w:rsid w:val="004337BE"/>
    <w:rsid w:val="0043464E"/>
    <w:rsid w:val="004372CE"/>
    <w:rsid w:val="00440376"/>
    <w:rsid w:val="0044156B"/>
    <w:rsid w:val="00441D8F"/>
    <w:rsid w:val="0044349E"/>
    <w:rsid w:val="0044382F"/>
    <w:rsid w:val="00447230"/>
    <w:rsid w:val="00451CF6"/>
    <w:rsid w:val="00452663"/>
    <w:rsid w:val="00452B4F"/>
    <w:rsid w:val="00452FF9"/>
    <w:rsid w:val="00454337"/>
    <w:rsid w:val="00455501"/>
    <w:rsid w:val="004556F1"/>
    <w:rsid w:val="0046099A"/>
    <w:rsid w:val="00460C4E"/>
    <w:rsid w:val="00463066"/>
    <w:rsid w:val="00464441"/>
    <w:rsid w:val="00466149"/>
    <w:rsid w:val="004661FE"/>
    <w:rsid w:val="004669B9"/>
    <w:rsid w:val="00470BB5"/>
    <w:rsid w:val="00471358"/>
    <w:rsid w:val="00472CA3"/>
    <w:rsid w:val="0047365C"/>
    <w:rsid w:val="00473ED2"/>
    <w:rsid w:val="0047405F"/>
    <w:rsid w:val="00475BE8"/>
    <w:rsid w:val="004768A6"/>
    <w:rsid w:val="00476A12"/>
    <w:rsid w:val="00476EA7"/>
    <w:rsid w:val="0047742D"/>
    <w:rsid w:val="00477946"/>
    <w:rsid w:val="00481226"/>
    <w:rsid w:val="004832BE"/>
    <w:rsid w:val="00483D8A"/>
    <w:rsid w:val="00484570"/>
    <w:rsid w:val="004847CA"/>
    <w:rsid w:val="00485348"/>
    <w:rsid w:val="00485A20"/>
    <w:rsid w:val="00491E8D"/>
    <w:rsid w:val="0049620C"/>
    <w:rsid w:val="004A0188"/>
    <w:rsid w:val="004A073E"/>
    <w:rsid w:val="004A2859"/>
    <w:rsid w:val="004A353F"/>
    <w:rsid w:val="004A5675"/>
    <w:rsid w:val="004A579F"/>
    <w:rsid w:val="004A69A9"/>
    <w:rsid w:val="004B06CD"/>
    <w:rsid w:val="004B486C"/>
    <w:rsid w:val="004B74C3"/>
    <w:rsid w:val="004C1182"/>
    <w:rsid w:val="004C2102"/>
    <w:rsid w:val="004D26E5"/>
    <w:rsid w:val="004D3D32"/>
    <w:rsid w:val="004D4B49"/>
    <w:rsid w:val="004D754B"/>
    <w:rsid w:val="004D7D7A"/>
    <w:rsid w:val="004E0CA0"/>
    <w:rsid w:val="004E2EDE"/>
    <w:rsid w:val="004E3BB1"/>
    <w:rsid w:val="004E61BC"/>
    <w:rsid w:val="004E6CC2"/>
    <w:rsid w:val="004F1A8F"/>
    <w:rsid w:val="004F232A"/>
    <w:rsid w:val="004F304F"/>
    <w:rsid w:val="004F47D4"/>
    <w:rsid w:val="004F494E"/>
    <w:rsid w:val="004F4E09"/>
    <w:rsid w:val="004F5A14"/>
    <w:rsid w:val="004F7059"/>
    <w:rsid w:val="004F70F8"/>
    <w:rsid w:val="004F7D0A"/>
    <w:rsid w:val="00501F34"/>
    <w:rsid w:val="005036FE"/>
    <w:rsid w:val="0050534E"/>
    <w:rsid w:val="00511015"/>
    <w:rsid w:val="00511694"/>
    <w:rsid w:val="0051220D"/>
    <w:rsid w:val="00512AE5"/>
    <w:rsid w:val="005166DE"/>
    <w:rsid w:val="00517880"/>
    <w:rsid w:val="00517A23"/>
    <w:rsid w:val="00520175"/>
    <w:rsid w:val="00522A62"/>
    <w:rsid w:val="00522D07"/>
    <w:rsid w:val="00523620"/>
    <w:rsid w:val="0052418A"/>
    <w:rsid w:val="005250A5"/>
    <w:rsid w:val="005255FA"/>
    <w:rsid w:val="00525DB7"/>
    <w:rsid w:val="0052646A"/>
    <w:rsid w:val="0052701A"/>
    <w:rsid w:val="00530232"/>
    <w:rsid w:val="0053168A"/>
    <w:rsid w:val="005318D9"/>
    <w:rsid w:val="00533E63"/>
    <w:rsid w:val="00534E75"/>
    <w:rsid w:val="00536EA9"/>
    <w:rsid w:val="00537ED8"/>
    <w:rsid w:val="005402D8"/>
    <w:rsid w:val="00540C45"/>
    <w:rsid w:val="00540CCB"/>
    <w:rsid w:val="00541B12"/>
    <w:rsid w:val="005423A5"/>
    <w:rsid w:val="005428F2"/>
    <w:rsid w:val="00543C5C"/>
    <w:rsid w:val="00543C93"/>
    <w:rsid w:val="00544B6D"/>
    <w:rsid w:val="005457E7"/>
    <w:rsid w:val="005507F4"/>
    <w:rsid w:val="0055195D"/>
    <w:rsid w:val="005521E7"/>
    <w:rsid w:val="00553289"/>
    <w:rsid w:val="005552DE"/>
    <w:rsid w:val="00555EAD"/>
    <w:rsid w:val="005560EB"/>
    <w:rsid w:val="005573C4"/>
    <w:rsid w:val="00560873"/>
    <w:rsid w:val="00561178"/>
    <w:rsid w:val="00561EB6"/>
    <w:rsid w:val="00562D71"/>
    <w:rsid w:val="00562E6B"/>
    <w:rsid w:val="00565F57"/>
    <w:rsid w:val="005660ED"/>
    <w:rsid w:val="005668B3"/>
    <w:rsid w:val="00571780"/>
    <w:rsid w:val="00573102"/>
    <w:rsid w:val="00573197"/>
    <w:rsid w:val="00573CD8"/>
    <w:rsid w:val="00573DE4"/>
    <w:rsid w:val="00575321"/>
    <w:rsid w:val="00577DB7"/>
    <w:rsid w:val="00577F57"/>
    <w:rsid w:val="005803CA"/>
    <w:rsid w:val="00581B73"/>
    <w:rsid w:val="00583D79"/>
    <w:rsid w:val="005840BE"/>
    <w:rsid w:val="005842A8"/>
    <w:rsid w:val="00586579"/>
    <w:rsid w:val="00592834"/>
    <w:rsid w:val="00592EB3"/>
    <w:rsid w:val="0059315D"/>
    <w:rsid w:val="00593340"/>
    <w:rsid w:val="005956F5"/>
    <w:rsid w:val="00597418"/>
    <w:rsid w:val="005A17CE"/>
    <w:rsid w:val="005A1BA1"/>
    <w:rsid w:val="005A3B9B"/>
    <w:rsid w:val="005A3BF8"/>
    <w:rsid w:val="005A641F"/>
    <w:rsid w:val="005A6D1E"/>
    <w:rsid w:val="005B05C6"/>
    <w:rsid w:val="005B0F19"/>
    <w:rsid w:val="005B1FB3"/>
    <w:rsid w:val="005B25E4"/>
    <w:rsid w:val="005B3CB3"/>
    <w:rsid w:val="005B7F89"/>
    <w:rsid w:val="005C04C7"/>
    <w:rsid w:val="005C11A4"/>
    <w:rsid w:val="005C2703"/>
    <w:rsid w:val="005C43E8"/>
    <w:rsid w:val="005C481E"/>
    <w:rsid w:val="005C4D5B"/>
    <w:rsid w:val="005D0942"/>
    <w:rsid w:val="005D22AB"/>
    <w:rsid w:val="005D4D7F"/>
    <w:rsid w:val="005E6FA5"/>
    <w:rsid w:val="005E715C"/>
    <w:rsid w:val="005E7D3A"/>
    <w:rsid w:val="005F08FC"/>
    <w:rsid w:val="005F2ABD"/>
    <w:rsid w:val="005F362B"/>
    <w:rsid w:val="005F3B43"/>
    <w:rsid w:val="005F52E3"/>
    <w:rsid w:val="005F5E39"/>
    <w:rsid w:val="005F65B8"/>
    <w:rsid w:val="005F7239"/>
    <w:rsid w:val="006020BC"/>
    <w:rsid w:val="00605EAB"/>
    <w:rsid w:val="00610026"/>
    <w:rsid w:val="00611D04"/>
    <w:rsid w:val="00614923"/>
    <w:rsid w:val="00615FF7"/>
    <w:rsid w:val="00616935"/>
    <w:rsid w:val="00616A77"/>
    <w:rsid w:val="00616AE8"/>
    <w:rsid w:val="006173BA"/>
    <w:rsid w:val="00617D2C"/>
    <w:rsid w:val="006208B3"/>
    <w:rsid w:val="0062225F"/>
    <w:rsid w:val="00622C59"/>
    <w:rsid w:val="006232F8"/>
    <w:rsid w:val="006254B1"/>
    <w:rsid w:val="00626220"/>
    <w:rsid w:val="00626D9A"/>
    <w:rsid w:val="006270F6"/>
    <w:rsid w:val="00627578"/>
    <w:rsid w:val="0063080A"/>
    <w:rsid w:val="0063089D"/>
    <w:rsid w:val="00630959"/>
    <w:rsid w:val="00632B6B"/>
    <w:rsid w:val="006352A6"/>
    <w:rsid w:val="00635EA2"/>
    <w:rsid w:val="006366A0"/>
    <w:rsid w:val="00637080"/>
    <w:rsid w:val="00641214"/>
    <w:rsid w:val="006417F2"/>
    <w:rsid w:val="0064267B"/>
    <w:rsid w:val="00643950"/>
    <w:rsid w:val="00643C10"/>
    <w:rsid w:val="00650843"/>
    <w:rsid w:val="00650973"/>
    <w:rsid w:val="00650D0E"/>
    <w:rsid w:val="006525CE"/>
    <w:rsid w:val="00653EF0"/>
    <w:rsid w:val="00654068"/>
    <w:rsid w:val="0065448B"/>
    <w:rsid w:val="006554ED"/>
    <w:rsid w:val="00657AA9"/>
    <w:rsid w:val="006611A8"/>
    <w:rsid w:val="00661AAC"/>
    <w:rsid w:val="00661C06"/>
    <w:rsid w:val="006623C1"/>
    <w:rsid w:val="00662A60"/>
    <w:rsid w:val="00665AC0"/>
    <w:rsid w:val="00665D73"/>
    <w:rsid w:val="006675A8"/>
    <w:rsid w:val="00672B4B"/>
    <w:rsid w:val="0067348D"/>
    <w:rsid w:val="006734C9"/>
    <w:rsid w:val="00675D7D"/>
    <w:rsid w:val="00682663"/>
    <w:rsid w:val="00686C19"/>
    <w:rsid w:val="00690058"/>
    <w:rsid w:val="00690134"/>
    <w:rsid w:val="00692556"/>
    <w:rsid w:val="00692A0D"/>
    <w:rsid w:val="00693EB0"/>
    <w:rsid w:val="00694964"/>
    <w:rsid w:val="00694C39"/>
    <w:rsid w:val="006A05D7"/>
    <w:rsid w:val="006A15E4"/>
    <w:rsid w:val="006A1732"/>
    <w:rsid w:val="006A36D9"/>
    <w:rsid w:val="006A36F8"/>
    <w:rsid w:val="006A52D4"/>
    <w:rsid w:val="006B1672"/>
    <w:rsid w:val="006B267E"/>
    <w:rsid w:val="006B4015"/>
    <w:rsid w:val="006B6B06"/>
    <w:rsid w:val="006C0B33"/>
    <w:rsid w:val="006C1D6F"/>
    <w:rsid w:val="006C22F0"/>
    <w:rsid w:val="006C2884"/>
    <w:rsid w:val="006C2E1F"/>
    <w:rsid w:val="006C469D"/>
    <w:rsid w:val="006C6532"/>
    <w:rsid w:val="006D15C9"/>
    <w:rsid w:val="006D1BBD"/>
    <w:rsid w:val="006D467C"/>
    <w:rsid w:val="006D5EFE"/>
    <w:rsid w:val="006D6CA3"/>
    <w:rsid w:val="006D714F"/>
    <w:rsid w:val="006D7B63"/>
    <w:rsid w:val="006D7DF9"/>
    <w:rsid w:val="006E2FA8"/>
    <w:rsid w:val="006E31A5"/>
    <w:rsid w:val="006E58FA"/>
    <w:rsid w:val="006E5FBE"/>
    <w:rsid w:val="006F06C8"/>
    <w:rsid w:val="006F1329"/>
    <w:rsid w:val="006F17D3"/>
    <w:rsid w:val="006F18C6"/>
    <w:rsid w:val="006F260B"/>
    <w:rsid w:val="006F299E"/>
    <w:rsid w:val="006F5BE4"/>
    <w:rsid w:val="006F5EAB"/>
    <w:rsid w:val="00701A97"/>
    <w:rsid w:val="00702AC5"/>
    <w:rsid w:val="00703827"/>
    <w:rsid w:val="00705C00"/>
    <w:rsid w:val="007069E7"/>
    <w:rsid w:val="00706C4B"/>
    <w:rsid w:val="00707DC4"/>
    <w:rsid w:val="00710F63"/>
    <w:rsid w:val="007121F3"/>
    <w:rsid w:val="0071579A"/>
    <w:rsid w:val="00715DCA"/>
    <w:rsid w:val="00716FDA"/>
    <w:rsid w:val="007173A3"/>
    <w:rsid w:val="00717950"/>
    <w:rsid w:val="00720A59"/>
    <w:rsid w:val="00722943"/>
    <w:rsid w:val="00722AEB"/>
    <w:rsid w:val="00723FD7"/>
    <w:rsid w:val="00724DF3"/>
    <w:rsid w:val="007259F3"/>
    <w:rsid w:val="00733662"/>
    <w:rsid w:val="0073372A"/>
    <w:rsid w:val="0073587A"/>
    <w:rsid w:val="00737DD2"/>
    <w:rsid w:val="007413BD"/>
    <w:rsid w:val="00745815"/>
    <w:rsid w:val="00746871"/>
    <w:rsid w:val="00746B76"/>
    <w:rsid w:val="0074707F"/>
    <w:rsid w:val="00747F86"/>
    <w:rsid w:val="00750C8F"/>
    <w:rsid w:val="007551DA"/>
    <w:rsid w:val="0075526F"/>
    <w:rsid w:val="00755400"/>
    <w:rsid w:val="00760AAF"/>
    <w:rsid w:val="00760B68"/>
    <w:rsid w:val="00763737"/>
    <w:rsid w:val="007641D3"/>
    <w:rsid w:val="00765B88"/>
    <w:rsid w:val="00765CFC"/>
    <w:rsid w:val="00767193"/>
    <w:rsid w:val="007679F9"/>
    <w:rsid w:val="0077017B"/>
    <w:rsid w:val="007706A4"/>
    <w:rsid w:val="007711F7"/>
    <w:rsid w:val="00771CEC"/>
    <w:rsid w:val="007725AD"/>
    <w:rsid w:val="00772AA5"/>
    <w:rsid w:val="00775924"/>
    <w:rsid w:val="00775FE0"/>
    <w:rsid w:val="00776B86"/>
    <w:rsid w:val="00776F77"/>
    <w:rsid w:val="00780200"/>
    <w:rsid w:val="00780785"/>
    <w:rsid w:val="00782EBF"/>
    <w:rsid w:val="00783806"/>
    <w:rsid w:val="007841B8"/>
    <w:rsid w:val="007855CE"/>
    <w:rsid w:val="0078592A"/>
    <w:rsid w:val="00786AF7"/>
    <w:rsid w:val="00786BC9"/>
    <w:rsid w:val="00787247"/>
    <w:rsid w:val="00790725"/>
    <w:rsid w:val="00792E88"/>
    <w:rsid w:val="007954CE"/>
    <w:rsid w:val="00796B79"/>
    <w:rsid w:val="0079796F"/>
    <w:rsid w:val="00797DFB"/>
    <w:rsid w:val="007A063B"/>
    <w:rsid w:val="007A2430"/>
    <w:rsid w:val="007A4FDD"/>
    <w:rsid w:val="007A7286"/>
    <w:rsid w:val="007A7890"/>
    <w:rsid w:val="007B0580"/>
    <w:rsid w:val="007B1104"/>
    <w:rsid w:val="007B13AF"/>
    <w:rsid w:val="007B13FC"/>
    <w:rsid w:val="007B19F6"/>
    <w:rsid w:val="007B435F"/>
    <w:rsid w:val="007B48CD"/>
    <w:rsid w:val="007B630E"/>
    <w:rsid w:val="007B669C"/>
    <w:rsid w:val="007C0FE1"/>
    <w:rsid w:val="007C10FC"/>
    <w:rsid w:val="007C1110"/>
    <w:rsid w:val="007C1F98"/>
    <w:rsid w:val="007C2309"/>
    <w:rsid w:val="007C2BFE"/>
    <w:rsid w:val="007C4709"/>
    <w:rsid w:val="007C68AE"/>
    <w:rsid w:val="007D02A6"/>
    <w:rsid w:val="007D099E"/>
    <w:rsid w:val="007D2023"/>
    <w:rsid w:val="007D2A81"/>
    <w:rsid w:val="007D39FB"/>
    <w:rsid w:val="007D638E"/>
    <w:rsid w:val="007D6998"/>
    <w:rsid w:val="007D6D34"/>
    <w:rsid w:val="007D76BE"/>
    <w:rsid w:val="007E1F0E"/>
    <w:rsid w:val="007E37FA"/>
    <w:rsid w:val="007E4364"/>
    <w:rsid w:val="007E4E1D"/>
    <w:rsid w:val="007E6ACA"/>
    <w:rsid w:val="007E6F7E"/>
    <w:rsid w:val="007F02C4"/>
    <w:rsid w:val="007F304F"/>
    <w:rsid w:val="007F485F"/>
    <w:rsid w:val="007F5568"/>
    <w:rsid w:val="008009E4"/>
    <w:rsid w:val="00802EDA"/>
    <w:rsid w:val="008104AE"/>
    <w:rsid w:val="00811C7D"/>
    <w:rsid w:val="00811E0F"/>
    <w:rsid w:val="00811F2E"/>
    <w:rsid w:val="0081363B"/>
    <w:rsid w:val="00816082"/>
    <w:rsid w:val="00816BCA"/>
    <w:rsid w:val="00816EDC"/>
    <w:rsid w:val="00817388"/>
    <w:rsid w:val="008178AA"/>
    <w:rsid w:val="00825817"/>
    <w:rsid w:val="008258E8"/>
    <w:rsid w:val="008260AC"/>
    <w:rsid w:val="00826AD6"/>
    <w:rsid w:val="008276E9"/>
    <w:rsid w:val="00827D22"/>
    <w:rsid w:val="00830160"/>
    <w:rsid w:val="00830722"/>
    <w:rsid w:val="00830BFC"/>
    <w:rsid w:val="00830E11"/>
    <w:rsid w:val="008408AE"/>
    <w:rsid w:val="008425F2"/>
    <w:rsid w:val="00843508"/>
    <w:rsid w:val="008501F0"/>
    <w:rsid w:val="00850B14"/>
    <w:rsid w:val="00850D2A"/>
    <w:rsid w:val="008512D1"/>
    <w:rsid w:val="00855EF6"/>
    <w:rsid w:val="00856455"/>
    <w:rsid w:val="00857403"/>
    <w:rsid w:val="00857DB5"/>
    <w:rsid w:val="00861394"/>
    <w:rsid w:val="00861F29"/>
    <w:rsid w:val="00862C5F"/>
    <w:rsid w:val="008637AB"/>
    <w:rsid w:val="00864499"/>
    <w:rsid w:val="00865CB9"/>
    <w:rsid w:val="00867E2C"/>
    <w:rsid w:val="0087017E"/>
    <w:rsid w:val="008704A6"/>
    <w:rsid w:val="008704BC"/>
    <w:rsid w:val="0087359C"/>
    <w:rsid w:val="00874393"/>
    <w:rsid w:val="008748CD"/>
    <w:rsid w:val="00875CE0"/>
    <w:rsid w:val="00880443"/>
    <w:rsid w:val="00881063"/>
    <w:rsid w:val="00881BBA"/>
    <w:rsid w:val="00881CEF"/>
    <w:rsid w:val="0088247B"/>
    <w:rsid w:val="008830FF"/>
    <w:rsid w:val="0088606A"/>
    <w:rsid w:val="008865A6"/>
    <w:rsid w:val="00886C26"/>
    <w:rsid w:val="008918D7"/>
    <w:rsid w:val="00891AC9"/>
    <w:rsid w:val="00893155"/>
    <w:rsid w:val="008970F0"/>
    <w:rsid w:val="0089765C"/>
    <w:rsid w:val="008A032D"/>
    <w:rsid w:val="008A0337"/>
    <w:rsid w:val="008A0E5B"/>
    <w:rsid w:val="008A1CFE"/>
    <w:rsid w:val="008A260E"/>
    <w:rsid w:val="008A27C7"/>
    <w:rsid w:val="008A2D9D"/>
    <w:rsid w:val="008A4C80"/>
    <w:rsid w:val="008A4CA5"/>
    <w:rsid w:val="008B08F2"/>
    <w:rsid w:val="008B0EBB"/>
    <w:rsid w:val="008B133E"/>
    <w:rsid w:val="008B1A9F"/>
    <w:rsid w:val="008B2C70"/>
    <w:rsid w:val="008B3682"/>
    <w:rsid w:val="008B3920"/>
    <w:rsid w:val="008B3D32"/>
    <w:rsid w:val="008B4A94"/>
    <w:rsid w:val="008B4FE2"/>
    <w:rsid w:val="008B6606"/>
    <w:rsid w:val="008B7C09"/>
    <w:rsid w:val="008C2A4E"/>
    <w:rsid w:val="008C32CC"/>
    <w:rsid w:val="008C34D8"/>
    <w:rsid w:val="008C72D3"/>
    <w:rsid w:val="008C7A9C"/>
    <w:rsid w:val="008D0DB6"/>
    <w:rsid w:val="008D1DA7"/>
    <w:rsid w:val="008D52C7"/>
    <w:rsid w:val="008D5999"/>
    <w:rsid w:val="008D5C47"/>
    <w:rsid w:val="008D672E"/>
    <w:rsid w:val="008D7C87"/>
    <w:rsid w:val="008E013C"/>
    <w:rsid w:val="008E0403"/>
    <w:rsid w:val="008E1684"/>
    <w:rsid w:val="008E5A60"/>
    <w:rsid w:val="008F35F5"/>
    <w:rsid w:val="008F428D"/>
    <w:rsid w:val="008F4F2D"/>
    <w:rsid w:val="008F707C"/>
    <w:rsid w:val="008F76F3"/>
    <w:rsid w:val="00900B6A"/>
    <w:rsid w:val="00901AF5"/>
    <w:rsid w:val="00903080"/>
    <w:rsid w:val="0090419C"/>
    <w:rsid w:val="009050B5"/>
    <w:rsid w:val="009131F5"/>
    <w:rsid w:val="009136DE"/>
    <w:rsid w:val="009141EF"/>
    <w:rsid w:val="0091421F"/>
    <w:rsid w:val="00914331"/>
    <w:rsid w:val="0091455C"/>
    <w:rsid w:val="009149E9"/>
    <w:rsid w:val="00914BFA"/>
    <w:rsid w:val="009166CC"/>
    <w:rsid w:val="00916BE8"/>
    <w:rsid w:val="00916F60"/>
    <w:rsid w:val="0091776D"/>
    <w:rsid w:val="009209B3"/>
    <w:rsid w:val="00920B28"/>
    <w:rsid w:val="0092159C"/>
    <w:rsid w:val="00921BB5"/>
    <w:rsid w:val="009300CA"/>
    <w:rsid w:val="009310B3"/>
    <w:rsid w:val="009314AF"/>
    <w:rsid w:val="00933DC2"/>
    <w:rsid w:val="009345B7"/>
    <w:rsid w:val="009345D7"/>
    <w:rsid w:val="009358B1"/>
    <w:rsid w:val="009368F2"/>
    <w:rsid w:val="0093743A"/>
    <w:rsid w:val="00937EB0"/>
    <w:rsid w:val="00940DAD"/>
    <w:rsid w:val="00941E0D"/>
    <w:rsid w:val="00942283"/>
    <w:rsid w:val="009427CA"/>
    <w:rsid w:val="00943A6B"/>
    <w:rsid w:val="00943AC3"/>
    <w:rsid w:val="009465B7"/>
    <w:rsid w:val="009471EE"/>
    <w:rsid w:val="00950169"/>
    <w:rsid w:val="00951599"/>
    <w:rsid w:val="009530DA"/>
    <w:rsid w:val="00954363"/>
    <w:rsid w:val="00954A82"/>
    <w:rsid w:val="00954C83"/>
    <w:rsid w:val="00955A25"/>
    <w:rsid w:val="009611FE"/>
    <w:rsid w:val="00962B64"/>
    <w:rsid w:val="009633AE"/>
    <w:rsid w:val="0096612E"/>
    <w:rsid w:val="00966FD9"/>
    <w:rsid w:val="0097177B"/>
    <w:rsid w:val="009731F6"/>
    <w:rsid w:val="00974F33"/>
    <w:rsid w:val="009753CF"/>
    <w:rsid w:val="0097575B"/>
    <w:rsid w:val="009777D9"/>
    <w:rsid w:val="00977ECA"/>
    <w:rsid w:val="00981192"/>
    <w:rsid w:val="00981221"/>
    <w:rsid w:val="00981FC1"/>
    <w:rsid w:val="009822E6"/>
    <w:rsid w:val="0098255B"/>
    <w:rsid w:val="0098465A"/>
    <w:rsid w:val="00986D05"/>
    <w:rsid w:val="0098711E"/>
    <w:rsid w:val="0099130C"/>
    <w:rsid w:val="00995960"/>
    <w:rsid w:val="0099737C"/>
    <w:rsid w:val="009A04AB"/>
    <w:rsid w:val="009A229A"/>
    <w:rsid w:val="009A30D2"/>
    <w:rsid w:val="009A5D98"/>
    <w:rsid w:val="009A746D"/>
    <w:rsid w:val="009A7AEA"/>
    <w:rsid w:val="009B2A0E"/>
    <w:rsid w:val="009B2BE9"/>
    <w:rsid w:val="009B427E"/>
    <w:rsid w:val="009B483B"/>
    <w:rsid w:val="009B48D9"/>
    <w:rsid w:val="009B4C26"/>
    <w:rsid w:val="009B65B4"/>
    <w:rsid w:val="009C1DBC"/>
    <w:rsid w:val="009C45B1"/>
    <w:rsid w:val="009C6206"/>
    <w:rsid w:val="009C673E"/>
    <w:rsid w:val="009C7E12"/>
    <w:rsid w:val="009D120B"/>
    <w:rsid w:val="009D20D5"/>
    <w:rsid w:val="009D43DC"/>
    <w:rsid w:val="009D46D1"/>
    <w:rsid w:val="009D4998"/>
    <w:rsid w:val="009D5B95"/>
    <w:rsid w:val="009D65F7"/>
    <w:rsid w:val="009D67C4"/>
    <w:rsid w:val="009D6B58"/>
    <w:rsid w:val="009E1F07"/>
    <w:rsid w:val="009E3675"/>
    <w:rsid w:val="009E3D15"/>
    <w:rsid w:val="009E48F3"/>
    <w:rsid w:val="009E4C13"/>
    <w:rsid w:val="009E4F7B"/>
    <w:rsid w:val="009E4FF8"/>
    <w:rsid w:val="009E50BE"/>
    <w:rsid w:val="009E5664"/>
    <w:rsid w:val="009E56DF"/>
    <w:rsid w:val="009E5853"/>
    <w:rsid w:val="009F0357"/>
    <w:rsid w:val="009F1519"/>
    <w:rsid w:val="009F2D5E"/>
    <w:rsid w:val="009F61E9"/>
    <w:rsid w:val="009F6579"/>
    <w:rsid w:val="009F6622"/>
    <w:rsid w:val="00A00198"/>
    <w:rsid w:val="00A01827"/>
    <w:rsid w:val="00A01831"/>
    <w:rsid w:val="00A03D96"/>
    <w:rsid w:val="00A0419A"/>
    <w:rsid w:val="00A04DAD"/>
    <w:rsid w:val="00A06040"/>
    <w:rsid w:val="00A07624"/>
    <w:rsid w:val="00A07D9B"/>
    <w:rsid w:val="00A12F83"/>
    <w:rsid w:val="00A15240"/>
    <w:rsid w:val="00A15280"/>
    <w:rsid w:val="00A15A1C"/>
    <w:rsid w:val="00A163D2"/>
    <w:rsid w:val="00A21392"/>
    <w:rsid w:val="00A24F2C"/>
    <w:rsid w:val="00A2677B"/>
    <w:rsid w:val="00A27E7D"/>
    <w:rsid w:val="00A31A37"/>
    <w:rsid w:val="00A32909"/>
    <w:rsid w:val="00A334EA"/>
    <w:rsid w:val="00A3415C"/>
    <w:rsid w:val="00A361E8"/>
    <w:rsid w:val="00A37032"/>
    <w:rsid w:val="00A3703F"/>
    <w:rsid w:val="00A375C8"/>
    <w:rsid w:val="00A37CAC"/>
    <w:rsid w:val="00A4186A"/>
    <w:rsid w:val="00A420D3"/>
    <w:rsid w:val="00A4244A"/>
    <w:rsid w:val="00A42D8F"/>
    <w:rsid w:val="00A435EC"/>
    <w:rsid w:val="00A446CA"/>
    <w:rsid w:val="00A45345"/>
    <w:rsid w:val="00A45525"/>
    <w:rsid w:val="00A45CF3"/>
    <w:rsid w:val="00A45DBC"/>
    <w:rsid w:val="00A4762B"/>
    <w:rsid w:val="00A507D9"/>
    <w:rsid w:val="00A532A5"/>
    <w:rsid w:val="00A55A37"/>
    <w:rsid w:val="00A5617F"/>
    <w:rsid w:val="00A5662D"/>
    <w:rsid w:val="00A578BA"/>
    <w:rsid w:val="00A57986"/>
    <w:rsid w:val="00A6616D"/>
    <w:rsid w:val="00A6707C"/>
    <w:rsid w:val="00A679EE"/>
    <w:rsid w:val="00A70007"/>
    <w:rsid w:val="00A70FED"/>
    <w:rsid w:val="00A71AA0"/>
    <w:rsid w:val="00A71C3B"/>
    <w:rsid w:val="00A742C5"/>
    <w:rsid w:val="00A7490D"/>
    <w:rsid w:val="00A750EF"/>
    <w:rsid w:val="00A80AEB"/>
    <w:rsid w:val="00A818BB"/>
    <w:rsid w:val="00A8352F"/>
    <w:rsid w:val="00A8486D"/>
    <w:rsid w:val="00A85335"/>
    <w:rsid w:val="00A862AF"/>
    <w:rsid w:val="00A876AD"/>
    <w:rsid w:val="00A87932"/>
    <w:rsid w:val="00A87A3F"/>
    <w:rsid w:val="00A91A70"/>
    <w:rsid w:val="00A950BC"/>
    <w:rsid w:val="00A9532D"/>
    <w:rsid w:val="00A956A1"/>
    <w:rsid w:val="00A97115"/>
    <w:rsid w:val="00A9775D"/>
    <w:rsid w:val="00AA036D"/>
    <w:rsid w:val="00AA2C63"/>
    <w:rsid w:val="00AA4FB3"/>
    <w:rsid w:val="00AA5108"/>
    <w:rsid w:val="00AA58B3"/>
    <w:rsid w:val="00AA5B51"/>
    <w:rsid w:val="00AA5FB7"/>
    <w:rsid w:val="00AA615D"/>
    <w:rsid w:val="00AB094D"/>
    <w:rsid w:val="00AB2CA3"/>
    <w:rsid w:val="00AB509A"/>
    <w:rsid w:val="00AB56B2"/>
    <w:rsid w:val="00AB58BD"/>
    <w:rsid w:val="00AB5E5F"/>
    <w:rsid w:val="00AB65FB"/>
    <w:rsid w:val="00AB74EC"/>
    <w:rsid w:val="00AC15B0"/>
    <w:rsid w:val="00AC523F"/>
    <w:rsid w:val="00AC52AA"/>
    <w:rsid w:val="00AC5E0F"/>
    <w:rsid w:val="00AC6149"/>
    <w:rsid w:val="00AC63A6"/>
    <w:rsid w:val="00AD0D7D"/>
    <w:rsid w:val="00AD481E"/>
    <w:rsid w:val="00AD6F11"/>
    <w:rsid w:val="00AD7E36"/>
    <w:rsid w:val="00AD7EE0"/>
    <w:rsid w:val="00AE03C6"/>
    <w:rsid w:val="00AE0D68"/>
    <w:rsid w:val="00AE225B"/>
    <w:rsid w:val="00AE2CAF"/>
    <w:rsid w:val="00AE32C4"/>
    <w:rsid w:val="00AE359E"/>
    <w:rsid w:val="00AE494C"/>
    <w:rsid w:val="00AE6CD8"/>
    <w:rsid w:val="00AE6EE7"/>
    <w:rsid w:val="00AE7322"/>
    <w:rsid w:val="00AE7B6D"/>
    <w:rsid w:val="00AF325C"/>
    <w:rsid w:val="00AF37B5"/>
    <w:rsid w:val="00AF3D1C"/>
    <w:rsid w:val="00AF4E26"/>
    <w:rsid w:val="00AF50D3"/>
    <w:rsid w:val="00AF549C"/>
    <w:rsid w:val="00AF7EC9"/>
    <w:rsid w:val="00B01CD3"/>
    <w:rsid w:val="00B01CDA"/>
    <w:rsid w:val="00B04061"/>
    <w:rsid w:val="00B048B6"/>
    <w:rsid w:val="00B04A6A"/>
    <w:rsid w:val="00B05701"/>
    <w:rsid w:val="00B05BAF"/>
    <w:rsid w:val="00B0604A"/>
    <w:rsid w:val="00B064CB"/>
    <w:rsid w:val="00B06D64"/>
    <w:rsid w:val="00B13EAD"/>
    <w:rsid w:val="00B172D7"/>
    <w:rsid w:val="00B230B1"/>
    <w:rsid w:val="00B254C3"/>
    <w:rsid w:val="00B25D83"/>
    <w:rsid w:val="00B25DD9"/>
    <w:rsid w:val="00B26F05"/>
    <w:rsid w:val="00B27FD2"/>
    <w:rsid w:val="00B31657"/>
    <w:rsid w:val="00B35904"/>
    <w:rsid w:val="00B35F40"/>
    <w:rsid w:val="00B374D7"/>
    <w:rsid w:val="00B3765C"/>
    <w:rsid w:val="00B37CA7"/>
    <w:rsid w:val="00B400F1"/>
    <w:rsid w:val="00B406BE"/>
    <w:rsid w:val="00B414FF"/>
    <w:rsid w:val="00B531ED"/>
    <w:rsid w:val="00B538FD"/>
    <w:rsid w:val="00B54180"/>
    <w:rsid w:val="00B54828"/>
    <w:rsid w:val="00B54A98"/>
    <w:rsid w:val="00B54E5F"/>
    <w:rsid w:val="00B54F86"/>
    <w:rsid w:val="00B5576B"/>
    <w:rsid w:val="00B64EE6"/>
    <w:rsid w:val="00B651E2"/>
    <w:rsid w:val="00B67CD8"/>
    <w:rsid w:val="00B70A10"/>
    <w:rsid w:val="00B71331"/>
    <w:rsid w:val="00B716B9"/>
    <w:rsid w:val="00B72F0C"/>
    <w:rsid w:val="00B73E55"/>
    <w:rsid w:val="00B74DEC"/>
    <w:rsid w:val="00B7629E"/>
    <w:rsid w:val="00B77F3E"/>
    <w:rsid w:val="00B80FA5"/>
    <w:rsid w:val="00B82ADC"/>
    <w:rsid w:val="00B83AC3"/>
    <w:rsid w:val="00B84989"/>
    <w:rsid w:val="00B85927"/>
    <w:rsid w:val="00B87479"/>
    <w:rsid w:val="00B90CFD"/>
    <w:rsid w:val="00B91F28"/>
    <w:rsid w:val="00B93954"/>
    <w:rsid w:val="00B947B5"/>
    <w:rsid w:val="00B95B41"/>
    <w:rsid w:val="00B970FE"/>
    <w:rsid w:val="00B971D8"/>
    <w:rsid w:val="00BA1009"/>
    <w:rsid w:val="00BA1280"/>
    <w:rsid w:val="00BA1722"/>
    <w:rsid w:val="00BA550A"/>
    <w:rsid w:val="00BA555B"/>
    <w:rsid w:val="00BA6101"/>
    <w:rsid w:val="00BA7566"/>
    <w:rsid w:val="00BA774A"/>
    <w:rsid w:val="00BB0508"/>
    <w:rsid w:val="00BB18AE"/>
    <w:rsid w:val="00BB29BC"/>
    <w:rsid w:val="00BB312F"/>
    <w:rsid w:val="00BB44E7"/>
    <w:rsid w:val="00BB65AB"/>
    <w:rsid w:val="00BB6A88"/>
    <w:rsid w:val="00BC0AF1"/>
    <w:rsid w:val="00BC0BE5"/>
    <w:rsid w:val="00BC1BEB"/>
    <w:rsid w:val="00BC3266"/>
    <w:rsid w:val="00BC5C5C"/>
    <w:rsid w:val="00BC78A0"/>
    <w:rsid w:val="00BD1024"/>
    <w:rsid w:val="00BD1FAC"/>
    <w:rsid w:val="00BD21DF"/>
    <w:rsid w:val="00BD353B"/>
    <w:rsid w:val="00BD3CC5"/>
    <w:rsid w:val="00BD4297"/>
    <w:rsid w:val="00BD5E48"/>
    <w:rsid w:val="00BD6F99"/>
    <w:rsid w:val="00BD7A42"/>
    <w:rsid w:val="00BE1F61"/>
    <w:rsid w:val="00BE3846"/>
    <w:rsid w:val="00BE55F0"/>
    <w:rsid w:val="00BE5C20"/>
    <w:rsid w:val="00BE5FBE"/>
    <w:rsid w:val="00BE6DFF"/>
    <w:rsid w:val="00BE711E"/>
    <w:rsid w:val="00BE77FF"/>
    <w:rsid w:val="00BF01B9"/>
    <w:rsid w:val="00BF0C37"/>
    <w:rsid w:val="00BF0E89"/>
    <w:rsid w:val="00BF2294"/>
    <w:rsid w:val="00BF3D63"/>
    <w:rsid w:val="00BF3E33"/>
    <w:rsid w:val="00BF4953"/>
    <w:rsid w:val="00BF5986"/>
    <w:rsid w:val="00BF6729"/>
    <w:rsid w:val="00BF7584"/>
    <w:rsid w:val="00BF7BF2"/>
    <w:rsid w:val="00C000BC"/>
    <w:rsid w:val="00C0172E"/>
    <w:rsid w:val="00C02561"/>
    <w:rsid w:val="00C028BF"/>
    <w:rsid w:val="00C041F6"/>
    <w:rsid w:val="00C04691"/>
    <w:rsid w:val="00C10A66"/>
    <w:rsid w:val="00C11534"/>
    <w:rsid w:val="00C11AC0"/>
    <w:rsid w:val="00C12107"/>
    <w:rsid w:val="00C12AC7"/>
    <w:rsid w:val="00C13E12"/>
    <w:rsid w:val="00C173BF"/>
    <w:rsid w:val="00C20333"/>
    <w:rsid w:val="00C22C49"/>
    <w:rsid w:val="00C261E5"/>
    <w:rsid w:val="00C26954"/>
    <w:rsid w:val="00C30395"/>
    <w:rsid w:val="00C326A0"/>
    <w:rsid w:val="00C32CE3"/>
    <w:rsid w:val="00C3377D"/>
    <w:rsid w:val="00C415BF"/>
    <w:rsid w:val="00C42E24"/>
    <w:rsid w:val="00C45565"/>
    <w:rsid w:val="00C46884"/>
    <w:rsid w:val="00C46C95"/>
    <w:rsid w:val="00C472DE"/>
    <w:rsid w:val="00C47509"/>
    <w:rsid w:val="00C47B90"/>
    <w:rsid w:val="00C47D4F"/>
    <w:rsid w:val="00C51D05"/>
    <w:rsid w:val="00C55181"/>
    <w:rsid w:val="00C5588D"/>
    <w:rsid w:val="00C56026"/>
    <w:rsid w:val="00C56374"/>
    <w:rsid w:val="00C5747F"/>
    <w:rsid w:val="00C612F4"/>
    <w:rsid w:val="00C6258A"/>
    <w:rsid w:val="00C66814"/>
    <w:rsid w:val="00C67B7C"/>
    <w:rsid w:val="00C71218"/>
    <w:rsid w:val="00C72130"/>
    <w:rsid w:val="00C73438"/>
    <w:rsid w:val="00C73568"/>
    <w:rsid w:val="00C73B49"/>
    <w:rsid w:val="00C74393"/>
    <w:rsid w:val="00C767D1"/>
    <w:rsid w:val="00C777D1"/>
    <w:rsid w:val="00C83FBD"/>
    <w:rsid w:val="00C84BA1"/>
    <w:rsid w:val="00C8501D"/>
    <w:rsid w:val="00C8509C"/>
    <w:rsid w:val="00C87E2C"/>
    <w:rsid w:val="00C907A4"/>
    <w:rsid w:val="00C90A36"/>
    <w:rsid w:val="00C916EA"/>
    <w:rsid w:val="00C91D74"/>
    <w:rsid w:val="00C94100"/>
    <w:rsid w:val="00CA602D"/>
    <w:rsid w:val="00CA6C71"/>
    <w:rsid w:val="00CA7BAF"/>
    <w:rsid w:val="00CA7BB0"/>
    <w:rsid w:val="00CB3F07"/>
    <w:rsid w:val="00CB5E3F"/>
    <w:rsid w:val="00CB6B7E"/>
    <w:rsid w:val="00CB7A32"/>
    <w:rsid w:val="00CB7C4C"/>
    <w:rsid w:val="00CB7C62"/>
    <w:rsid w:val="00CC0501"/>
    <w:rsid w:val="00CC3627"/>
    <w:rsid w:val="00CC5C6A"/>
    <w:rsid w:val="00CC627D"/>
    <w:rsid w:val="00CC6D8A"/>
    <w:rsid w:val="00CC73CB"/>
    <w:rsid w:val="00CC73FC"/>
    <w:rsid w:val="00CC7762"/>
    <w:rsid w:val="00CD11C7"/>
    <w:rsid w:val="00CD1285"/>
    <w:rsid w:val="00CD6C2D"/>
    <w:rsid w:val="00CD7484"/>
    <w:rsid w:val="00CD7C6E"/>
    <w:rsid w:val="00CE1525"/>
    <w:rsid w:val="00CE1A10"/>
    <w:rsid w:val="00CE1B11"/>
    <w:rsid w:val="00CE20ED"/>
    <w:rsid w:val="00CE22EC"/>
    <w:rsid w:val="00CE28F9"/>
    <w:rsid w:val="00CE2D51"/>
    <w:rsid w:val="00CE5C0B"/>
    <w:rsid w:val="00CE62C5"/>
    <w:rsid w:val="00CE7D1E"/>
    <w:rsid w:val="00CF47F0"/>
    <w:rsid w:val="00CF5DE2"/>
    <w:rsid w:val="00CF6165"/>
    <w:rsid w:val="00CF6EAB"/>
    <w:rsid w:val="00D0015A"/>
    <w:rsid w:val="00D003D3"/>
    <w:rsid w:val="00D02277"/>
    <w:rsid w:val="00D0340A"/>
    <w:rsid w:val="00D10C3D"/>
    <w:rsid w:val="00D10FE0"/>
    <w:rsid w:val="00D126A0"/>
    <w:rsid w:val="00D14634"/>
    <w:rsid w:val="00D14958"/>
    <w:rsid w:val="00D15024"/>
    <w:rsid w:val="00D15B46"/>
    <w:rsid w:val="00D15CBE"/>
    <w:rsid w:val="00D16016"/>
    <w:rsid w:val="00D16411"/>
    <w:rsid w:val="00D21989"/>
    <w:rsid w:val="00D21E27"/>
    <w:rsid w:val="00D22258"/>
    <w:rsid w:val="00D24812"/>
    <w:rsid w:val="00D25478"/>
    <w:rsid w:val="00D25E27"/>
    <w:rsid w:val="00D27F28"/>
    <w:rsid w:val="00D31344"/>
    <w:rsid w:val="00D32CB2"/>
    <w:rsid w:val="00D339D9"/>
    <w:rsid w:val="00D3481A"/>
    <w:rsid w:val="00D34BA4"/>
    <w:rsid w:val="00D36406"/>
    <w:rsid w:val="00D375A8"/>
    <w:rsid w:val="00D43FC7"/>
    <w:rsid w:val="00D453C2"/>
    <w:rsid w:val="00D503B7"/>
    <w:rsid w:val="00D5276A"/>
    <w:rsid w:val="00D53592"/>
    <w:rsid w:val="00D53CA0"/>
    <w:rsid w:val="00D603DE"/>
    <w:rsid w:val="00D60ADC"/>
    <w:rsid w:val="00D60BDE"/>
    <w:rsid w:val="00D62531"/>
    <w:rsid w:val="00D62C29"/>
    <w:rsid w:val="00D6508A"/>
    <w:rsid w:val="00D67408"/>
    <w:rsid w:val="00D71E73"/>
    <w:rsid w:val="00D71F02"/>
    <w:rsid w:val="00D74853"/>
    <w:rsid w:val="00D74E04"/>
    <w:rsid w:val="00D75D84"/>
    <w:rsid w:val="00D76E6B"/>
    <w:rsid w:val="00D7777E"/>
    <w:rsid w:val="00D80523"/>
    <w:rsid w:val="00D81111"/>
    <w:rsid w:val="00D8163C"/>
    <w:rsid w:val="00D84701"/>
    <w:rsid w:val="00D850D7"/>
    <w:rsid w:val="00D862DF"/>
    <w:rsid w:val="00D86A1F"/>
    <w:rsid w:val="00D91354"/>
    <w:rsid w:val="00D92941"/>
    <w:rsid w:val="00D932C4"/>
    <w:rsid w:val="00D944F5"/>
    <w:rsid w:val="00D95A77"/>
    <w:rsid w:val="00D95CB1"/>
    <w:rsid w:val="00D95D1C"/>
    <w:rsid w:val="00D96941"/>
    <w:rsid w:val="00D96FC6"/>
    <w:rsid w:val="00D97516"/>
    <w:rsid w:val="00DA1020"/>
    <w:rsid w:val="00DA1435"/>
    <w:rsid w:val="00DA1A2E"/>
    <w:rsid w:val="00DA1F30"/>
    <w:rsid w:val="00DA2BEF"/>
    <w:rsid w:val="00DA3E8D"/>
    <w:rsid w:val="00DA44D3"/>
    <w:rsid w:val="00DA5683"/>
    <w:rsid w:val="00DB0072"/>
    <w:rsid w:val="00DB00B5"/>
    <w:rsid w:val="00DB00DD"/>
    <w:rsid w:val="00DB0C36"/>
    <w:rsid w:val="00DB21CA"/>
    <w:rsid w:val="00DB426A"/>
    <w:rsid w:val="00DB4296"/>
    <w:rsid w:val="00DB5A96"/>
    <w:rsid w:val="00DB7655"/>
    <w:rsid w:val="00DC159B"/>
    <w:rsid w:val="00DC26F9"/>
    <w:rsid w:val="00DC28D0"/>
    <w:rsid w:val="00DC4204"/>
    <w:rsid w:val="00DC4477"/>
    <w:rsid w:val="00DC5BD8"/>
    <w:rsid w:val="00DC6859"/>
    <w:rsid w:val="00DC6AC3"/>
    <w:rsid w:val="00DC7EE9"/>
    <w:rsid w:val="00DD098B"/>
    <w:rsid w:val="00DD13C7"/>
    <w:rsid w:val="00DD1CD6"/>
    <w:rsid w:val="00DD24A2"/>
    <w:rsid w:val="00DD473B"/>
    <w:rsid w:val="00DD48E9"/>
    <w:rsid w:val="00DD73A3"/>
    <w:rsid w:val="00DD7E56"/>
    <w:rsid w:val="00DE06E0"/>
    <w:rsid w:val="00DE2091"/>
    <w:rsid w:val="00DE20DE"/>
    <w:rsid w:val="00DE2921"/>
    <w:rsid w:val="00DE4292"/>
    <w:rsid w:val="00DE49F2"/>
    <w:rsid w:val="00DE4F70"/>
    <w:rsid w:val="00DE67FF"/>
    <w:rsid w:val="00DF024E"/>
    <w:rsid w:val="00DF2199"/>
    <w:rsid w:val="00DF30F7"/>
    <w:rsid w:val="00DF4590"/>
    <w:rsid w:val="00DF4EC3"/>
    <w:rsid w:val="00DF5001"/>
    <w:rsid w:val="00DF61BB"/>
    <w:rsid w:val="00DF6D7F"/>
    <w:rsid w:val="00DF7772"/>
    <w:rsid w:val="00E01A73"/>
    <w:rsid w:val="00E01D86"/>
    <w:rsid w:val="00E02030"/>
    <w:rsid w:val="00E02521"/>
    <w:rsid w:val="00E02B62"/>
    <w:rsid w:val="00E03DAC"/>
    <w:rsid w:val="00E067DF"/>
    <w:rsid w:val="00E07E30"/>
    <w:rsid w:val="00E10DA1"/>
    <w:rsid w:val="00E12B61"/>
    <w:rsid w:val="00E12EBF"/>
    <w:rsid w:val="00E143AD"/>
    <w:rsid w:val="00E15F7A"/>
    <w:rsid w:val="00E16115"/>
    <w:rsid w:val="00E174C0"/>
    <w:rsid w:val="00E215FF"/>
    <w:rsid w:val="00E2220D"/>
    <w:rsid w:val="00E2678B"/>
    <w:rsid w:val="00E27627"/>
    <w:rsid w:val="00E30235"/>
    <w:rsid w:val="00E32010"/>
    <w:rsid w:val="00E32F6D"/>
    <w:rsid w:val="00E3611C"/>
    <w:rsid w:val="00E37FCE"/>
    <w:rsid w:val="00E4084F"/>
    <w:rsid w:val="00E445F7"/>
    <w:rsid w:val="00E44C46"/>
    <w:rsid w:val="00E46439"/>
    <w:rsid w:val="00E47A40"/>
    <w:rsid w:val="00E47AAE"/>
    <w:rsid w:val="00E5102E"/>
    <w:rsid w:val="00E511F3"/>
    <w:rsid w:val="00E5173B"/>
    <w:rsid w:val="00E51A40"/>
    <w:rsid w:val="00E51D84"/>
    <w:rsid w:val="00E53787"/>
    <w:rsid w:val="00E540D1"/>
    <w:rsid w:val="00E55AE5"/>
    <w:rsid w:val="00E55F68"/>
    <w:rsid w:val="00E57767"/>
    <w:rsid w:val="00E60B7B"/>
    <w:rsid w:val="00E61B1B"/>
    <w:rsid w:val="00E63440"/>
    <w:rsid w:val="00E66365"/>
    <w:rsid w:val="00E66EE3"/>
    <w:rsid w:val="00E67BD2"/>
    <w:rsid w:val="00E67FD4"/>
    <w:rsid w:val="00E709BE"/>
    <w:rsid w:val="00E70C32"/>
    <w:rsid w:val="00E7307B"/>
    <w:rsid w:val="00E734A5"/>
    <w:rsid w:val="00E73FC6"/>
    <w:rsid w:val="00E745D1"/>
    <w:rsid w:val="00E74D0D"/>
    <w:rsid w:val="00E74FD3"/>
    <w:rsid w:val="00E75273"/>
    <w:rsid w:val="00E76749"/>
    <w:rsid w:val="00E76DBB"/>
    <w:rsid w:val="00E80E15"/>
    <w:rsid w:val="00E81189"/>
    <w:rsid w:val="00E826CF"/>
    <w:rsid w:val="00E829D0"/>
    <w:rsid w:val="00E8335F"/>
    <w:rsid w:val="00E86100"/>
    <w:rsid w:val="00E86D12"/>
    <w:rsid w:val="00E91742"/>
    <w:rsid w:val="00E9194F"/>
    <w:rsid w:val="00E939C4"/>
    <w:rsid w:val="00E94048"/>
    <w:rsid w:val="00E943D3"/>
    <w:rsid w:val="00E9633C"/>
    <w:rsid w:val="00EA008C"/>
    <w:rsid w:val="00EA42C7"/>
    <w:rsid w:val="00EA501C"/>
    <w:rsid w:val="00EA5537"/>
    <w:rsid w:val="00EA5C8F"/>
    <w:rsid w:val="00EA760F"/>
    <w:rsid w:val="00EB0DF7"/>
    <w:rsid w:val="00EB0EAD"/>
    <w:rsid w:val="00EB151D"/>
    <w:rsid w:val="00EB1CD0"/>
    <w:rsid w:val="00EB2703"/>
    <w:rsid w:val="00EB2C29"/>
    <w:rsid w:val="00EB3AC0"/>
    <w:rsid w:val="00EB3C08"/>
    <w:rsid w:val="00EC0614"/>
    <w:rsid w:val="00EC0BC0"/>
    <w:rsid w:val="00EC289A"/>
    <w:rsid w:val="00EC3A30"/>
    <w:rsid w:val="00EC4156"/>
    <w:rsid w:val="00EC615A"/>
    <w:rsid w:val="00EC62CD"/>
    <w:rsid w:val="00EC6C06"/>
    <w:rsid w:val="00ED3442"/>
    <w:rsid w:val="00ED35ED"/>
    <w:rsid w:val="00ED4621"/>
    <w:rsid w:val="00ED710B"/>
    <w:rsid w:val="00EE498D"/>
    <w:rsid w:val="00EE54F1"/>
    <w:rsid w:val="00EE5CEF"/>
    <w:rsid w:val="00EE6F47"/>
    <w:rsid w:val="00EE7E4F"/>
    <w:rsid w:val="00EF209C"/>
    <w:rsid w:val="00EF2BC4"/>
    <w:rsid w:val="00EF375C"/>
    <w:rsid w:val="00EF379A"/>
    <w:rsid w:val="00EF6E0C"/>
    <w:rsid w:val="00EF7F63"/>
    <w:rsid w:val="00F0166E"/>
    <w:rsid w:val="00F01B3F"/>
    <w:rsid w:val="00F0670E"/>
    <w:rsid w:val="00F06C18"/>
    <w:rsid w:val="00F072DC"/>
    <w:rsid w:val="00F119AA"/>
    <w:rsid w:val="00F11D25"/>
    <w:rsid w:val="00F123E8"/>
    <w:rsid w:val="00F127A6"/>
    <w:rsid w:val="00F16E4B"/>
    <w:rsid w:val="00F20FAF"/>
    <w:rsid w:val="00F21487"/>
    <w:rsid w:val="00F22B2F"/>
    <w:rsid w:val="00F2442A"/>
    <w:rsid w:val="00F30D61"/>
    <w:rsid w:val="00F36F6F"/>
    <w:rsid w:val="00F37AF6"/>
    <w:rsid w:val="00F4280F"/>
    <w:rsid w:val="00F434D2"/>
    <w:rsid w:val="00F43623"/>
    <w:rsid w:val="00F44F75"/>
    <w:rsid w:val="00F45779"/>
    <w:rsid w:val="00F45F3D"/>
    <w:rsid w:val="00F50080"/>
    <w:rsid w:val="00F5071E"/>
    <w:rsid w:val="00F51865"/>
    <w:rsid w:val="00F532AC"/>
    <w:rsid w:val="00F549C6"/>
    <w:rsid w:val="00F55FEA"/>
    <w:rsid w:val="00F561A6"/>
    <w:rsid w:val="00F6011C"/>
    <w:rsid w:val="00F60260"/>
    <w:rsid w:val="00F62490"/>
    <w:rsid w:val="00F62A49"/>
    <w:rsid w:val="00F62B09"/>
    <w:rsid w:val="00F634CD"/>
    <w:rsid w:val="00F64D99"/>
    <w:rsid w:val="00F67726"/>
    <w:rsid w:val="00F67B2E"/>
    <w:rsid w:val="00F67D54"/>
    <w:rsid w:val="00F70236"/>
    <w:rsid w:val="00F7188C"/>
    <w:rsid w:val="00F71B0D"/>
    <w:rsid w:val="00F732F6"/>
    <w:rsid w:val="00F734E4"/>
    <w:rsid w:val="00F73D5C"/>
    <w:rsid w:val="00F74D60"/>
    <w:rsid w:val="00F75BF5"/>
    <w:rsid w:val="00F77E58"/>
    <w:rsid w:val="00F809C4"/>
    <w:rsid w:val="00F8322E"/>
    <w:rsid w:val="00F872FB"/>
    <w:rsid w:val="00F87DC6"/>
    <w:rsid w:val="00F912E2"/>
    <w:rsid w:val="00F93493"/>
    <w:rsid w:val="00F9351F"/>
    <w:rsid w:val="00FA0A7D"/>
    <w:rsid w:val="00FA14E4"/>
    <w:rsid w:val="00FA1BA3"/>
    <w:rsid w:val="00FA1E29"/>
    <w:rsid w:val="00FA583F"/>
    <w:rsid w:val="00FA5B09"/>
    <w:rsid w:val="00FA7AC5"/>
    <w:rsid w:val="00FB13A7"/>
    <w:rsid w:val="00FB1458"/>
    <w:rsid w:val="00FB2F61"/>
    <w:rsid w:val="00FB411F"/>
    <w:rsid w:val="00FB513F"/>
    <w:rsid w:val="00FB5ACC"/>
    <w:rsid w:val="00FB6255"/>
    <w:rsid w:val="00FB7990"/>
    <w:rsid w:val="00FC024C"/>
    <w:rsid w:val="00FC38EF"/>
    <w:rsid w:val="00FC4923"/>
    <w:rsid w:val="00FC6A54"/>
    <w:rsid w:val="00FC76D4"/>
    <w:rsid w:val="00FD01DD"/>
    <w:rsid w:val="00FD025F"/>
    <w:rsid w:val="00FD0899"/>
    <w:rsid w:val="00FD108E"/>
    <w:rsid w:val="00FD1109"/>
    <w:rsid w:val="00FD1339"/>
    <w:rsid w:val="00FD29D7"/>
    <w:rsid w:val="00FD432A"/>
    <w:rsid w:val="00FE08B5"/>
    <w:rsid w:val="00FE20DF"/>
    <w:rsid w:val="00FE2667"/>
    <w:rsid w:val="00FE47FF"/>
    <w:rsid w:val="00FE58AD"/>
    <w:rsid w:val="00FE6DC2"/>
    <w:rsid w:val="00FF0378"/>
    <w:rsid w:val="00FF0D01"/>
    <w:rsid w:val="00FF1EE6"/>
    <w:rsid w:val="00FF22CE"/>
    <w:rsid w:val="00FF251B"/>
    <w:rsid w:val="00FF2B9C"/>
    <w:rsid w:val="00FF3447"/>
    <w:rsid w:val="00FF364B"/>
    <w:rsid w:val="00FF40BA"/>
    <w:rsid w:val="00FF46F1"/>
    <w:rsid w:val="00FF5400"/>
    <w:rsid w:val="00FF6462"/>
    <w:rsid w:val="00FF68BA"/>
    <w:rsid w:val="00FF69AB"/>
    <w:rsid w:val="00FF7F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E1A4F"/>
  <w15:chartTrackingRefBased/>
  <w15:docId w15:val="{D5806D5E-3F1F-43A4-9E2C-AAEA17AF8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9F6"/>
    <w:pPr>
      <w:spacing w:after="120" w:line="240" w:lineRule="auto"/>
      <w:ind w:firstLine="284"/>
      <w:contextualSpacing/>
      <w:jc w:val="both"/>
    </w:pPr>
    <w:rPr>
      <w:rFonts w:ascii="Tahoma" w:hAnsi="Tahoma"/>
      <w:sz w:val="18"/>
    </w:rPr>
  </w:style>
  <w:style w:type="paragraph" w:styleId="Ttulo1">
    <w:name w:val="heading 1"/>
    <w:basedOn w:val="Normal"/>
    <w:next w:val="Normal"/>
    <w:link w:val="Ttulo1Char"/>
    <w:autoRedefine/>
    <w:uiPriority w:val="9"/>
    <w:qFormat/>
    <w:rsid w:val="00B970FE"/>
    <w:pPr>
      <w:keepNext/>
      <w:keepLines/>
      <w:numPr>
        <w:numId w:val="2"/>
      </w:numPr>
      <w:spacing w:before="300" w:after="100"/>
      <w:ind w:left="850" w:hanging="425"/>
      <w:outlineLvl w:val="0"/>
    </w:pPr>
    <w:rPr>
      <w:rFonts w:eastAsiaTheme="majorEastAsia" w:cstheme="majorBidi"/>
      <w:b/>
      <w:i/>
      <w:caps/>
      <w:szCs w:val="32"/>
      <w:u w:val="words"/>
    </w:rPr>
  </w:style>
  <w:style w:type="paragraph" w:styleId="Ttulo2">
    <w:name w:val="heading 2"/>
    <w:basedOn w:val="Ttulo1"/>
    <w:next w:val="Normal"/>
    <w:link w:val="Ttulo2Char"/>
    <w:autoRedefine/>
    <w:uiPriority w:val="9"/>
    <w:unhideWhenUsed/>
    <w:qFormat/>
    <w:rsid w:val="00954363"/>
    <w:pPr>
      <w:numPr>
        <w:ilvl w:val="1"/>
      </w:numPr>
      <w:spacing w:before="240"/>
      <w:ind w:left="992" w:hanging="425"/>
      <w:outlineLvl w:val="1"/>
    </w:pPr>
    <w:rPr>
      <w:sz w:val="16"/>
    </w:rPr>
  </w:style>
  <w:style w:type="paragraph" w:styleId="Ttulo3">
    <w:name w:val="heading 3"/>
    <w:basedOn w:val="Normal"/>
    <w:next w:val="Normal"/>
    <w:link w:val="Ttulo3Char"/>
    <w:uiPriority w:val="9"/>
    <w:unhideWhenUsed/>
    <w:qFormat/>
    <w:rsid w:val="00954363"/>
    <w:pPr>
      <w:keepNext/>
      <w:keepLines/>
      <w:numPr>
        <w:ilvl w:val="2"/>
        <w:numId w:val="2"/>
      </w:numPr>
      <w:spacing w:before="240" w:after="100"/>
      <w:ind w:left="1134" w:hanging="425"/>
      <w:outlineLvl w:val="2"/>
    </w:pPr>
    <w:rPr>
      <w:rFonts w:eastAsiaTheme="majorEastAsia" w:cstheme="majorBidi"/>
      <w:b/>
      <w:smallCaps/>
      <w:sz w:val="16"/>
      <w:szCs w:val="24"/>
      <w:u w:val="single"/>
    </w:rPr>
  </w:style>
  <w:style w:type="paragraph" w:styleId="Ttulo4">
    <w:name w:val="heading 4"/>
    <w:basedOn w:val="Normal"/>
    <w:next w:val="Normal"/>
    <w:link w:val="Ttulo4Char"/>
    <w:uiPriority w:val="9"/>
    <w:unhideWhenUsed/>
    <w:qFormat/>
    <w:rsid w:val="005C11A4"/>
    <w:pPr>
      <w:keepNext/>
      <w:keepLines/>
      <w:numPr>
        <w:ilvl w:val="3"/>
        <w:numId w:val="2"/>
      </w:numPr>
      <w:spacing w:before="360" w:after="240"/>
      <w:ind w:left="1701" w:firstLine="0"/>
      <w:outlineLvl w:val="3"/>
    </w:pPr>
    <w:rPr>
      <w:rFonts w:eastAsiaTheme="majorEastAsia" w:cstheme="majorBidi"/>
      <w:i/>
      <w:iCs/>
    </w:rPr>
  </w:style>
  <w:style w:type="paragraph" w:styleId="Ttulo5">
    <w:name w:val="heading 5"/>
    <w:basedOn w:val="Normal"/>
    <w:next w:val="Normal"/>
    <w:link w:val="Ttulo5Char"/>
    <w:uiPriority w:val="9"/>
    <w:semiHidden/>
    <w:unhideWhenUsed/>
    <w:qFormat/>
    <w:rsid w:val="00BF0E89"/>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har"/>
    <w:uiPriority w:val="9"/>
    <w:semiHidden/>
    <w:unhideWhenUsed/>
    <w:qFormat/>
    <w:rsid w:val="00BF0E89"/>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har"/>
    <w:uiPriority w:val="9"/>
    <w:semiHidden/>
    <w:unhideWhenUsed/>
    <w:qFormat/>
    <w:rsid w:val="00BF0E89"/>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har"/>
    <w:uiPriority w:val="9"/>
    <w:semiHidden/>
    <w:unhideWhenUsed/>
    <w:qFormat/>
    <w:rsid w:val="00BF0E8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BF0E89"/>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F2D5E"/>
    <w:pPr>
      <w:tabs>
        <w:tab w:val="center" w:pos="4252"/>
        <w:tab w:val="right" w:pos="8504"/>
      </w:tabs>
      <w:spacing w:after="0"/>
    </w:pPr>
  </w:style>
  <w:style w:type="character" w:customStyle="1" w:styleId="CabealhoChar">
    <w:name w:val="Cabeçalho Char"/>
    <w:basedOn w:val="Fontepargpadro"/>
    <w:link w:val="Cabealho"/>
    <w:uiPriority w:val="99"/>
    <w:rsid w:val="009F2D5E"/>
    <w:rPr>
      <w:rFonts w:ascii="Tahoma" w:hAnsi="Tahoma"/>
      <w:sz w:val="20"/>
    </w:rPr>
  </w:style>
  <w:style w:type="paragraph" w:styleId="Rodap">
    <w:name w:val="footer"/>
    <w:basedOn w:val="Normal"/>
    <w:link w:val="RodapChar"/>
    <w:uiPriority w:val="99"/>
    <w:unhideWhenUsed/>
    <w:rsid w:val="009F2D5E"/>
    <w:pPr>
      <w:tabs>
        <w:tab w:val="center" w:pos="4252"/>
        <w:tab w:val="right" w:pos="8504"/>
      </w:tabs>
      <w:spacing w:after="0"/>
    </w:pPr>
  </w:style>
  <w:style w:type="character" w:customStyle="1" w:styleId="RodapChar">
    <w:name w:val="Rodapé Char"/>
    <w:basedOn w:val="Fontepargpadro"/>
    <w:link w:val="Rodap"/>
    <w:uiPriority w:val="99"/>
    <w:rsid w:val="009F2D5E"/>
    <w:rPr>
      <w:rFonts w:ascii="Tahoma" w:hAnsi="Tahoma"/>
      <w:sz w:val="20"/>
    </w:rPr>
  </w:style>
  <w:style w:type="table" w:styleId="Tabelacomgrade">
    <w:name w:val="Table Grid"/>
    <w:basedOn w:val="Tabelanormal"/>
    <w:uiPriority w:val="39"/>
    <w:rsid w:val="009F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970FE"/>
    <w:rPr>
      <w:rFonts w:ascii="Tahoma" w:eastAsiaTheme="majorEastAsia" w:hAnsi="Tahoma" w:cstheme="majorBidi"/>
      <w:b/>
      <w:i/>
      <w:caps/>
      <w:sz w:val="18"/>
      <w:szCs w:val="32"/>
      <w:u w:val="words"/>
    </w:rPr>
  </w:style>
  <w:style w:type="paragraph" w:styleId="PargrafodaLista">
    <w:name w:val="List Paragraph"/>
    <w:basedOn w:val="Normal"/>
    <w:uiPriority w:val="34"/>
    <w:qFormat/>
    <w:rsid w:val="006A36D9"/>
    <w:pPr>
      <w:ind w:left="720"/>
    </w:pPr>
  </w:style>
  <w:style w:type="character" w:styleId="Hyperlink">
    <w:name w:val="Hyperlink"/>
    <w:basedOn w:val="Fontepargpadro"/>
    <w:uiPriority w:val="99"/>
    <w:unhideWhenUsed/>
    <w:rsid w:val="006A36D9"/>
    <w:rPr>
      <w:color w:val="0563C1" w:themeColor="hyperlink"/>
      <w:u w:val="single"/>
    </w:rPr>
  </w:style>
  <w:style w:type="character" w:customStyle="1" w:styleId="MenoPendente1">
    <w:name w:val="Menção Pendente1"/>
    <w:basedOn w:val="Fontepargpadro"/>
    <w:uiPriority w:val="99"/>
    <w:semiHidden/>
    <w:unhideWhenUsed/>
    <w:rsid w:val="006A36D9"/>
    <w:rPr>
      <w:color w:val="605E5C"/>
      <w:shd w:val="clear" w:color="auto" w:fill="E1DFDD"/>
    </w:rPr>
  </w:style>
  <w:style w:type="character" w:customStyle="1" w:styleId="Ttulo2Char">
    <w:name w:val="Título 2 Char"/>
    <w:basedOn w:val="Fontepargpadro"/>
    <w:link w:val="Ttulo2"/>
    <w:uiPriority w:val="9"/>
    <w:rsid w:val="00954363"/>
    <w:rPr>
      <w:rFonts w:ascii="Tahoma" w:eastAsiaTheme="majorEastAsia" w:hAnsi="Tahoma" w:cstheme="majorBidi"/>
      <w:b/>
      <w:i/>
      <w:caps/>
      <w:sz w:val="16"/>
      <w:szCs w:val="32"/>
      <w:u w:val="words"/>
    </w:rPr>
  </w:style>
  <w:style w:type="paragraph" w:styleId="Textodebalo">
    <w:name w:val="Balloon Text"/>
    <w:basedOn w:val="Normal"/>
    <w:link w:val="TextodebaloChar"/>
    <w:uiPriority w:val="99"/>
    <w:semiHidden/>
    <w:unhideWhenUsed/>
    <w:rsid w:val="00FE20DF"/>
    <w:pPr>
      <w:spacing w:after="0"/>
    </w:pPr>
    <w:rPr>
      <w:rFonts w:ascii="Segoe UI" w:hAnsi="Segoe UI" w:cs="Segoe UI"/>
      <w:szCs w:val="18"/>
    </w:rPr>
  </w:style>
  <w:style w:type="character" w:customStyle="1" w:styleId="TextodebaloChar">
    <w:name w:val="Texto de balão Char"/>
    <w:basedOn w:val="Fontepargpadro"/>
    <w:link w:val="Textodebalo"/>
    <w:uiPriority w:val="99"/>
    <w:semiHidden/>
    <w:rsid w:val="00FE20DF"/>
    <w:rPr>
      <w:rFonts w:ascii="Segoe UI" w:hAnsi="Segoe UI" w:cs="Segoe UI"/>
      <w:sz w:val="18"/>
      <w:szCs w:val="18"/>
    </w:rPr>
  </w:style>
  <w:style w:type="character" w:styleId="Refdecomentrio">
    <w:name w:val="annotation reference"/>
    <w:basedOn w:val="Fontepargpadro"/>
    <w:uiPriority w:val="99"/>
    <w:semiHidden/>
    <w:unhideWhenUsed/>
    <w:rsid w:val="00F60260"/>
    <w:rPr>
      <w:sz w:val="16"/>
      <w:szCs w:val="16"/>
    </w:rPr>
  </w:style>
  <w:style w:type="paragraph" w:styleId="Textodecomentrio">
    <w:name w:val="annotation text"/>
    <w:basedOn w:val="Normal"/>
    <w:link w:val="TextodecomentrioChar"/>
    <w:uiPriority w:val="99"/>
    <w:semiHidden/>
    <w:unhideWhenUsed/>
    <w:rsid w:val="00F60260"/>
    <w:rPr>
      <w:szCs w:val="20"/>
    </w:rPr>
  </w:style>
  <w:style w:type="character" w:customStyle="1" w:styleId="TextodecomentrioChar">
    <w:name w:val="Texto de comentário Char"/>
    <w:basedOn w:val="Fontepargpadro"/>
    <w:link w:val="Textodecomentrio"/>
    <w:uiPriority w:val="99"/>
    <w:semiHidden/>
    <w:rsid w:val="00F60260"/>
    <w:rPr>
      <w:rFonts w:ascii="Tahoma" w:hAnsi="Tahoma"/>
      <w:sz w:val="20"/>
      <w:szCs w:val="20"/>
    </w:rPr>
  </w:style>
  <w:style w:type="paragraph" w:styleId="Assuntodocomentrio">
    <w:name w:val="annotation subject"/>
    <w:basedOn w:val="Textodecomentrio"/>
    <w:next w:val="Textodecomentrio"/>
    <w:link w:val="AssuntodocomentrioChar"/>
    <w:uiPriority w:val="99"/>
    <w:semiHidden/>
    <w:unhideWhenUsed/>
    <w:rsid w:val="00F60260"/>
    <w:rPr>
      <w:b/>
      <w:bCs/>
    </w:rPr>
  </w:style>
  <w:style w:type="character" w:customStyle="1" w:styleId="AssuntodocomentrioChar">
    <w:name w:val="Assunto do comentário Char"/>
    <w:basedOn w:val="TextodecomentrioChar"/>
    <w:link w:val="Assuntodocomentrio"/>
    <w:uiPriority w:val="99"/>
    <w:semiHidden/>
    <w:rsid w:val="00F60260"/>
    <w:rPr>
      <w:rFonts w:ascii="Tahoma" w:hAnsi="Tahoma"/>
      <w:b/>
      <w:bCs/>
      <w:sz w:val="20"/>
      <w:szCs w:val="20"/>
    </w:rPr>
  </w:style>
  <w:style w:type="character" w:customStyle="1" w:styleId="Ttulo3Char">
    <w:name w:val="Título 3 Char"/>
    <w:basedOn w:val="Fontepargpadro"/>
    <w:link w:val="Ttulo3"/>
    <w:uiPriority w:val="9"/>
    <w:rsid w:val="00954363"/>
    <w:rPr>
      <w:rFonts w:ascii="Tahoma" w:eastAsiaTheme="majorEastAsia" w:hAnsi="Tahoma" w:cstheme="majorBidi"/>
      <w:b/>
      <w:smallCaps/>
      <w:sz w:val="16"/>
      <w:szCs w:val="24"/>
      <w:u w:val="single"/>
    </w:rPr>
  </w:style>
  <w:style w:type="paragraph" w:styleId="Textodenotaderodap">
    <w:name w:val="footnote text"/>
    <w:basedOn w:val="Normal"/>
    <w:link w:val="TextodenotaderodapChar"/>
    <w:uiPriority w:val="99"/>
    <w:semiHidden/>
    <w:unhideWhenUsed/>
    <w:rsid w:val="00047C7B"/>
    <w:pPr>
      <w:spacing w:after="0"/>
      <w:ind w:firstLine="0"/>
    </w:pPr>
    <w:rPr>
      <w:rFonts w:asciiTheme="minorHAnsi" w:hAnsiTheme="minorHAnsi"/>
      <w:szCs w:val="20"/>
    </w:rPr>
  </w:style>
  <w:style w:type="character" w:customStyle="1" w:styleId="TextodenotaderodapChar">
    <w:name w:val="Texto de nota de rodapé Char"/>
    <w:basedOn w:val="Fontepargpadro"/>
    <w:link w:val="Textodenotaderodap"/>
    <w:uiPriority w:val="99"/>
    <w:semiHidden/>
    <w:rsid w:val="00047C7B"/>
    <w:rPr>
      <w:sz w:val="20"/>
      <w:szCs w:val="20"/>
    </w:rPr>
  </w:style>
  <w:style w:type="character" w:styleId="Refdenotaderodap">
    <w:name w:val="footnote reference"/>
    <w:basedOn w:val="Fontepargpadro"/>
    <w:uiPriority w:val="99"/>
    <w:semiHidden/>
    <w:unhideWhenUsed/>
    <w:rsid w:val="00047C7B"/>
    <w:rPr>
      <w:vertAlign w:val="superscript"/>
    </w:rPr>
  </w:style>
  <w:style w:type="paragraph" w:styleId="Citao">
    <w:name w:val="Quote"/>
    <w:basedOn w:val="Normal"/>
    <w:next w:val="Normal"/>
    <w:link w:val="CitaoChar"/>
    <w:autoRedefine/>
    <w:uiPriority w:val="29"/>
    <w:qFormat/>
    <w:rsid w:val="00376212"/>
    <w:pPr>
      <w:spacing w:before="200" w:after="200"/>
      <w:ind w:left="2268" w:firstLine="0"/>
    </w:pPr>
    <w:rPr>
      <w:rFonts w:cs="Arial"/>
      <w:i/>
      <w:iCs/>
      <w:color w:val="000000"/>
      <w:szCs w:val="20"/>
      <w:shd w:val="clear" w:color="auto" w:fill="FFFFFF"/>
    </w:rPr>
  </w:style>
  <w:style w:type="character" w:customStyle="1" w:styleId="CitaoChar">
    <w:name w:val="Citação Char"/>
    <w:basedOn w:val="Fontepargpadro"/>
    <w:link w:val="Citao"/>
    <w:uiPriority w:val="29"/>
    <w:rsid w:val="00376212"/>
    <w:rPr>
      <w:rFonts w:ascii="Tahoma" w:hAnsi="Tahoma" w:cs="Arial"/>
      <w:i/>
      <w:iCs/>
      <w:color w:val="000000"/>
      <w:sz w:val="18"/>
      <w:szCs w:val="20"/>
    </w:rPr>
  </w:style>
  <w:style w:type="paragraph" w:styleId="SemEspaamento">
    <w:name w:val="No Spacing"/>
    <w:link w:val="SemEspaamentoChar"/>
    <w:uiPriority w:val="1"/>
    <w:qFormat/>
    <w:rsid w:val="00E47AAE"/>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E47AAE"/>
    <w:rPr>
      <w:rFonts w:eastAsiaTheme="minorEastAsia"/>
      <w:lang w:eastAsia="pt-BR"/>
    </w:rPr>
  </w:style>
  <w:style w:type="paragraph" w:styleId="CabealhodoSumrio">
    <w:name w:val="TOC Heading"/>
    <w:basedOn w:val="Ttulo1"/>
    <w:next w:val="Normal"/>
    <w:uiPriority w:val="39"/>
    <w:unhideWhenUsed/>
    <w:qFormat/>
    <w:rsid w:val="005A641F"/>
    <w:pPr>
      <w:spacing w:line="259" w:lineRule="auto"/>
      <w:outlineLvl w:val="9"/>
    </w:pPr>
    <w:rPr>
      <w:rFonts w:asciiTheme="majorHAnsi" w:hAnsiTheme="majorHAnsi"/>
      <w:b w:val="0"/>
      <w:color w:val="2F5496" w:themeColor="accent1" w:themeShade="BF"/>
      <w:sz w:val="32"/>
      <w:lang w:eastAsia="pt-BR"/>
    </w:rPr>
  </w:style>
  <w:style w:type="paragraph" w:styleId="Sumrio2">
    <w:name w:val="toc 2"/>
    <w:basedOn w:val="Normal"/>
    <w:next w:val="Normal"/>
    <w:autoRedefine/>
    <w:uiPriority w:val="39"/>
    <w:unhideWhenUsed/>
    <w:rsid w:val="005A641F"/>
    <w:pPr>
      <w:spacing w:after="100" w:line="259" w:lineRule="auto"/>
      <w:ind w:left="220" w:firstLine="0"/>
    </w:pPr>
    <w:rPr>
      <w:rFonts w:asciiTheme="minorHAnsi" w:eastAsiaTheme="minorEastAsia" w:hAnsiTheme="minorHAnsi" w:cs="Times New Roman"/>
      <w:sz w:val="22"/>
      <w:lang w:eastAsia="pt-BR"/>
    </w:rPr>
  </w:style>
  <w:style w:type="paragraph" w:styleId="Sumrio1">
    <w:name w:val="toc 1"/>
    <w:basedOn w:val="Normal"/>
    <w:next w:val="Normal"/>
    <w:autoRedefine/>
    <w:uiPriority w:val="39"/>
    <w:unhideWhenUsed/>
    <w:rsid w:val="005A641F"/>
    <w:pPr>
      <w:spacing w:after="100" w:line="259" w:lineRule="auto"/>
      <w:ind w:firstLine="0"/>
    </w:pPr>
    <w:rPr>
      <w:rFonts w:asciiTheme="minorHAnsi" w:eastAsiaTheme="minorEastAsia" w:hAnsiTheme="minorHAnsi" w:cs="Times New Roman"/>
      <w:sz w:val="22"/>
      <w:lang w:eastAsia="pt-BR"/>
    </w:rPr>
  </w:style>
  <w:style w:type="paragraph" w:styleId="Sumrio3">
    <w:name w:val="toc 3"/>
    <w:basedOn w:val="Normal"/>
    <w:next w:val="Normal"/>
    <w:autoRedefine/>
    <w:uiPriority w:val="39"/>
    <w:unhideWhenUsed/>
    <w:rsid w:val="005A641F"/>
    <w:pPr>
      <w:spacing w:after="100" w:line="259" w:lineRule="auto"/>
      <w:ind w:left="440" w:firstLine="0"/>
    </w:pPr>
    <w:rPr>
      <w:rFonts w:asciiTheme="minorHAnsi" w:eastAsiaTheme="minorEastAsia" w:hAnsiTheme="minorHAnsi" w:cs="Times New Roman"/>
      <w:sz w:val="22"/>
      <w:lang w:eastAsia="pt-BR"/>
    </w:rPr>
  </w:style>
  <w:style w:type="character" w:customStyle="1" w:styleId="Ttulo4Char">
    <w:name w:val="Título 4 Char"/>
    <w:basedOn w:val="Fontepargpadro"/>
    <w:link w:val="Ttulo4"/>
    <w:uiPriority w:val="9"/>
    <w:rsid w:val="005C11A4"/>
    <w:rPr>
      <w:rFonts w:ascii="Tahoma" w:eastAsiaTheme="majorEastAsia" w:hAnsi="Tahoma" w:cstheme="majorBidi"/>
      <w:i/>
      <w:iCs/>
      <w:sz w:val="18"/>
    </w:rPr>
  </w:style>
  <w:style w:type="character" w:customStyle="1" w:styleId="Ttulo5Char">
    <w:name w:val="Título 5 Char"/>
    <w:basedOn w:val="Fontepargpadro"/>
    <w:link w:val="Ttulo5"/>
    <w:uiPriority w:val="9"/>
    <w:semiHidden/>
    <w:rsid w:val="00BF0E89"/>
    <w:rPr>
      <w:rFonts w:asciiTheme="majorHAnsi" w:eastAsiaTheme="majorEastAsia" w:hAnsiTheme="majorHAnsi" w:cstheme="majorBidi"/>
      <w:color w:val="2F5496" w:themeColor="accent1" w:themeShade="BF"/>
      <w:sz w:val="18"/>
    </w:rPr>
  </w:style>
  <w:style w:type="character" w:customStyle="1" w:styleId="Ttulo6Char">
    <w:name w:val="Título 6 Char"/>
    <w:basedOn w:val="Fontepargpadro"/>
    <w:link w:val="Ttulo6"/>
    <w:uiPriority w:val="9"/>
    <w:semiHidden/>
    <w:rsid w:val="00BF0E89"/>
    <w:rPr>
      <w:rFonts w:asciiTheme="majorHAnsi" w:eastAsiaTheme="majorEastAsia" w:hAnsiTheme="majorHAnsi" w:cstheme="majorBidi"/>
      <w:color w:val="1F3763" w:themeColor="accent1" w:themeShade="7F"/>
      <w:sz w:val="18"/>
    </w:rPr>
  </w:style>
  <w:style w:type="character" w:customStyle="1" w:styleId="Ttulo7Char">
    <w:name w:val="Título 7 Char"/>
    <w:basedOn w:val="Fontepargpadro"/>
    <w:link w:val="Ttulo7"/>
    <w:uiPriority w:val="9"/>
    <w:semiHidden/>
    <w:rsid w:val="00BF0E89"/>
    <w:rPr>
      <w:rFonts w:asciiTheme="majorHAnsi" w:eastAsiaTheme="majorEastAsia" w:hAnsiTheme="majorHAnsi" w:cstheme="majorBidi"/>
      <w:i/>
      <w:iCs/>
      <w:color w:val="1F3763" w:themeColor="accent1" w:themeShade="7F"/>
      <w:sz w:val="18"/>
    </w:rPr>
  </w:style>
  <w:style w:type="character" w:customStyle="1" w:styleId="Ttulo8Char">
    <w:name w:val="Título 8 Char"/>
    <w:basedOn w:val="Fontepargpadro"/>
    <w:link w:val="Ttulo8"/>
    <w:uiPriority w:val="9"/>
    <w:semiHidden/>
    <w:rsid w:val="00BF0E89"/>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BF0E89"/>
    <w:rPr>
      <w:rFonts w:asciiTheme="majorHAnsi" w:eastAsiaTheme="majorEastAsia" w:hAnsiTheme="majorHAnsi" w:cstheme="majorBidi"/>
      <w:i/>
      <w:iCs/>
      <w:color w:val="272727" w:themeColor="text1" w:themeTint="D8"/>
      <w:sz w:val="21"/>
      <w:szCs w:val="21"/>
    </w:rPr>
  </w:style>
  <w:style w:type="character" w:customStyle="1" w:styleId="fontstyle01">
    <w:name w:val="fontstyle01"/>
    <w:basedOn w:val="Fontepargpadro"/>
    <w:rsid w:val="00E02B62"/>
    <w:rPr>
      <w:rFonts w:ascii="Arial-BoldMT" w:hAnsi="Arial-BoldMT" w:hint="default"/>
      <w:b/>
      <w:bCs/>
      <w:i w:val="0"/>
      <w:iCs w:val="0"/>
      <w:color w:val="0000FF"/>
      <w:sz w:val="18"/>
      <w:szCs w:val="18"/>
    </w:rPr>
  </w:style>
  <w:style w:type="character" w:customStyle="1" w:styleId="fontstyle21">
    <w:name w:val="fontstyle21"/>
    <w:basedOn w:val="Fontepargpadro"/>
    <w:rsid w:val="00E02B62"/>
    <w:rPr>
      <w:rFonts w:ascii="ArialMT" w:hAnsi="ArialMT" w:hint="default"/>
      <w:b w:val="0"/>
      <w:bCs w:val="0"/>
      <w:i w:val="0"/>
      <w:iCs w:val="0"/>
      <w:color w:val="000000"/>
      <w:sz w:val="18"/>
      <w:szCs w:val="18"/>
    </w:rPr>
  </w:style>
  <w:style w:type="paragraph" w:styleId="CitaoIntensa">
    <w:name w:val="Intense Quote"/>
    <w:basedOn w:val="Normal"/>
    <w:next w:val="Normal"/>
    <w:link w:val="CitaoIntensaChar"/>
    <w:uiPriority w:val="30"/>
    <w:qFormat/>
    <w:rsid w:val="0053023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oIntensaChar">
    <w:name w:val="Citação Intensa Char"/>
    <w:basedOn w:val="Fontepargpadro"/>
    <w:link w:val="CitaoIntensa"/>
    <w:uiPriority w:val="30"/>
    <w:rsid w:val="00530232"/>
    <w:rPr>
      <w:rFonts w:ascii="Tahoma" w:hAnsi="Tahoma"/>
      <w:i/>
      <w:iCs/>
      <w:color w:val="4472C4" w:themeColor="accent1"/>
      <w:sz w:val="20"/>
    </w:rPr>
  </w:style>
  <w:style w:type="paragraph" w:customStyle="1" w:styleId="Default">
    <w:name w:val="Default"/>
    <w:rsid w:val="008F76F3"/>
    <w:pPr>
      <w:autoSpaceDE w:val="0"/>
      <w:autoSpaceDN w:val="0"/>
      <w:adjustRightInd w:val="0"/>
      <w:spacing w:after="0" w:line="240" w:lineRule="auto"/>
    </w:pPr>
    <w:rPr>
      <w:rFonts w:ascii="Times New Roman" w:hAnsi="Times New Roman" w:cs="Times New Roman"/>
      <w:color w:val="000000"/>
      <w:sz w:val="24"/>
      <w:szCs w:val="24"/>
    </w:rPr>
  </w:style>
  <w:style w:type="character" w:styleId="HiperlinkVisitado">
    <w:name w:val="FollowedHyperlink"/>
    <w:basedOn w:val="Fontepargpadro"/>
    <w:uiPriority w:val="99"/>
    <w:semiHidden/>
    <w:unhideWhenUsed/>
    <w:rsid w:val="00D16016"/>
    <w:rPr>
      <w:color w:val="954F72" w:themeColor="followedHyperlink"/>
      <w:u w:val="single"/>
    </w:rPr>
  </w:style>
  <w:style w:type="character" w:styleId="Forte">
    <w:name w:val="Strong"/>
    <w:basedOn w:val="Fontepargpadro"/>
    <w:uiPriority w:val="22"/>
    <w:qFormat/>
    <w:rsid w:val="00635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181">
      <w:bodyDiv w:val="1"/>
      <w:marLeft w:val="0"/>
      <w:marRight w:val="0"/>
      <w:marTop w:val="0"/>
      <w:marBottom w:val="0"/>
      <w:divBdr>
        <w:top w:val="none" w:sz="0" w:space="0" w:color="auto"/>
        <w:left w:val="none" w:sz="0" w:space="0" w:color="auto"/>
        <w:bottom w:val="none" w:sz="0" w:space="0" w:color="auto"/>
        <w:right w:val="none" w:sz="0" w:space="0" w:color="auto"/>
      </w:divBdr>
    </w:div>
    <w:div w:id="33700915">
      <w:bodyDiv w:val="1"/>
      <w:marLeft w:val="0"/>
      <w:marRight w:val="0"/>
      <w:marTop w:val="0"/>
      <w:marBottom w:val="0"/>
      <w:divBdr>
        <w:top w:val="none" w:sz="0" w:space="0" w:color="auto"/>
        <w:left w:val="none" w:sz="0" w:space="0" w:color="auto"/>
        <w:bottom w:val="none" w:sz="0" w:space="0" w:color="auto"/>
        <w:right w:val="none" w:sz="0" w:space="0" w:color="auto"/>
      </w:divBdr>
    </w:div>
    <w:div w:id="35980479">
      <w:bodyDiv w:val="1"/>
      <w:marLeft w:val="0"/>
      <w:marRight w:val="0"/>
      <w:marTop w:val="0"/>
      <w:marBottom w:val="0"/>
      <w:divBdr>
        <w:top w:val="none" w:sz="0" w:space="0" w:color="auto"/>
        <w:left w:val="none" w:sz="0" w:space="0" w:color="auto"/>
        <w:bottom w:val="none" w:sz="0" w:space="0" w:color="auto"/>
        <w:right w:val="none" w:sz="0" w:space="0" w:color="auto"/>
      </w:divBdr>
    </w:div>
    <w:div w:id="45179607">
      <w:bodyDiv w:val="1"/>
      <w:marLeft w:val="0"/>
      <w:marRight w:val="0"/>
      <w:marTop w:val="0"/>
      <w:marBottom w:val="0"/>
      <w:divBdr>
        <w:top w:val="none" w:sz="0" w:space="0" w:color="auto"/>
        <w:left w:val="none" w:sz="0" w:space="0" w:color="auto"/>
        <w:bottom w:val="none" w:sz="0" w:space="0" w:color="auto"/>
        <w:right w:val="none" w:sz="0" w:space="0" w:color="auto"/>
      </w:divBdr>
    </w:div>
    <w:div w:id="71238125">
      <w:bodyDiv w:val="1"/>
      <w:marLeft w:val="0"/>
      <w:marRight w:val="0"/>
      <w:marTop w:val="0"/>
      <w:marBottom w:val="0"/>
      <w:divBdr>
        <w:top w:val="none" w:sz="0" w:space="0" w:color="auto"/>
        <w:left w:val="none" w:sz="0" w:space="0" w:color="auto"/>
        <w:bottom w:val="none" w:sz="0" w:space="0" w:color="auto"/>
        <w:right w:val="none" w:sz="0" w:space="0" w:color="auto"/>
      </w:divBdr>
    </w:div>
    <w:div w:id="115024056">
      <w:bodyDiv w:val="1"/>
      <w:marLeft w:val="0"/>
      <w:marRight w:val="0"/>
      <w:marTop w:val="0"/>
      <w:marBottom w:val="0"/>
      <w:divBdr>
        <w:top w:val="none" w:sz="0" w:space="0" w:color="auto"/>
        <w:left w:val="none" w:sz="0" w:space="0" w:color="auto"/>
        <w:bottom w:val="none" w:sz="0" w:space="0" w:color="auto"/>
        <w:right w:val="none" w:sz="0" w:space="0" w:color="auto"/>
      </w:divBdr>
    </w:div>
    <w:div w:id="129327022">
      <w:bodyDiv w:val="1"/>
      <w:marLeft w:val="0"/>
      <w:marRight w:val="0"/>
      <w:marTop w:val="0"/>
      <w:marBottom w:val="0"/>
      <w:divBdr>
        <w:top w:val="none" w:sz="0" w:space="0" w:color="auto"/>
        <w:left w:val="none" w:sz="0" w:space="0" w:color="auto"/>
        <w:bottom w:val="none" w:sz="0" w:space="0" w:color="auto"/>
        <w:right w:val="none" w:sz="0" w:space="0" w:color="auto"/>
      </w:divBdr>
    </w:div>
    <w:div w:id="164782086">
      <w:bodyDiv w:val="1"/>
      <w:marLeft w:val="0"/>
      <w:marRight w:val="0"/>
      <w:marTop w:val="0"/>
      <w:marBottom w:val="0"/>
      <w:divBdr>
        <w:top w:val="none" w:sz="0" w:space="0" w:color="auto"/>
        <w:left w:val="none" w:sz="0" w:space="0" w:color="auto"/>
        <w:bottom w:val="none" w:sz="0" w:space="0" w:color="auto"/>
        <w:right w:val="none" w:sz="0" w:space="0" w:color="auto"/>
      </w:divBdr>
    </w:div>
    <w:div w:id="178548234">
      <w:bodyDiv w:val="1"/>
      <w:marLeft w:val="0"/>
      <w:marRight w:val="0"/>
      <w:marTop w:val="0"/>
      <w:marBottom w:val="0"/>
      <w:divBdr>
        <w:top w:val="none" w:sz="0" w:space="0" w:color="auto"/>
        <w:left w:val="none" w:sz="0" w:space="0" w:color="auto"/>
        <w:bottom w:val="none" w:sz="0" w:space="0" w:color="auto"/>
        <w:right w:val="none" w:sz="0" w:space="0" w:color="auto"/>
      </w:divBdr>
    </w:div>
    <w:div w:id="196890942">
      <w:bodyDiv w:val="1"/>
      <w:marLeft w:val="0"/>
      <w:marRight w:val="0"/>
      <w:marTop w:val="0"/>
      <w:marBottom w:val="0"/>
      <w:divBdr>
        <w:top w:val="none" w:sz="0" w:space="0" w:color="auto"/>
        <w:left w:val="none" w:sz="0" w:space="0" w:color="auto"/>
        <w:bottom w:val="none" w:sz="0" w:space="0" w:color="auto"/>
        <w:right w:val="none" w:sz="0" w:space="0" w:color="auto"/>
      </w:divBdr>
    </w:div>
    <w:div w:id="206797477">
      <w:bodyDiv w:val="1"/>
      <w:marLeft w:val="0"/>
      <w:marRight w:val="0"/>
      <w:marTop w:val="0"/>
      <w:marBottom w:val="0"/>
      <w:divBdr>
        <w:top w:val="none" w:sz="0" w:space="0" w:color="auto"/>
        <w:left w:val="none" w:sz="0" w:space="0" w:color="auto"/>
        <w:bottom w:val="none" w:sz="0" w:space="0" w:color="auto"/>
        <w:right w:val="none" w:sz="0" w:space="0" w:color="auto"/>
      </w:divBdr>
    </w:div>
    <w:div w:id="228686391">
      <w:bodyDiv w:val="1"/>
      <w:marLeft w:val="0"/>
      <w:marRight w:val="0"/>
      <w:marTop w:val="0"/>
      <w:marBottom w:val="0"/>
      <w:divBdr>
        <w:top w:val="none" w:sz="0" w:space="0" w:color="auto"/>
        <w:left w:val="none" w:sz="0" w:space="0" w:color="auto"/>
        <w:bottom w:val="none" w:sz="0" w:space="0" w:color="auto"/>
        <w:right w:val="none" w:sz="0" w:space="0" w:color="auto"/>
      </w:divBdr>
    </w:div>
    <w:div w:id="250117893">
      <w:bodyDiv w:val="1"/>
      <w:marLeft w:val="0"/>
      <w:marRight w:val="0"/>
      <w:marTop w:val="0"/>
      <w:marBottom w:val="0"/>
      <w:divBdr>
        <w:top w:val="none" w:sz="0" w:space="0" w:color="auto"/>
        <w:left w:val="none" w:sz="0" w:space="0" w:color="auto"/>
        <w:bottom w:val="none" w:sz="0" w:space="0" w:color="auto"/>
        <w:right w:val="none" w:sz="0" w:space="0" w:color="auto"/>
      </w:divBdr>
    </w:div>
    <w:div w:id="276570083">
      <w:bodyDiv w:val="1"/>
      <w:marLeft w:val="0"/>
      <w:marRight w:val="0"/>
      <w:marTop w:val="0"/>
      <w:marBottom w:val="0"/>
      <w:divBdr>
        <w:top w:val="none" w:sz="0" w:space="0" w:color="auto"/>
        <w:left w:val="none" w:sz="0" w:space="0" w:color="auto"/>
        <w:bottom w:val="none" w:sz="0" w:space="0" w:color="auto"/>
        <w:right w:val="none" w:sz="0" w:space="0" w:color="auto"/>
      </w:divBdr>
    </w:div>
    <w:div w:id="286929750">
      <w:bodyDiv w:val="1"/>
      <w:marLeft w:val="0"/>
      <w:marRight w:val="0"/>
      <w:marTop w:val="0"/>
      <w:marBottom w:val="0"/>
      <w:divBdr>
        <w:top w:val="none" w:sz="0" w:space="0" w:color="auto"/>
        <w:left w:val="none" w:sz="0" w:space="0" w:color="auto"/>
        <w:bottom w:val="none" w:sz="0" w:space="0" w:color="auto"/>
        <w:right w:val="none" w:sz="0" w:space="0" w:color="auto"/>
      </w:divBdr>
    </w:div>
    <w:div w:id="328874573">
      <w:bodyDiv w:val="1"/>
      <w:marLeft w:val="0"/>
      <w:marRight w:val="0"/>
      <w:marTop w:val="0"/>
      <w:marBottom w:val="0"/>
      <w:divBdr>
        <w:top w:val="none" w:sz="0" w:space="0" w:color="auto"/>
        <w:left w:val="none" w:sz="0" w:space="0" w:color="auto"/>
        <w:bottom w:val="none" w:sz="0" w:space="0" w:color="auto"/>
        <w:right w:val="none" w:sz="0" w:space="0" w:color="auto"/>
      </w:divBdr>
    </w:div>
    <w:div w:id="334499072">
      <w:bodyDiv w:val="1"/>
      <w:marLeft w:val="0"/>
      <w:marRight w:val="0"/>
      <w:marTop w:val="0"/>
      <w:marBottom w:val="0"/>
      <w:divBdr>
        <w:top w:val="none" w:sz="0" w:space="0" w:color="auto"/>
        <w:left w:val="none" w:sz="0" w:space="0" w:color="auto"/>
        <w:bottom w:val="none" w:sz="0" w:space="0" w:color="auto"/>
        <w:right w:val="none" w:sz="0" w:space="0" w:color="auto"/>
      </w:divBdr>
    </w:div>
    <w:div w:id="338313938">
      <w:bodyDiv w:val="1"/>
      <w:marLeft w:val="0"/>
      <w:marRight w:val="0"/>
      <w:marTop w:val="0"/>
      <w:marBottom w:val="0"/>
      <w:divBdr>
        <w:top w:val="none" w:sz="0" w:space="0" w:color="auto"/>
        <w:left w:val="none" w:sz="0" w:space="0" w:color="auto"/>
        <w:bottom w:val="none" w:sz="0" w:space="0" w:color="auto"/>
        <w:right w:val="none" w:sz="0" w:space="0" w:color="auto"/>
      </w:divBdr>
    </w:div>
    <w:div w:id="443765312">
      <w:bodyDiv w:val="1"/>
      <w:marLeft w:val="0"/>
      <w:marRight w:val="0"/>
      <w:marTop w:val="0"/>
      <w:marBottom w:val="0"/>
      <w:divBdr>
        <w:top w:val="none" w:sz="0" w:space="0" w:color="auto"/>
        <w:left w:val="none" w:sz="0" w:space="0" w:color="auto"/>
        <w:bottom w:val="none" w:sz="0" w:space="0" w:color="auto"/>
        <w:right w:val="none" w:sz="0" w:space="0" w:color="auto"/>
      </w:divBdr>
    </w:div>
    <w:div w:id="468591873">
      <w:bodyDiv w:val="1"/>
      <w:marLeft w:val="0"/>
      <w:marRight w:val="0"/>
      <w:marTop w:val="0"/>
      <w:marBottom w:val="0"/>
      <w:divBdr>
        <w:top w:val="none" w:sz="0" w:space="0" w:color="auto"/>
        <w:left w:val="none" w:sz="0" w:space="0" w:color="auto"/>
        <w:bottom w:val="none" w:sz="0" w:space="0" w:color="auto"/>
        <w:right w:val="none" w:sz="0" w:space="0" w:color="auto"/>
      </w:divBdr>
    </w:div>
    <w:div w:id="475682104">
      <w:bodyDiv w:val="1"/>
      <w:marLeft w:val="0"/>
      <w:marRight w:val="0"/>
      <w:marTop w:val="0"/>
      <w:marBottom w:val="0"/>
      <w:divBdr>
        <w:top w:val="none" w:sz="0" w:space="0" w:color="auto"/>
        <w:left w:val="none" w:sz="0" w:space="0" w:color="auto"/>
        <w:bottom w:val="none" w:sz="0" w:space="0" w:color="auto"/>
        <w:right w:val="none" w:sz="0" w:space="0" w:color="auto"/>
      </w:divBdr>
    </w:div>
    <w:div w:id="503938671">
      <w:bodyDiv w:val="1"/>
      <w:marLeft w:val="0"/>
      <w:marRight w:val="0"/>
      <w:marTop w:val="0"/>
      <w:marBottom w:val="0"/>
      <w:divBdr>
        <w:top w:val="none" w:sz="0" w:space="0" w:color="auto"/>
        <w:left w:val="none" w:sz="0" w:space="0" w:color="auto"/>
        <w:bottom w:val="none" w:sz="0" w:space="0" w:color="auto"/>
        <w:right w:val="none" w:sz="0" w:space="0" w:color="auto"/>
      </w:divBdr>
    </w:div>
    <w:div w:id="511916741">
      <w:bodyDiv w:val="1"/>
      <w:marLeft w:val="0"/>
      <w:marRight w:val="0"/>
      <w:marTop w:val="0"/>
      <w:marBottom w:val="0"/>
      <w:divBdr>
        <w:top w:val="none" w:sz="0" w:space="0" w:color="auto"/>
        <w:left w:val="none" w:sz="0" w:space="0" w:color="auto"/>
        <w:bottom w:val="none" w:sz="0" w:space="0" w:color="auto"/>
        <w:right w:val="none" w:sz="0" w:space="0" w:color="auto"/>
      </w:divBdr>
    </w:div>
    <w:div w:id="525288487">
      <w:bodyDiv w:val="1"/>
      <w:marLeft w:val="0"/>
      <w:marRight w:val="0"/>
      <w:marTop w:val="0"/>
      <w:marBottom w:val="0"/>
      <w:divBdr>
        <w:top w:val="none" w:sz="0" w:space="0" w:color="auto"/>
        <w:left w:val="none" w:sz="0" w:space="0" w:color="auto"/>
        <w:bottom w:val="none" w:sz="0" w:space="0" w:color="auto"/>
        <w:right w:val="none" w:sz="0" w:space="0" w:color="auto"/>
      </w:divBdr>
    </w:div>
    <w:div w:id="565409970">
      <w:bodyDiv w:val="1"/>
      <w:marLeft w:val="0"/>
      <w:marRight w:val="0"/>
      <w:marTop w:val="0"/>
      <w:marBottom w:val="0"/>
      <w:divBdr>
        <w:top w:val="none" w:sz="0" w:space="0" w:color="auto"/>
        <w:left w:val="none" w:sz="0" w:space="0" w:color="auto"/>
        <w:bottom w:val="none" w:sz="0" w:space="0" w:color="auto"/>
        <w:right w:val="none" w:sz="0" w:space="0" w:color="auto"/>
      </w:divBdr>
    </w:div>
    <w:div w:id="565578482">
      <w:bodyDiv w:val="1"/>
      <w:marLeft w:val="0"/>
      <w:marRight w:val="0"/>
      <w:marTop w:val="0"/>
      <w:marBottom w:val="0"/>
      <w:divBdr>
        <w:top w:val="none" w:sz="0" w:space="0" w:color="auto"/>
        <w:left w:val="none" w:sz="0" w:space="0" w:color="auto"/>
        <w:bottom w:val="none" w:sz="0" w:space="0" w:color="auto"/>
        <w:right w:val="none" w:sz="0" w:space="0" w:color="auto"/>
      </w:divBdr>
    </w:div>
    <w:div w:id="572357189">
      <w:bodyDiv w:val="1"/>
      <w:marLeft w:val="0"/>
      <w:marRight w:val="0"/>
      <w:marTop w:val="0"/>
      <w:marBottom w:val="0"/>
      <w:divBdr>
        <w:top w:val="none" w:sz="0" w:space="0" w:color="auto"/>
        <w:left w:val="none" w:sz="0" w:space="0" w:color="auto"/>
        <w:bottom w:val="none" w:sz="0" w:space="0" w:color="auto"/>
        <w:right w:val="none" w:sz="0" w:space="0" w:color="auto"/>
      </w:divBdr>
    </w:div>
    <w:div w:id="620192345">
      <w:bodyDiv w:val="1"/>
      <w:marLeft w:val="0"/>
      <w:marRight w:val="0"/>
      <w:marTop w:val="0"/>
      <w:marBottom w:val="0"/>
      <w:divBdr>
        <w:top w:val="none" w:sz="0" w:space="0" w:color="auto"/>
        <w:left w:val="none" w:sz="0" w:space="0" w:color="auto"/>
        <w:bottom w:val="none" w:sz="0" w:space="0" w:color="auto"/>
        <w:right w:val="none" w:sz="0" w:space="0" w:color="auto"/>
      </w:divBdr>
    </w:div>
    <w:div w:id="630283694">
      <w:bodyDiv w:val="1"/>
      <w:marLeft w:val="0"/>
      <w:marRight w:val="0"/>
      <w:marTop w:val="0"/>
      <w:marBottom w:val="0"/>
      <w:divBdr>
        <w:top w:val="none" w:sz="0" w:space="0" w:color="auto"/>
        <w:left w:val="none" w:sz="0" w:space="0" w:color="auto"/>
        <w:bottom w:val="none" w:sz="0" w:space="0" w:color="auto"/>
        <w:right w:val="none" w:sz="0" w:space="0" w:color="auto"/>
      </w:divBdr>
    </w:div>
    <w:div w:id="632369287">
      <w:bodyDiv w:val="1"/>
      <w:marLeft w:val="0"/>
      <w:marRight w:val="0"/>
      <w:marTop w:val="0"/>
      <w:marBottom w:val="0"/>
      <w:divBdr>
        <w:top w:val="none" w:sz="0" w:space="0" w:color="auto"/>
        <w:left w:val="none" w:sz="0" w:space="0" w:color="auto"/>
        <w:bottom w:val="none" w:sz="0" w:space="0" w:color="auto"/>
        <w:right w:val="none" w:sz="0" w:space="0" w:color="auto"/>
      </w:divBdr>
    </w:div>
    <w:div w:id="643581993">
      <w:bodyDiv w:val="1"/>
      <w:marLeft w:val="0"/>
      <w:marRight w:val="0"/>
      <w:marTop w:val="0"/>
      <w:marBottom w:val="0"/>
      <w:divBdr>
        <w:top w:val="none" w:sz="0" w:space="0" w:color="auto"/>
        <w:left w:val="none" w:sz="0" w:space="0" w:color="auto"/>
        <w:bottom w:val="none" w:sz="0" w:space="0" w:color="auto"/>
        <w:right w:val="none" w:sz="0" w:space="0" w:color="auto"/>
      </w:divBdr>
    </w:div>
    <w:div w:id="724109657">
      <w:bodyDiv w:val="1"/>
      <w:marLeft w:val="0"/>
      <w:marRight w:val="0"/>
      <w:marTop w:val="0"/>
      <w:marBottom w:val="0"/>
      <w:divBdr>
        <w:top w:val="none" w:sz="0" w:space="0" w:color="auto"/>
        <w:left w:val="none" w:sz="0" w:space="0" w:color="auto"/>
        <w:bottom w:val="none" w:sz="0" w:space="0" w:color="auto"/>
        <w:right w:val="none" w:sz="0" w:space="0" w:color="auto"/>
      </w:divBdr>
    </w:div>
    <w:div w:id="744568255">
      <w:bodyDiv w:val="1"/>
      <w:marLeft w:val="0"/>
      <w:marRight w:val="0"/>
      <w:marTop w:val="0"/>
      <w:marBottom w:val="0"/>
      <w:divBdr>
        <w:top w:val="none" w:sz="0" w:space="0" w:color="auto"/>
        <w:left w:val="none" w:sz="0" w:space="0" w:color="auto"/>
        <w:bottom w:val="none" w:sz="0" w:space="0" w:color="auto"/>
        <w:right w:val="none" w:sz="0" w:space="0" w:color="auto"/>
      </w:divBdr>
      <w:divsChild>
        <w:div w:id="1111238843">
          <w:marLeft w:val="0"/>
          <w:marRight w:val="0"/>
          <w:marTop w:val="0"/>
          <w:marBottom w:val="0"/>
          <w:divBdr>
            <w:top w:val="none" w:sz="0" w:space="0" w:color="auto"/>
            <w:left w:val="none" w:sz="0" w:space="0" w:color="auto"/>
            <w:bottom w:val="none" w:sz="0" w:space="0" w:color="auto"/>
            <w:right w:val="none" w:sz="0" w:space="0" w:color="auto"/>
          </w:divBdr>
          <w:divsChild>
            <w:div w:id="18096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54314">
      <w:bodyDiv w:val="1"/>
      <w:marLeft w:val="0"/>
      <w:marRight w:val="0"/>
      <w:marTop w:val="0"/>
      <w:marBottom w:val="0"/>
      <w:divBdr>
        <w:top w:val="none" w:sz="0" w:space="0" w:color="auto"/>
        <w:left w:val="none" w:sz="0" w:space="0" w:color="auto"/>
        <w:bottom w:val="none" w:sz="0" w:space="0" w:color="auto"/>
        <w:right w:val="none" w:sz="0" w:space="0" w:color="auto"/>
      </w:divBdr>
    </w:div>
    <w:div w:id="792477775">
      <w:bodyDiv w:val="1"/>
      <w:marLeft w:val="0"/>
      <w:marRight w:val="0"/>
      <w:marTop w:val="0"/>
      <w:marBottom w:val="0"/>
      <w:divBdr>
        <w:top w:val="none" w:sz="0" w:space="0" w:color="auto"/>
        <w:left w:val="none" w:sz="0" w:space="0" w:color="auto"/>
        <w:bottom w:val="none" w:sz="0" w:space="0" w:color="auto"/>
        <w:right w:val="none" w:sz="0" w:space="0" w:color="auto"/>
      </w:divBdr>
    </w:div>
    <w:div w:id="812678171">
      <w:bodyDiv w:val="1"/>
      <w:marLeft w:val="0"/>
      <w:marRight w:val="0"/>
      <w:marTop w:val="0"/>
      <w:marBottom w:val="0"/>
      <w:divBdr>
        <w:top w:val="none" w:sz="0" w:space="0" w:color="auto"/>
        <w:left w:val="none" w:sz="0" w:space="0" w:color="auto"/>
        <w:bottom w:val="none" w:sz="0" w:space="0" w:color="auto"/>
        <w:right w:val="none" w:sz="0" w:space="0" w:color="auto"/>
      </w:divBdr>
    </w:div>
    <w:div w:id="832375498">
      <w:bodyDiv w:val="1"/>
      <w:marLeft w:val="0"/>
      <w:marRight w:val="0"/>
      <w:marTop w:val="0"/>
      <w:marBottom w:val="0"/>
      <w:divBdr>
        <w:top w:val="none" w:sz="0" w:space="0" w:color="auto"/>
        <w:left w:val="none" w:sz="0" w:space="0" w:color="auto"/>
        <w:bottom w:val="none" w:sz="0" w:space="0" w:color="auto"/>
        <w:right w:val="none" w:sz="0" w:space="0" w:color="auto"/>
      </w:divBdr>
    </w:div>
    <w:div w:id="833186249">
      <w:bodyDiv w:val="1"/>
      <w:marLeft w:val="0"/>
      <w:marRight w:val="0"/>
      <w:marTop w:val="0"/>
      <w:marBottom w:val="0"/>
      <w:divBdr>
        <w:top w:val="none" w:sz="0" w:space="0" w:color="auto"/>
        <w:left w:val="none" w:sz="0" w:space="0" w:color="auto"/>
        <w:bottom w:val="none" w:sz="0" w:space="0" w:color="auto"/>
        <w:right w:val="none" w:sz="0" w:space="0" w:color="auto"/>
      </w:divBdr>
    </w:div>
    <w:div w:id="837040682">
      <w:bodyDiv w:val="1"/>
      <w:marLeft w:val="0"/>
      <w:marRight w:val="0"/>
      <w:marTop w:val="0"/>
      <w:marBottom w:val="0"/>
      <w:divBdr>
        <w:top w:val="none" w:sz="0" w:space="0" w:color="auto"/>
        <w:left w:val="none" w:sz="0" w:space="0" w:color="auto"/>
        <w:bottom w:val="none" w:sz="0" w:space="0" w:color="auto"/>
        <w:right w:val="none" w:sz="0" w:space="0" w:color="auto"/>
      </w:divBdr>
    </w:div>
    <w:div w:id="858004548">
      <w:bodyDiv w:val="1"/>
      <w:marLeft w:val="0"/>
      <w:marRight w:val="0"/>
      <w:marTop w:val="0"/>
      <w:marBottom w:val="0"/>
      <w:divBdr>
        <w:top w:val="none" w:sz="0" w:space="0" w:color="auto"/>
        <w:left w:val="none" w:sz="0" w:space="0" w:color="auto"/>
        <w:bottom w:val="none" w:sz="0" w:space="0" w:color="auto"/>
        <w:right w:val="none" w:sz="0" w:space="0" w:color="auto"/>
      </w:divBdr>
    </w:div>
    <w:div w:id="861552193">
      <w:bodyDiv w:val="1"/>
      <w:marLeft w:val="0"/>
      <w:marRight w:val="0"/>
      <w:marTop w:val="0"/>
      <w:marBottom w:val="0"/>
      <w:divBdr>
        <w:top w:val="none" w:sz="0" w:space="0" w:color="auto"/>
        <w:left w:val="none" w:sz="0" w:space="0" w:color="auto"/>
        <w:bottom w:val="none" w:sz="0" w:space="0" w:color="auto"/>
        <w:right w:val="none" w:sz="0" w:space="0" w:color="auto"/>
      </w:divBdr>
    </w:div>
    <w:div w:id="897715272">
      <w:bodyDiv w:val="1"/>
      <w:marLeft w:val="0"/>
      <w:marRight w:val="0"/>
      <w:marTop w:val="0"/>
      <w:marBottom w:val="0"/>
      <w:divBdr>
        <w:top w:val="none" w:sz="0" w:space="0" w:color="auto"/>
        <w:left w:val="none" w:sz="0" w:space="0" w:color="auto"/>
        <w:bottom w:val="none" w:sz="0" w:space="0" w:color="auto"/>
        <w:right w:val="none" w:sz="0" w:space="0" w:color="auto"/>
      </w:divBdr>
    </w:div>
    <w:div w:id="949967253">
      <w:bodyDiv w:val="1"/>
      <w:marLeft w:val="0"/>
      <w:marRight w:val="0"/>
      <w:marTop w:val="0"/>
      <w:marBottom w:val="0"/>
      <w:divBdr>
        <w:top w:val="none" w:sz="0" w:space="0" w:color="auto"/>
        <w:left w:val="none" w:sz="0" w:space="0" w:color="auto"/>
        <w:bottom w:val="none" w:sz="0" w:space="0" w:color="auto"/>
        <w:right w:val="none" w:sz="0" w:space="0" w:color="auto"/>
      </w:divBdr>
    </w:div>
    <w:div w:id="956184644">
      <w:bodyDiv w:val="1"/>
      <w:marLeft w:val="0"/>
      <w:marRight w:val="0"/>
      <w:marTop w:val="0"/>
      <w:marBottom w:val="0"/>
      <w:divBdr>
        <w:top w:val="none" w:sz="0" w:space="0" w:color="auto"/>
        <w:left w:val="none" w:sz="0" w:space="0" w:color="auto"/>
        <w:bottom w:val="none" w:sz="0" w:space="0" w:color="auto"/>
        <w:right w:val="none" w:sz="0" w:space="0" w:color="auto"/>
      </w:divBdr>
    </w:div>
    <w:div w:id="984092001">
      <w:bodyDiv w:val="1"/>
      <w:marLeft w:val="0"/>
      <w:marRight w:val="0"/>
      <w:marTop w:val="0"/>
      <w:marBottom w:val="0"/>
      <w:divBdr>
        <w:top w:val="none" w:sz="0" w:space="0" w:color="auto"/>
        <w:left w:val="none" w:sz="0" w:space="0" w:color="auto"/>
        <w:bottom w:val="none" w:sz="0" w:space="0" w:color="auto"/>
        <w:right w:val="none" w:sz="0" w:space="0" w:color="auto"/>
      </w:divBdr>
    </w:div>
    <w:div w:id="989215258">
      <w:bodyDiv w:val="1"/>
      <w:marLeft w:val="0"/>
      <w:marRight w:val="0"/>
      <w:marTop w:val="0"/>
      <w:marBottom w:val="0"/>
      <w:divBdr>
        <w:top w:val="none" w:sz="0" w:space="0" w:color="auto"/>
        <w:left w:val="none" w:sz="0" w:space="0" w:color="auto"/>
        <w:bottom w:val="none" w:sz="0" w:space="0" w:color="auto"/>
        <w:right w:val="none" w:sz="0" w:space="0" w:color="auto"/>
      </w:divBdr>
    </w:div>
    <w:div w:id="1000498025">
      <w:bodyDiv w:val="1"/>
      <w:marLeft w:val="0"/>
      <w:marRight w:val="0"/>
      <w:marTop w:val="0"/>
      <w:marBottom w:val="0"/>
      <w:divBdr>
        <w:top w:val="none" w:sz="0" w:space="0" w:color="auto"/>
        <w:left w:val="none" w:sz="0" w:space="0" w:color="auto"/>
        <w:bottom w:val="none" w:sz="0" w:space="0" w:color="auto"/>
        <w:right w:val="none" w:sz="0" w:space="0" w:color="auto"/>
      </w:divBdr>
    </w:div>
    <w:div w:id="1009059395">
      <w:bodyDiv w:val="1"/>
      <w:marLeft w:val="0"/>
      <w:marRight w:val="0"/>
      <w:marTop w:val="0"/>
      <w:marBottom w:val="0"/>
      <w:divBdr>
        <w:top w:val="none" w:sz="0" w:space="0" w:color="auto"/>
        <w:left w:val="none" w:sz="0" w:space="0" w:color="auto"/>
        <w:bottom w:val="none" w:sz="0" w:space="0" w:color="auto"/>
        <w:right w:val="none" w:sz="0" w:space="0" w:color="auto"/>
      </w:divBdr>
    </w:div>
    <w:div w:id="1039085746">
      <w:bodyDiv w:val="1"/>
      <w:marLeft w:val="0"/>
      <w:marRight w:val="0"/>
      <w:marTop w:val="0"/>
      <w:marBottom w:val="0"/>
      <w:divBdr>
        <w:top w:val="none" w:sz="0" w:space="0" w:color="auto"/>
        <w:left w:val="none" w:sz="0" w:space="0" w:color="auto"/>
        <w:bottom w:val="none" w:sz="0" w:space="0" w:color="auto"/>
        <w:right w:val="none" w:sz="0" w:space="0" w:color="auto"/>
      </w:divBdr>
    </w:div>
    <w:div w:id="1052846607">
      <w:bodyDiv w:val="1"/>
      <w:marLeft w:val="0"/>
      <w:marRight w:val="0"/>
      <w:marTop w:val="0"/>
      <w:marBottom w:val="0"/>
      <w:divBdr>
        <w:top w:val="none" w:sz="0" w:space="0" w:color="auto"/>
        <w:left w:val="none" w:sz="0" w:space="0" w:color="auto"/>
        <w:bottom w:val="none" w:sz="0" w:space="0" w:color="auto"/>
        <w:right w:val="none" w:sz="0" w:space="0" w:color="auto"/>
      </w:divBdr>
    </w:div>
    <w:div w:id="1053041847">
      <w:bodyDiv w:val="1"/>
      <w:marLeft w:val="0"/>
      <w:marRight w:val="0"/>
      <w:marTop w:val="0"/>
      <w:marBottom w:val="0"/>
      <w:divBdr>
        <w:top w:val="none" w:sz="0" w:space="0" w:color="auto"/>
        <w:left w:val="none" w:sz="0" w:space="0" w:color="auto"/>
        <w:bottom w:val="none" w:sz="0" w:space="0" w:color="auto"/>
        <w:right w:val="none" w:sz="0" w:space="0" w:color="auto"/>
      </w:divBdr>
    </w:div>
    <w:div w:id="1078748226">
      <w:bodyDiv w:val="1"/>
      <w:marLeft w:val="0"/>
      <w:marRight w:val="0"/>
      <w:marTop w:val="0"/>
      <w:marBottom w:val="0"/>
      <w:divBdr>
        <w:top w:val="none" w:sz="0" w:space="0" w:color="auto"/>
        <w:left w:val="none" w:sz="0" w:space="0" w:color="auto"/>
        <w:bottom w:val="none" w:sz="0" w:space="0" w:color="auto"/>
        <w:right w:val="none" w:sz="0" w:space="0" w:color="auto"/>
      </w:divBdr>
    </w:div>
    <w:div w:id="1135175406">
      <w:bodyDiv w:val="1"/>
      <w:marLeft w:val="0"/>
      <w:marRight w:val="0"/>
      <w:marTop w:val="0"/>
      <w:marBottom w:val="0"/>
      <w:divBdr>
        <w:top w:val="none" w:sz="0" w:space="0" w:color="auto"/>
        <w:left w:val="none" w:sz="0" w:space="0" w:color="auto"/>
        <w:bottom w:val="none" w:sz="0" w:space="0" w:color="auto"/>
        <w:right w:val="none" w:sz="0" w:space="0" w:color="auto"/>
      </w:divBdr>
    </w:div>
    <w:div w:id="1148474471">
      <w:bodyDiv w:val="1"/>
      <w:marLeft w:val="0"/>
      <w:marRight w:val="0"/>
      <w:marTop w:val="0"/>
      <w:marBottom w:val="0"/>
      <w:divBdr>
        <w:top w:val="none" w:sz="0" w:space="0" w:color="auto"/>
        <w:left w:val="none" w:sz="0" w:space="0" w:color="auto"/>
        <w:bottom w:val="none" w:sz="0" w:space="0" w:color="auto"/>
        <w:right w:val="none" w:sz="0" w:space="0" w:color="auto"/>
      </w:divBdr>
    </w:div>
    <w:div w:id="1150825878">
      <w:bodyDiv w:val="1"/>
      <w:marLeft w:val="0"/>
      <w:marRight w:val="0"/>
      <w:marTop w:val="0"/>
      <w:marBottom w:val="0"/>
      <w:divBdr>
        <w:top w:val="none" w:sz="0" w:space="0" w:color="auto"/>
        <w:left w:val="none" w:sz="0" w:space="0" w:color="auto"/>
        <w:bottom w:val="none" w:sz="0" w:space="0" w:color="auto"/>
        <w:right w:val="none" w:sz="0" w:space="0" w:color="auto"/>
      </w:divBdr>
    </w:div>
    <w:div w:id="1155419751">
      <w:bodyDiv w:val="1"/>
      <w:marLeft w:val="0"/>
      <w:marRight w:val="0"/>
      <w:marTop w:val="0"/>
      <w:marBottom w:val="0"/>
      <w:divBdr>
        <w:top w:val="none" w:sz="0" w:space="0" w:color="auto"/>
        <w:left w:val="none" w:sz="0" w:space="0" w:color="auto"/>
        <w:bottom w:val="none" w:sz="0" w:space="0" w:color="auto"/>
        <w:right w:val="none" w:sz="0" w:space="0" w:color="auto"/>
      </w:divBdr>
    </w:div>
    <w:div w:id="1208834010">
      <w:bodyDiv w:val="1"/>
      <w:marLeft w:val="0"/>
      <w:marRight w:val="0"/>
      <w:marTop w:val="0"/>
      <w:marBottom w:val="0"/>
      <w:divBdr>
        <w:top w:val="none" w:sz="0" w:space="0" w:color="auto"/>
        <w:left w:val="none" w:sz="0" w:space="0" w:color="auto"/>
        <w:bottom w:val="none" w:sz="0" w:space="0" w:color="auto"/>
        <w:right w:val="none" w:sz="0" w:space="0" w:color="auto"/>
      </w:divBdr>
    </w:div>
    <w:div w:id="1226525292">
      <w:bodyDiv w:val="1"/>
      <w:marLeft w:val="0"/>
      <w:marRight w:val="0"/>
      <w:marTop w:val="0"/>
      <w:marBottom w:val="0"/>
      <w:divBdr>
        <w:top w:val="none" w:sz="0" w:space="0" w:color="auto"/>
        <w:left w:val="none" w:sz="0" w:space="0" w:color="auto"/>
        <w:bottom w:val="none" w:sz="0" w:space="0" w:color="auto"/>
        <w:right w:val="none" w:sz="0" w:space="0" w:color="auto"/>
      </w:divBdr>
    </w:div>
    <w:div w:id="1255431583">
      <w:bodyDiv w:val="1"/>
      <w:marLeft w:val="0"/>
      <w:marRight w:val="0"/>
      <w:marTop w:val="0"/>
      <w:marBottom w:val="0"/>
      <w:divBdr>
        <w:top w:val="none" w:sz="0" w:space="0" w:color="auto"/>
        <w:left w:val="none" w:sz="0" w:space="0" w:color="auto"/>
        <w:bottom w:val="none" w:sz="0" w:space="0" w:color="auto"/>
        <w:right w:val="none" w:sz="0" w:space="0" w:color="auto"/>
      </w:divBdr>
    </w:div>
    <w:div w:id="1259365447">
      <w:bodyDiv w:val="1"/>
      <w:marLeft w:val="0"/>
      <w:marRight w:val="0"/>
      <w:marTop w:val="0"/>
      <w:marBottom w:val="0"/>
      <w:divBdr>
        <w:top w:val="none" w:sz="0" w:space="0" w:color="auto"/>
        <w:left w:val="none" w:sz="0" w:space="0" w:color="auto"/>
        <w:bottom w:val="none" w:sz="0" w:space="0" w:color="auto"/>
        <w:right w:val="none" w:sz="0" w:space="0" w:color="auto"/>
      </w:divBdr>
    </w:div>
    <w:div w:id="1260286406">
      <w:bodyDiv w:val="1"/>
      <w:marLeft w:val="0"/>
      <w:marRight w:val="0"/>
      <w:marTop w:val="0"/>
      <w:marBottom w:val="0"/>
      <w:divBdr>
        <w:top w:val="none" w:sz="0" w:space="0" w:color="auto"/>
        <w:left w:val="none" w:sz="0" w:space="0" w:color="auto"/>
        <w:bottom w:val="none" w:sz="0" w:space="0" w:color="auto"/>
        <w:right w:val="none" w:sz="0" w:space="0" w:color="auto"/>
      </w:divBdr>
    </w:div>
    <w:div w:id="1266690940">
      <w:bodyDiv w:val="1"/>
      <w:marLeft w:val="0"/>
      <w:marRight w:val="0"/>
      <w:marTop w:val="0"/>
      <w:marBottom w:val="0"/>
      <w:divBdr>
        <w:top w:val="none" w:sz="0" w:space="0" w:color="auto"/>
        <w:left w:val="none" w:sz="0" w:space="0" w:color="auto"/>
        <w:bottom w:val="none" w:sz="0" w:space="0" w:color="auto"/>
        <w:right w:val="none" w:sz="0" w:space="0" w:color="auto"/>
      </w:divBdr>
    </w:div>
    <w:div w:id="1277641259">
      <w:bodyDiv w:val="1"/>
      <w:marLeft w:val="0"/>
      <w:marRight w:val="0"/>
      <w:marTop w:val="0"/>
      <w:marBottom w:val="0"/>
      <w:divBdr>
        <w:top w:val="none" w:sz="0" w:space="0" w:color="auto"/>
        <w:left w:val="none" w:sz="0" w:space="0" w:color="auto"/>
        <w:bottom w:val="none" w:sz="0" w:space="0" w:color="auto"/>
        <w:right w:val="none" w:sz="0" w:space="0" w:color="auto"/>
      </w:divBdr>
    </w:div>
    <w:div w:id="1316298702">
      <w:bodyDiv w:val="1"/>
      <w:marLeft w:val="0"/>
      <w:marRight w:val="0"/>
      <w:marTop w:val="0"/>
      <w:marBottom w:val="0"/>
      <w:divBdr>
        <w:top w:val="none" w:sz="0" w:space="0" w:color="auto"/>
        <w:left w:val="none" w:sz="0" w:space="0" w:color="auto"/>
        <w:bottom w:val="none" w:sz="0" w:space="0" w:color="auto"/>
        <w:right w:val="none" w:sz="0" w:space="0" w:color="auto"/>
      </w:divBdr>
    </w:div>
    <w:div w:id="1416704411">
      <w:bodyDiv w:val="1"/>
      <w:marLeft w:val="0"/>
      <w:marRight w:val="0"/>
      <w:marTop w:val="0"/>
      <w:marBottom w:val="0"/>
      <w:divBdr>
        <w:top w:val="none" w:sz="0" w:space="0" w:color="auto"/>
        <w:left w:val="none" w:sz="0" w:space="0" w:color="auto"/>
        <w:bottom w:val="none" w:sz="0" w:space="0" w:color="auto"/>
        <w:right w:val="none" w:sz="0" w:space="0" w:color="auto"/>
      </w:divBdr>
    </w:div>
    <w:div w:id="1422992140">
      <w:bodyDiv w:val="1"/>
      <w:marLeft w:val="0"/>
      <w:marRight w:val="0"/>
      <w:marTop w:val="0"/>
      <w:marBottom w:val="0"/>
      <w:divBdr>
        <w:top w:val="none" w:sz="0" w:space="0" w:color="auto"/>
        <w:left w:val="none" w:sz="0" w:space="0" w:color="auto"/>
        <w:bottom w:val="none" w:sz="0" w:space="0" w:color="auto"/>
        <w:right w:val="none" w:sz="0" w:space="0" w:color="auto"/>
      </w:divBdr>
    </w:div>
    <w:div w:id="1434977006">
      <w:bodyDiv w:val="1"/>
      <w:marLeft w:val="0"/>
      <w:marRight w:val="0"/>
      <w:marTop w:val="0"/>
      <w:marBottom w:val="0"/>
      <w:divBdr>
        <w:top w:val="none" w:sz="0" w:space="0" w:color="auto"/>
        <w:left w:val="none" w:sz="0" w:space="0" w:color="auto"/>
        <w:bottom w:val="none" w:sz="0" w:space="0" w:color="auto"/>
        <w:right w:val="none" w:sz="0" w:space="0" w:color="auto"/>
      </w:divBdr>
    </w:div>
    <w:div w:id="1452628673">
      <w:bodyDiv w:val="1"/>
      <w:marLeft w:val="0"/>
      <w:marRight w:val="0"/>
      <w:marTop w:val="0"/>
      <w:marBottom w:val="0"/>
      <w:divBdr>
        <w:top w:val="none" w:sz="0" w:space="0" w:color="auto"/>
        <w:left w:val="none" w:sz="0" w:space="0" w:color="auto"/>
        <w:bottom w:val="none" w:sz="0" w:space="0" w:color="auto"/>
        <w:right w:val="none" w:sz="0" w:space="0" w:color="auto"/>
      </w:divBdr>
    </w:div>
    <w:div w:id="1463890359">
      <w:bodyDiv w:val="1"/>
      <w:marLeft w:val="0"/>
      <w:marRight w:val="0"/>
      <w:marTop w:val="0"/>
      <w:marBottom w:val="0"/>
      <w:divBdr>
        <w:top w:val="none" w:sz="0" w:space="0" w:color="auto"/>
        <w:left w:val="none" w:sz="0" w:space="0" w:color="auto"/>
        <w:bottom w:val="none" w:sz="0" w:space="0" w:color="auto"/>
        <w:right w:val="none" w:sz="0" w:space="0" w:color="auto"/>
      </w:divBdr>
    </w:div>
    <w:div w:id="1469199806">
      <w:bodyDiv w:val="1"/>
      <w:marLeft w:val="0"/>
      <w:marRight w:val="0"/>
      <w:marTop w:val="0"/>
      <w:marBottom w:val="0"/>
      <w:divBdr>
        <w:top w:val="none" w:sz="0" w:space="0" w:color="auto"/>
        <w:left w:val="none" w:sz="0" w:space="0" w:color="auto"/>
        <w:bottom w:val="none" w:sz="0" w:space="0" w:color="auto"/>
        <w:right w:val="none" w:sz="0" w:space="0" w:color="auto"/>
      </w:divBdr>
    </w:div>
    <w:div w:id="1481655227">
      <w:bodyDiv w:val="1"/>
      <w:marLeft w:val="0"/>
      <w:marRight w:val="0"/>
      <w:marTop w:val="0"/>
      <w:marBottom w:val="0"/>
      <w:divBdr>
        <w:top w:val="none" w:sz="0" w:space="0" w:color="auto"/>
        <w:left w:val="none" w:sz="0" w:space="0" w:color="auto"/>
        <w:bottom w:val="none" w:sz="0" w:space="0" w:color="auto"/>
        <w:right w:val="none" w:sz="0" w:space="0" w:color="auto"/>
      </w:divBdr>
    </w:div>
    <w:div w:id="1495610359">
      <w:bodyDiv w:val="1"/>
      <w:marLeft w:val="0"/>
      <w:marRight w:val="0"/>
      <w:marTop w:val="0"/>
      <w:marBottom w:val="0"/>
      <w:divBdr>
        <w:top w:val="none" w:sz="0" w:space="0" w:color="auto"/>
        <w:left w:val="none" w:sz="0" w:space="0" w:color="auto"/>
        <w:bottom w:val="none" w:sz="0" w:space="0" w:color="auto"/>
        <w:right w:val="none" w:sz="0" w:space="0" w:color="auto"/>
      </w:divBdr>
    </w:div>
    <w:div w:id="1497111584">
      <w:bodyDiv w:val="1"/>
      <w:marLeft w:val="0"/>
      <w:marRight w:val="0"/>
      <w:marTop w:val="0"/>
      <w:marBottom w:val="0"/>
      <w:divBdr>
        <w:top w:val="none" w:sz="0" w:space="0" w:color="auto"/>
        <w:left w:val="none" w:sz="0" w:space="0" w:color="auto"/>
        <w:bottom w:val="none" w:sz="0" w:space="0" w:color="auto"/>
        <w:right w:val="none" w:sz="0" w:space="0" w:color="auto"/>
      </w:divBdr>
    </w:div>
    <w:div w:id="1521317114">
      <w:bodyDiv w:val="1"/>
      <w:marLeft w:val="0"/>
      <w:marRight w:val="0"/>
      <w:marTop w:val="0"/>
      <w:marBottom w:val="0"/>
      <w:divBdr>
        <w:top w:val="none" w:sz="0" w:space="0" w:color="auto"/>
        <w:left w:val="none" w:sz="0" w:space="0" w:color="auto"/>
        <w:bottom w:val="none" w:sz="0" w:space="0" w:color="auto"/>
        <w:right w:val="none" w:sz="0" w:space="0" w:color="auto"/>
      </w:divBdr>
    </w:div>
    <w:div w:id="1597860771">
      <w:bodyDiv w:val="1"/>
      <w:marLeft w:val="0"/>
      <w:marRight w:val="0"/>
      <w:marTop w:val="0"/>
      <w:marBottom w:val="0"/>
      <w:divBdr>
        <w:top w:val="none" w:sz="0" w:space="0" w:color="auto"/>
        <w:left w:val="none" w:sz="0" w:space="0" w:color="auto"/>
        <w:bottom w:val="none" w:sz="0" w:space="0" w:color="auto"/>
        <w:right w:val="none" w:sz="0" w:space="0" w:color="auto"/>
      </w:divBdr>
    </w:div>
    <w:div w:id="1605261193">
      <w:bodyDiv w:val="1"/>
      <w:marLeft w:val="0"/>
      <w:marRight w:val="0"/>
      <w:marTop w:val="0"/>
      <w:marBottom w:val="0"/>
      <w:divBdr>
        <w:top w:val="none" w:sz="0" w:space="0" w:color="auto"/>
        <w:left w:val="none" w:sz="0" w:space="0" w:color="auto"/>
        <w:bottom w:val="none" w:sz="0" w:space="0" w:color="auto"/>
        <w:right w:val="none" w:sz="0" w:space="0" w:color="auto"/>
      </w:divBdr>
    </w:div>
    <w:div w:id="1635139365">
      <w:bodyDiv w:val="1"/>
      <w:marLeft w:val="0"/>
      <w:marRight w:val="0"/>
      <w:marTop w:val="0"/>
      <w:marBottom w:val="0"/>
      <w:divBdr>
        <w:top w:val="none" w:sz="0" w:space="0" w:color="auto"/>
        <w:left w:val="none" w:sz="0" w:space="0" w:color="auto"/>
        <w:bottom w:val="none" w:sz="0" w:space="0" w:color="auto"/>
        <w:right w:val="none" w:sz="0" w:space="0" w:color="auto"/>
      </w:divBdr>
    </w:div>
    <w:div w:id="1660117092">
      <w:bodyDiv w:val="1"/>
      <w:marLeft w:val="0"/>
      <w:marRight w:val="0"/>
      <w:marTop w:val="0"/>
      <w:marBottom w:val="0"/>
      <w:divBdr>
        <w:top w:val="none" w:sz="0" w:space="0" w:color="auto"/>
        <w:left w:val="none" w:sz="0" w:space="0" w:color="auto"/>
        <w:bottom w:val="none" w:sz="0" w:space="0" w:color="auto"/>
        <w:right w:val="none" w:sz="0" w:space="0" w:color="auto"/>
      </w:divBdr>
    </w:div>
    <w:div w:id="1691251540">
      <w:bodyDiv w:val="1"/>
      <w:marLeft w:val="0"/>
      <w:marRight w:val="0"/>
      <w:marTop w:val="0"/>
      <w:marBottom w:val="0"/>
      <w:divBdr>
        <w:top w:val="none" w:sz="0" w:space="0" w:color="auto"/>
        <w:left w:val="none" w:sz="0" w:space="0" w:color="auto"/>
        <w:bottom w:val="none" w:sz="0" w:space="0" w:color="auto"/>
        <w:right w:val="none" w:sz="0" w:space="0" w:color="auto"/>
      </w:divBdr>
    </w:div>
    <w:div w:id="1693607586">
      <w:bodyDiv w:val="1"/>
      <w:marLeft w:val="0"/>
      <w:marRight w:val="0"/>
      <w:marTop w:val="0"/>
      <w:marBottom w:val="0"/>
      <w:divBdr>
        <w:top w:val="none" w:sz="0" w:space="0" w:color="auto"/>
        <w:left w:val="none" w:sz="0" w:space="0" w:color="auto"/>
        <w:bottom w:val="none" w:sz="0" w:space="0" w:color="auto"/>
        <w:right w:val="none" w:sz="0" w:space="0" w:color="auto"/>
      </w:divBdr>
      <w:divsChild>
        <w:div w:id="2081175939">
          <w:marLeft w:val="0"/>
          <w:marRight w:val="0"/>
          <w:marTop w:val="0"/>
          <w:marBottom w:val="0"/>
          <w:divBdr>
            <w:top w:val="none" w:sz="0" w:space="0" w:color="auto"/>
            <w:left w:val="none" w:sz="0" w:space="0" w:color="auto"/>
            <w:bottom w:val="none" w:sz="0" w:space="0" w:color="auto"/>
            <w:right w:val="none" w:sz="0" w:space="0" w:color="auto"/>
          </w:divBdr>
          <w:divsChild>
            <w:div w:id="1489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35724">
      <w:bodyDiv w:val="1"/>
      <w:marLeft w:val="0"/>
      <w:marRight w:val="0"/>
      <w:marTop w:val="0"/>
      <w:marBottom w:val="0"/>
      <w:divBdr>
        <w:top w:val="none" w:sz="0" w:space="0" w:color="auto"/>
        <w:left w:val="none" w:sz="0" w:space="0" w:color="auto"/>
        <w:bottom w:val="none" w:sz="0" w:space="0" w:color="auto"/>
        <w:right w:val="none" w:sz="0" w:space="0" w:color="auto"/>
      </w:divBdr>
    </w:div>
    <w:div w:id="1741903102">
      <w:bodyDiv w:val="1"/>
      <w:marLeft w:val="0"/>
      <w:marRight w:val="0"/>
      <w:marTop w:val="0"/>
      <w:marBottom w:val="0"/>
      <w:divBdr>
        <w:top w:val="none" w:sz="0" w:space="0" w:color="auto"/>
        <w:left w:val="none" w:sz="0" w:space="0" w:color="auto"/>
        <w:bottom w:val="none" w:sz="0" w:space="0" w:color="auto"/>
        <w:right w:val="none" w:sz="0" w:space="0" w:color="auto"/>
      </w:divBdr>
    </w:div>
    <w:div w:id="1792241664">
      <w:bodyDiv w:val="1"/>
      <w:marLeft w:val="0"/>
      <w:marRight w:val="0"/>
      <w:marTop w:val="0"/>
      <w:marBottom w:val="0"/>
      <w:divBdr>
        <w:top w:val="none" w:sz="0" w:space="0" w:color="auto"/>
        <w:left w:val="none" w:sz="0" w:space="0" w:color="auto"/>
        <w:bottom w:val="none" w:sz="0" w:space="0" w:color="auto"/>
        <w:right w:val="none" w:sz="0" w:space="0" w:color="auto"/>
      </w:divBdr>
    </w:div>
    <w:div w:id="1819346797">
      <w:bodyDiv w:val="1"/>
      <w:marLeft w:val="0"/>
      <w:marRight w:val="0"/>
      <w:marTop w:val="0"/>
      <w:marBottom w:val="0"/>
      <w:divBdr>
        <w:top w:val="none" w:sz="0" w:space="0" w:color="auto"/>
        <w:left w:val="none" w:sz="0" w:space="0" w:color="auto"/>
        <w:bottom w:val="none" w:sz="0" w:space="0" w:color="auto"/>
        <w:right w:val="none" w:sz="0" w:space="0" w:color="auto"/>
      </w:divBdr>
    </w:div>
    <w:div w:id="1827697210">
      <w:bodyDiv w:val="1"/>
      <w:marLeft w:val="0"/>
      <w:marRight w:val="0"/>
      <w:marTop w:val="0"/>
      <w:marBottom w:val="0"/>
      <w:divBdr>
        <w:top w:val="none" w:sz="0" w:space="0" w:color="auto"/>
        <w:left w:val="none" w:sz="0" w:space="0" w:color="auto"/>
        <w:bottom w:val="none" w:sz="0" w:space="0" w:color="auto"/>
        <w:right w:val="none" w:sz="0" w:space="0" w:color="auto"/>
      </w:divBdr>
    </w:div>
    <w:div w:id="1869948834">
      <w:bodyDiv w:val="1"/>
      <w:marLeft w:val="0"/>
      <w:marRight w:val="0"/>
      <w:marTop w:val="0"/>
      <w:marBottom w:val="0"/>
      <w:divBdr>
        <w:top w:val="none" w:sz="0" w:space="0" w:color="auto"/>
        <w:left w:val="none" w:sz="0" w:space="0" w:color="auto"/>
        <w:bottom w:val="none" w:sz="0" w:space="0" w:color="auto"/>
        <w:right w:val="none" w:sz="0" w:space="0" w:color="auto"/>
      </w:divBdr>
    </w:div>
    <w:div w:id="1871869816">
      <w:bodyDiv w:val="1"/>
      <w:marLeft w:val="0"/>
      <w:marRight w:val="0"/>
      <w:marTop w:val="0"/>
      <w:marBottom w:val="0"/>
      <w:divBdr>
        <w:top w:val="none" w:sz="0" w:space="0" w:color="auto"/>
        <w:left w:val="none" w:sz="0" w:space="0" w:color="auto"/>
        <w:bottom w:val="none" w:sz="0" w:space="0" w:color="auto"/>
        <w:right w:val="none" w:sz="0" w:space="0" w:color="auto"/>
      </w:divBdr>
    </w:div>
    <w:div w:id="1881235206">
      <w:bodyDiv w:val="1"/>
      <w:marLeft w:val="0"/>
      <w:marRight w:val="0"/>
      <w:marTop w:val="0"/>
      <w:marBottom w:val="0"/>
      <w:divBdr>
        <w:top w:val="none" w:sz="0" w:space="0" w:color="auto"/>
        <w:left w:val="none" w:sz="0" w:space="0" w:color="auto"/>
        <w:bottom w:val="none" w:sz="0" w:space="0" w:color="auto"/>
        <w:right w:val="none" w:sz="0" w:space="0" w:color="auto"/>
      </w:divBdr>
    </w:div>
    <w:div w:id="1896697946">
      <w:bodyDiv w:val="1"/>
      <w:marLeft w:val="0"/>
      <w:marRight w:val="0"/>
      <w:marTop w:val="0"/>
      <w:marBottom w:val="0"/>
      <w:divBdr>
        <w:top w:val="none" w:sz="0" w:space="0" w:color="auto"/>
        <w:left w:val="none" w:sz="0" w:space="0" w:color="auto"/>
        <w:bottom w:val="none" w:sz="0" w:space="0" w:color="auto"/>
        <w:right w:val="none" w:sz="0" w:space="0" w:color="auto"/>
      </w:divBdr>
    </w:div>
    <w:div w:id="1909876709">
      <w:bodyDiv w:val="1"/>
      <w:marLeft w:val="0"/>
      <w:marRight w:val="0"/>
      <w:marTop w:val="0"/>
      <w:marBottom w:val="0"/>
      <w:divBdr>
        <w:top w:val="none" w:sz="0" w:space="0" w:color="auto"/>
        <w:left w:val="none" w:sz="0" w:space="0" w:color="auto"/>
        <w:bottom w:val="none" w:sz="0" w:space="0" w:color="auto"/>
        <w:right w:val="none" w:sz="0" w:space="0" w:color="auto"/>
      </w:divBdr>
    </w:div>
    <w:div w:id="1923710724">
      <w:bodyDiv w:val="1"/>
      <w:marLeft w:val="0"/>
      <w:marRight w:val="0"/>
      <w:marTop w:val="0"/>
      <w:marBottom w:val="0"/>
      <w:divBdr>
        <w:top w:val="none" w:sz="0" w:space="0" w:color="auto"/>
        <w:left w:val="none" w:sz="0" w:space="0" w:color="auto"/>
        <w:bottom w:val="none" w:sz="0" w:space="0" w:color="auto"/>
        <w:right w:val="none" w:sz="0" w:space="0" w:color="auto"/>
      </w:divBdr>
    </w:div>
    <w:div w:id="1959094665">
      <w:bodyDiv w:val="1"/>
      <w:marLeft w:val="0"/>
      <w:marRight w:val="0"/>
      <w:marTop w:val="0"/>
      <w:marBottom w:val="0"/>
      <w:divBdr>
        <w:top w:val="none" w:sz="0" w:space="0" w:color="auto"/>
        <w:left w:val="none" w:sz="0" w:space="0" w:color="auto"/>
        <w:bottom w:val="none" w:sz="0" w:space="0" w:color="auto"/>
        <w:right w:val="none" w:sz="0" w:space="0" w:color="auto"/>
      </w:divBdr>
    </w:div>
    <w:div w:id="1999844924">
      <w:bodyDiv w:val="1"/>
      <w:marLeft w:val="0"/>
      <w:marRight w:val="0"/>
      <w:marTop w:val="0"/>
      <w:marBottom w:val="0"/>
      <w:divBdr>
        <w:top w:val="none" w:sz="0" w:space="0" w:color="auto"/>
        <w:left w:val="none" w:sz="0" w:space="0" w:color="auto"/>
        <w:bottom w:val="none" w:sz="0" w:space="0" w:color="auto"/>
        <w:right w:val="none" w:sz="0" w:space="0" w:color="auto"/>
      </w:divBdr>
    </w:div>
    <w:div w:id="2005426704">
      <w:bodyDiv w:val="1"/>
      <w:marLeft w:val="0"/>
      <w:marRight w:val="0"/>
      <w:marTop w:val="0"/>
      <w:marBottom w:val="0"/>
      <w:divBdr>
        <w:top w:val="none" w:sz="0" w:space="0" w:color="auto"/>
        <w:left w:val="none" w:sz="0" w:space="0" w:color="auto"/>
        <w:bottom w:val="none" w:sz="0" w:space="0" w:color="auto"/>
        <w:right w:val="none" w:sz="0" w:space="0" w:color="auto"/>
      </w:divBdr>
    </w:div>
    <w:div w:id="2021424943">
      <w:bodyDiv w:val="1"/>
      <w:marLeft w:val="0"/>
      <w:marRight w:val="0"/>
      <w:marTop w:val="0"/>
      <w:marBottom w:val="0"/>
      <w:divBdr>
        <w:top w:val="none" w:sz="0" w:space="0" w:color="auto"/>
        <w:left w:val="none" w:sz="0" w:space="0" w:color="auto"/>
        <w:bottom w:val="none" w:sz="0" w:space="0" w:color="auto"/>
        <w:right w:val="none" w:sz="0" w:space="0" w:color="auto"/>
      </w:divBdr>
    </w:div>
    <w:div w:id="2050641553">
      <w:bodyDiv w:val="1"/>
      <w:marLeft w:val="0"/>
      <w:marRight w:val="0"/>
      <w:marTop w:val="0"/>
      <w:marBottom w:val="0"/>
      <w:divBdr>
        <w:top w:val="none" w:sz="0" w:space="0" w:color="auto"/>
        <w:left w:val="none" w:sz="0" w:space="0" w:color="auto"/>
        <w:bottom w:val="none" w:sz="0" w:space="0" w:color="auto"/>
        <w:right w:val="none" w:sz="0" w:space="0" w:color="auto"/>
      </w:divBdr>
    </w:div>
    <w:div w:id="2057390133">
      <w:bodyDiv w:val="1"/>
      <w:marLeft w:val="0"/>
      <w:marRight w:val="0"/>
      <w:marTop w:val="0"/>
      <w:marBottom w:val="0"/>
      <w:divBdr>
        <w:top w:val="none" w:sz="0" w:space="0" w:color="auto"/>
        <w:left w:val="none" w:sz="0" w:space="0" w:color="auto"/>
        <w:bottom w:val="none" w:sz="0" w:space="0" w:color="auto"/>
        <w:right w:val="none" w:sz="0" w:space="0" w:color="auto"/>
      </w:divBdr>
    </w:div>
    <w:div w:id="2067416528">
      <w:bodyDiv w:val="1"/>
      <w:marLeft w:val="0"/>
      <w:marRight w:val="0"/>
      <w:marTop w:val="0"/>
      <w:marBottom w:val="0"/>
      <w:divBdr>
        <w:top w:val="none" w:sz="0" w:space="0" w:color="auto"/>
        <w:left w:val="none" w:sz="0" w:space="0" w:color="auto"/>
        <w:bottom w:val="none" w:sz="0" w:space="0" w:color="auto"/>
        <w:right w:val="none" w:sz="0" w:space="0" w:color="auto"/>
      </w:divBdr>
    </w:div>
    <w:div w:id="2082678469">
      <w:bodyDiv w:val="1"/>
      <w:marLeft w:val="0"/>
      <w:marRight w:val="0"/>
      <w:marTop w:val="0"/>
      <w:marBottom w:val="0"/>
      <w:divBdr>
        <w:top w:val="none" w:sz="0" w:space="0" w:color="auto"/>
        <w:left w:val="none" w:sz="0" w:space="0" w:color="auto"/>
        <w:bottom w:val="none" w:sz="0" w:space="0" w:color="auto"/>
        <w:right w:val="none" w:sz="0" w:space="0" w:color="auto"/>
      </w:divBdr>
    </w:div>
    <w:div w:id="214561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0D4DA-94EC-441B-BDD4-0C4D449B7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4190</TotalTime>
  <Pages>18</Pages>
  <Words>12438</Words>
  <Characters>67168</Characters>
  <Application>Microsoft Office Word</Application>
  <DocSecurity>0</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TL</dc:creator>
  <cp:keywords/>
  <dc:description/>
  <cp:lastModifiedBy>Usuario</cp:lastModifiedBy>
  <cp:revision>67</cp:revision>
  <cp:lastPrinted>2024-05-28T17:44:00Z</cp:lastPrinted>
  <dcterms:created xsi:type="dcterms:W3CDTF">2024-01-26T17:02:00Z</dcterms:created>
  <dcterms:modified xsi:type="dcterms:W3CDTF">2026-07-30T00:45:00Z</dcterms:modified>
</cp:coreProperties>
</file>