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4A498" w14:textId="77777777" w:rsidR="00715CA4" w:rsidRPr="00715CA4" w:rsidRDefault="00715CA4" w:rsidP="00715CA4">
      <w:pPr>
        <w:spacing w:after="0" w:line="276" w:lineRule="auto"/>
        <w:jc w:val="center"/>
        <w:rPr>
          <w:rFonts w:ascii="Times New Roman" w:hAnsi="Times New Roman" w:cs="Times New Roman"/>
          <w:b/>
          <w:sz w:val="20"/>
          <w:szCs w:val="20"/>
        </w:rPr>
      </w:pPr>
    </w:p>
    <w:p w14:paraId="7C60CA64" w14:textId="40212BA8" w:rsidR="008F76F3" w:rsidRPr="00715CA4" w:rsidRDefault="008F76F3" w:rsidP="00715CA4">
      <w:pPr>
        <w:spacing w:after="0" w:line="276" w:lineRule="auto"/>
        <w:jc w:val="center"/>
        <w:rPr>
          <w:rFonts w:ascii="Times New Roman" w:hAnsi="Times New Roman" w:cs="Times New Roman"/>
          <w:b/>
          <w:sz w:val="32"/>
          <w:szCs w:val="32"/>
        </w:rPr>
      </w:pPr>
      <w:r w:rsidRPr="00715CA4">
        <w:rPr>
          <w:rFonts w:ascii="Times New Roman" w:hAnsi="Times New Roman" w:cs="Times New Roman"/>
          <w:b/>
          <w:sz w:val="32"/>
          <w:szCs w:val="32"/>
        </w:rPr>
        <w:t xml:space="preserve">ESTUDO TÉCNICO PRELIMINAR </w:t>
      </w:r>
    </w:p>
    <w:p w14:paraId="1C9A8B45" w14:textId="77777777" w:rsidR="008F76F3" w:rsidRPr="00715CA4" w:rsidRDefault="008F76F3" w:rsidP="00715CA4">
      <w:pPr>
        <w:spacing w:after="0" w:line="276" w:lineRule="auto"/>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E776F1" w:rsidRPr="00A00198" w14:paraId="7F3F48B1" w14:textId="77777777" w:rsidTr="00C3667F">
        <w:tc>
          <w:tcPr>
            <w:tcW w:w="9209" w:type="dxa"/>
          </w:tcPr>
          <w:p w14:paraId="12DE8FCC" w14:textId="706EA498" w:rsidR="00E776F1" w:rsidRPr="005C43E8" w:rsidRDefault="00E776F1" w:rsidP="00715CA4">
            <w:pPr>
              <w:spacing w:after="0" w:line="276" w:lineRule="auto"/>
              <w:rPr>
                <w:rFonts w:ascii="Times New Roman" w:hAnsi="Times New Roman" w:cs="Times New Roman"/>
                <w:b/>
                <w:sz w:val="20"/>
                <w:szCs w:val="20"/>
              </w:rPr>
            </w:pPr>
            <w:r>
              <w:rPr>
                <w:rFonts w:ascii="Times New Roman" w:hAnsi="Times New Roman" w:cs="Times New Roman"/>
                <w:b/>
                <w:sz w:val="20"/>
                <w:szCs w:val="20"/>
              </w:rPr>
              <w:t>Objeto</w:t>
            </w:r>
            <w:r w:rsidR="00715CA4">
              <w:rPr>
                <w:rFonts w:cs="Times New Roman"/>
                <w:b/>
                <w:szCs w:val="20"/>
              </w:rPr>
              <w:t xml:space="preserve">: </w:t>
            </w:r>
            <w:bookmarkStart w:id="0" w:name="_Hlk236227477"/>
            <w:r w:rsidR="00820F4D" w:rsidRPr="00820F4D">
              <w:rPr>
                <w:rFonts w:ascii="Times New Roman" w:eastAsia="Times New Roman" w:hAnsi="Times New Roman"/>
                <w:bCs/>
                <w:sz w:val="20"/>
                <w:szCs w:val="20"/>
              </w:rPr>
              <w:t xml:space="preserve">Aquisição eventual e parcelada de monitores cardíacos </w:t>
            </w:r>
            <w:proofErr w:type="spellStart"/>
            <w:r w:rsidR="00820F4D" w:rsidRPr="00820F4D">
              <w:rPr>
                <w:rFonts w:ascii="Times New Roman" w:eastAsia="Times New Roman" w:hAnsi="Times New Roman"/>
                <w:bCs/>
                <w:sz w:val="20"/>
                <w:szCs w:val="20"/>
              </w:rPr>
              <w:t>multiparamétricos</w:t>
            </w:r>
            <w:proofErr w:type="spellEnd"/>
            <w:r w:rsidR="00820F4D" w:rsidRPr="00820F4D">
              <w:rPr>
                <w:rFonts w:ascii="Times New Roman" w:eastAsia="Times New Roman" w:hAnsi="Times New Roman"/>
                <w:bCs/>
                <w:sz w:val="20"/>
                <w:szCs w:val="20"/>
              </w:rPr>
              <w:t>, destinado</w:t>
            </w:r>
            <w:r w:rsidR="00566D7F">
              <w:rPr>
                <w:rFonts w:ascii="Times New Roman" w:eastAsia="Times New Roman" w:hAnsi="Times New Roman"/>
                <w:bCs/>
                <w:sz w:val="20"/>
                <w:szCs w:val="20"/>
              </w:rPr>
              <w:t>s</w:t>
            </w:r>
            <w:r w:rsidR="00820F4D" w:rsidRPr="00820F4D">
              <w:rPr>
                <w:rFonts w:ascii="Times New Roman" w:eastAsia="Times New Roman" w:hAnsi="Times New Roman"/>
                <w:bCs/>
                <w:sz w:val="20"/>
                <w:szCs w:val="20"/>
              </w:rPr>
              <w:t xml:space="preserve"> ao atendimento das necessidades das unidades e dos serviços vinculados à Secretaria Municipal de Saúde, Assistência Social e Habitação, de modo a qualificar a estrutura disponível para monitoramento clínico dos pacientes atendidos</w:t>
            </w:r>
            <w:bookmarkEnd w:id="0"/>
            <w:r w:rsidR="00820F4D" w:rsidRPr="00820F4D">
              <w:rPr>
                <w:rFonts w:ascii="Times New Roman" w:eastAsia="Times New Roman" w:hAnsi="Times New Roman"/>
                <w:bCs/>
                <w:sz w:val="20"/>
                <w:szCs w:val="20"/>
              </w:rPr>
              <w:t>.</w:t>
            </w:r>
          </w:p>
        </w:tc>
      </w:tr>
      <w:tr w:rsidR="008F76F3" w:rsidRPr="00A00198" w14:paraId="0D68AE69" w14:textId="77777777" w:rsidTr="00C3667F">
        <w:tc>
          <w:tcPr>
            <w:tcW w:w="9209" w:type="dxa"/>
          </w:tcPr>
          <w:p w14:paraId="1CA8A904" w14:textId="47767A9D" w:rsidR="008F76F3" w:rsidRPr="00A00198" w:rsidRDefault="005C43E8" w:rsidP="00715CA4">
            <w:pPr>
              <w:spacing w:after="0" w:line="276" w:lineRule="auto"/>
              <w:rPr>
                <w:rFonts w:ascii="Times New Roman" w:hAnsi="Times New Roman" w:cs="Times New Roman"/>
                <w:b/>
                <w:sz w:val="20"/>
                <w:szCs w:val="20"/>
              </w:rPr>
            </w:pPr>
            <w:r w:rsidRPr="005C43E8">
              <w:rPr>
                <w:rFonts w:ascii="Times New Roman" w:hAnsi="Times New Roman" w:cs="Times New Roman"/>
                <w:b/>
                <w:sz w:val="20"/>
                <w:szCs w:val="20"/>
              </w:rPr>
              <w:t xml:space="preserve">Área Requisitante: </w:t>
            </w:r>
            <w:r w:rsidR="00715CA4">
              <w:rPr>
                <w:rFonts w:ascii="Times New Roman" w:hAnsi="Times New Roman" w:cs="Times New Roman"/>
                <w:sz w:val="20"/>
                <w:szCs w:val="20"/>
              </w:rPr>
              <w:t>Secretaria Municipal de Saúde, Assistência Social e Habitação</w:t>
            </w:r>
          </w:p>
        </w:tc>
      </w:tr>
      <w:tr w:rsidR="008F76F3" w:rsidRPr="00A00198" w14:paraId="58FCAF88" w14:textId="77777777" w:rsidTr="00C3667F">
        <w:tc>
          <w:tcPr>
            <w:tcW w:w="9209" w:type="dxa"/>
            <w:tcBorders>
              <w:top w:val="single" w:sz="4" w:space="0" w:color="auto"/>
              <w:left w:val="nil"/>
              <w:bottom w:val="single" w:sz="4" w:space="0" w:color="auto"/>
              <w:right w:val="nil"/>
            </w:tcBorders>
          </w:tcPr>
          <w:p w14:paraId="678E4BBE" w14:textId="77777777" w:rsidR="00715CA4" w:rsidRPr="00A00198" w:rsidRDefault="00715CA4" w:rsidP="00715CA4">
            <w:pPr>
              <w:spacing w:after="0" w:line="276" w:lineRule="auto"/>
              <w:rPr>
                <w:rFonts w:ascii="Times New Roman" w:hAnsi="Times New Roman" w:cs="Times New Roman"/>
                <w:b/>
                <w:sz w:val="20"/>
                <w:szCs w:val="20"/>
              </w:rPr>
            </w:pPr>
          </w:p>
        </w:tc>
      </w:tr>
      <w:tr w:rsidR="008F76F3" w:rsidRPr="00A00198" w14:paraId="3DD24274" w14:textId="77777777" w:rsidTr="00C3667F">
        <w:tc>
          <w:tcPr>
            <w:tcW w:w="9209" w:type="dxa"/>
            <w:tcBorders>
              <w:top w:val="single" w:sz="4" w:space="0" w:color="auto"/>
            </w:tcBorders>
          </w:tcPr>
          <w:p w14:paraId="1BF269D1" w14:textId="354513C5" w:rsidR="008F76F3" w:rsidRPr="00A00198" w:rsidRDefault="008F76F3" w:rsidP="00715CA4">
            <w:pPr>
              <w:spacing w:after="0" w:line="276" w:lineRule="auto"/>
              <w:ind w:firstLine="0"/>
              <w:rPr>
                <w:rFonts w:ascii="Times New Roman" w:hAnsi="Times New Roman" w:cs="Times New Roman"/>
                <w:b/>
                <w:sz w:val="20"/>
                <w:szCs w:val="20"/>
              </w:rPr>
            </w:pPr>
            <w:r w:rsidRPr="00A00198">
              <w:rPr>
                <w:rFonts w:ascii="Times New Roman" w:hAnsi="Times New Roman" w:cs="Times New Roman"/>
                <w:b/>
                <w:sz w:val="20"/>
                <w:szCs w:val="20"/>
              </w:rPr>
              <w:t>1 - DESCRIÇÃO DA NECESSIDADE</w:t>
            </w:r>
            <w:r w:rsidR="00FC4923">
              <w:rPr>
                <w:rFonts w:ascii="Times New Roman" w:hAnsi="Times New Roman" w:cs="Times New Roman"/>
                <w:b/>
                <w:sz w:val="20"/>
                <w:szCs w:val="20"/>
              </w:rPr>
              <w:t>:</w:t>
            </w:r>
          </w:p>
        </w:tc>
      </w:tr>
      <w:tr w:rsidR="008F76F3" w:rsidRPr="00A00198" w14:paraId="7549A9A5" w14:textId="77777777" w:rsidTr="00C3667F">
        <w:tc>
          <w:tcPr>
            <w:tcW w:w="9209" w:type="dxa"/>
            <w:shd w:val="clear" w:color="auto" w:fill="F2F2F2" w:themeFill="background1" w:themeFillShade="F2"/>
          </w:tcPr>
          <w:p w14:paraId="464C3993" w14:textId="312A8203" w:rsidR="008F76F3" w:rsidRPr="00A00198" w:rsidRDefault="008F76F3" w:rsidP="00715CA4">
            <w:pPr>
              <w:spacing w:after="0" w:line="276" w:lineRule="auto"/>
              <w:ind w:firstLine="0"/>
              <w:rPr>
                <w:rFonts w:ascii="Times New Roman" w:eastAsia="Times New Roman" w:hAnsi="Times New Roman" w:cs="Times New Roman"/>
                <w:b/>
                <w:color w:val="000000"/>
                <w:sz w:val="20"/>
                <w:szCs w:val="20"/>
                <w:lang w:eastAsia="pt-BR"/>
              </w:rPr>
            </w:pPr>
            <w:r w:rsidRPr="00A00198">
              <w:rPr>
                <w:rFonts w:ascii="Times New Roman" w:eastAsia="Times New Roman" w:hAnsi="Times New Roman" w:cs="Times New Roman"/>
                <w:b/>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 xml:space="preserve">Descrição da necessidade da contratação, considerado o problema a ser resolvido sob a perspectiva do interesse público (inciso I do § 1° do </w:t>
            </w:r>
            <w:r w:rsidR="008E3C14">
              <w:rPr>
                <w:rFonts w:ascii="Times New Roman" w:eastAsia="Times New Roman" w:hAnsi="Times New Roman" w:cs="Times New Roman"/>
                <w:color w:val="000000"/>
                <w:sz w:val="20"/>
                <w:szCs w:val="20"/>
                <w:lang w:eastAsia="pt-BR"/>
              </w:rPr>
              <w:t>A</w:t>
            </w:r>
            <w:r w:rsidRPr="00A00198">
              <w:rPr>
                <w:rFonts w:ascii="Times New Roman" w:eastAsia="Times New Roman" w:hAnsi="Times New Roman" w:cs="Times New Roman"/>
                <w:color w:val="000000"/>
                <w:sz w:val="20"/>
                <w:szCs w:val="20"/>
                <w:lang w:eastAsia="pt-BR"/>
              </w:rPr>
              <w:t>rt. 18 da Lei 14.133/2021)</w:t>
            </w:r>
            <w:r w:rsidR="00E776F1">
              <w:rPr>
                <w:rFonts w:ascii="Times New Roman" w:eastAsia="Times New Roman" w:hAnsi="Times New Roman" w:cs="Times New Roman"/>
                <w:b/>
                <w:color w:val="000000"/>
                <w:sz w:val="20"/>
                <w:szCs w:val="20"/>
                <w:lang w:eastAsia="pt-BR"/>
              </w:rPr>
              <w:t>:</w:t>
            </w:r>
          </w:p>
        </w:tc>
      </w:tr>
      <w:tr w:rsidR="008F76F3" w:rsidRPr="00A00198" w14:paraId="20066B50" w14:textId="77777777" w:rsidTr="00C3667F">
        <w:tc>
          <w:tcPr>
            <w:tcW w:w="9209" w:type="dxa"/>
          </w:tcPr>
          <w:p w14:paraId="7D56228E" w14:textId="429982D6" w:rsidR="00582A81" w:rsidRPr="00582A81" w:rsidRDefault="00582A81" w:rsidP="00582A81">
            <w:pPr>
              <w:spacing w:after="0" w:line="276" w:lineRule="auto"/>
              <w:ind w:firstLine="597"/>
              <w:rPr>
                <w:rFonts w:ascii="Times New Roman" w:hAnsi="Times New Roman" w:cs="Times New Roman"/>
                <w:sz w:val="20"/>
                <w:szCs w:val="20"/>
              </w:rPr>
            </w:pPr>
            <w:r w:rsidRPr="00582A81">
              <w:rPr>
                <w:rFonts w:ascii="Times New Roman" w:hAnsi="Times New Roman" w:cs="Times New Roman"/>
                <w:sz w:val="20"/>
                <w:szCs w:val="20"/>
              </w:rPr>
              <w:t>O presente Estudo Técnico Preliminar tem por finalidade demonstrar a necessidade de aquisição de monitor cardíaco para utilização na Unidade Básica de Saúde do Município de Paverama e, quando necessário, nas ambulâncias empregadas em atendimentos e transportes de urgência e emergência. O equipamento destina-se especialmente ao acompanhamento de pacientes que apresentem alterações cardiovasculares, instabilidade clínica ou outras condições que exijam monitoramento contínuo e imediato de seus parâmetros vitais.</w:t>
            </w:r>
          </w:p>
          <w:p w14:paraId="6C789606" w14:textId="77777777" w:rsidR="00582A81" w:rsidRPr="00582A81" w:rsidRDefault="00582A81" w:rsidP="00582A81">
            <w:pPr>
              <w:spacing w:after="0" w:line="276" w:lineRule="auto"/>
              <w:ind w:firstLine="597"/>
              <w:rPr>
                <w:rFonts w:ascii="Times New Roman" w:hAnsi="Times New Roman" w:cs="Times New Roman"/>
                <w:sz w:val="20"/>
                <w:szCs w:val="20"/>
              </w:rPr>
            </w:pPr>
            <w:r w:rsidRPr="00582A81">
              <w:rPr>
                <w:rFonts w:ascii="Times New Roman" w:hAnsi="Times New Roman" w:cs="Times New Roman"/>
                <w:sz w:val="20"/>
                <w:szCs w:val="20"/>
              </w:rPr>
              <w:t>A Unidade Básica de Saúde constitui uma das principais portas de entrada da população aos serviços públicos municipais de saúde e, no desenvolvimento de suas atividades, recebe pacientes com diferentes níveis de gravidade. Embora sua atuação esteja predominantemente relacionada à atenção primária, podem ocorrer situações inesperadas de urgência ou emergência, incluindo mal-estar súbito, dor torácica, arritmias, alterações da pressão arterial, dificuldades respiratórias, perda de consciência, crises convulsivas, reações adversas, complicações decorrentes de doenças preexistentes e outras condições que demandem avaliação clínica rápida e acompanhamento contínuo até a estabilização do paciente ou sua transferência para serviço de maior complexidade.</w:t>
            </w:r>
          </w:p>
          <w:p w14:paraId="4D386E28" w14:textId="77777777" w:rsidR="00820F4D" w:rsidRDefault="00582A81" w:rsidP="00582A81">
            <w:pPr>
              <w:spacing w:after="0" w:line="276" w:lineRule="auto"/>
              <w:ind w:firstLine="597"/>
              <w:rPr>
                <w:rFonts w:ascii="Times New Roman" w:hAnsi="Times New Roman" w:cs="Times New Roman"/>
                <w:sz w:val="20"/>
                <w:szCs w:val="20"/>
              </w:rPr>
            </w:pPr>
            <w:r w:rsidRPr="00582A81">
              <w:rPr>
                <w:rFonts w:ascii="Times New Roman" w:hAnsi="Times New Roman" w:cs="Times New Roman"/>
                <w:sz w:val="20"/>
                <w:szCs w:val="20"/>
              </w:rPr>
              <w:t>Nessas circunstâncias, a disponibilidade de monitor cardíaco adequado permite aos profissionais de saúde acompanhar, em tempo real, parâmetros clínicos relevantes, identificar alterações que indiquem agravamento do quadro e adotar medidas assistenciais com maior segurança e precisão. O equipamento também oferece suporte técnico à definição das condutas iniciais, à avaliação da resposta do paciente às intervenções realizadas e à transmissão de informações mais completas às equipes responsáveis pelo atendimento hospitalar subsequente.</w:t>
            </w:r>
          </w:p>
          <w:p w14:paraId="168A8576" w14:textId="24BBA1BC" w:rsidR="00582A81" w:rsidRPr="00582A81" w:rsidRDefault="00582A81" w:rsidP="00582A81">
            <w:pPr>
              <w:spacing w:after="0" w:line="276" w:lineRule="auto"/>
              <w:ind w:firstLine="597"/>
              <w:rPr>
                <w:rFonts w:ascii="Times New Roman" w:hAnsi="Times New Roman" w:cs="Times New Roman"/>
                <w:sz w:val="20"/>
                <w:szCs w:val="20"/>
              </w:rPr>
            </w:pPr>
            <w:r w:rsidRPr="00582A81">
              <w:rPr>
                <w:rFonts w:ascii="Times New Roman" w:hAnsi="Times New Roman" w:cs="Times New Roman"/>
                <w:sz w:val="20"/>
                <w:szCs w:val="20"/>
              </w:rPr>
              <w:t>Além da utilização nas dependências da Unidade Básica de Saúde, o equipamento poderá ser deslocado para uso em ambulância quando as condições clínicas do paciente exigirem monitoramento durante o atendimento pré-hospitalar ou ao longo do transporte até unidade de referência. Essa possibilidade é especialmente relevante nos casos em que o paciente permaneça instável, apresente risco de agravamento ou necessite de acompanhamento contínuo durante o deslocamento, permitindo que a equipe observe a evolução do quadro e adote as providências cabíveis diante de eventuais alterações.</w:t>
            </w:r>
          </w:p>
          <w:p w14:paraId="5B2EB85D" w14:textId="77777777" w:rsidR="00582A81" w:rsidRPr="00582A81" w:rsidRDefault="00582A81" w:rsidP="00582A81">
            <w:pPr>
              <w:spacing w:after="0" w:line="276" w:lineRule="auto"/>
              <w:ind w:firstLine="597"/>
              <w:rPr>
                <w:rFonts w:ascii="Times New Roman" w:hAnsi="Times New Roman" w:cs="Times New Roman"/>
                <w:sz w:val="20"/>
                <w:szCs w:val="20"/>
              </w:rPr>
            </w:pPr>
            <w:r w:rsidRPr="00582A81">
              <w:rPr>
                <w:rFonts w:ascii="Times New Roman" w:hAnsi="Times New Roman" w:cs="Times New Roman"/>
                <w:sz w:val="20"/>
                <w:szCs w:val="20"/>
              </w:rPr>
              <w:t>A utilização compartilhada entre a UBS e a ambulância amplia a funcionalidade do equipamento e favorece o aproveitamento racional do investimento público, uma vez que a mesma solução poderá atender tanto ao período de observação e estabilização na unidade quanto ao transporte assistido do paciente. Para essa finalidade, o equipamento deverá possuir características de mobilidade, autonomia e resistência compatíveis com o deslocamento e com o uso em veículo de atendimento, sem prejuízo da precisão, da segurança e da confiabilidade necessárias ao ambiente clínico.</w:t>
            </w:r>
          </w:p>
          <w:p w14:paraId="2A639FFA" w14:textId="77777777" w:rsidR="00582A81" w:rsidRPr="00582A81" w:rsidRDefault="00582A81" w:rsidP="00582A81">
            <w:pPr>
              <w:spacing w:after="0" w:line="276" w:lineRule="auto"/>
              <w:ind w:firstLine="597"/>
              <w:rPr>
                <w:rFonts w:ascii="Times New Roman" w:hAnsi="Times New Roman" w:cs="Times New Roman"/>
                <w:sz w:val="20"/>
                <w:szCs w:val="20"/>
              </w:rPr>
            </w:pPr>
            <w:r w:rsidRPr="00582A81">
              <w:rPr>
                <w:rFonts w:ascii="Times New Roman" w:hAnsi="Times New Roman" w:cs="Times New Roman"/>
                <w:sz w:val="20"/>
                <w:szCs w:val="20"/>
              </w:rPr>
              <w:t>O problema a ser resolvido consiste na insuficiência da estrutura atualmente disponível para o monitoramento contínuo dos pacientes atendidos em situações que ultrapassem os procedimentos rotineiros da atenção básica. A ausência ou indisponibilidade de equipamento próprio pode limitar a capacidade de avaliação da equipe, dificultar a identificação precoce de alterações clínicas e ampliar os riscos durante o período compreendido entre o ingresso do paciente na unidade, a prestação dos primeiros atendimentos, sua estabilização e o eventual transporte à rede de urgência e emergência.</w:t>
            </w:r>
          </w:p>
          <w:p w14:paraId="4AFD0BA4" w14:textId="77777777" w:rsidR="00582A81" w:rsidRPr="00582A81" w:rsidRDefault="00582A81" w:rsidP="00582A81">
            <w:pPr>
              <w:spacing w:after="0" w:line="276" w:lineRule="auto"/>
              <w:ind w:firstLine="597"/>
              <w:rPr>
                <w:rFonts w:ascii="Times New Roman" w:hAnsi="Times New Roman" w:cs="Times New Roman"/>
                <w:sz w:val="20"/>
                <w:szCs w:val="20"/>
              </w:rPr>
            </w:pPr>
            <w:r w:rsidRPr="00582A81">
              <w:rPr>
                <w:rFonts w:ascii="Times New Roman" w:hAnsi="Times New Roman" w:cs="Times New Roman"/>
                <w:sz w:val="20"/>
                <w:szCs w:val="20"/>
              </w:rPr>
              <w:t xml:space="preserve">Sob a perspectiva do interesse público primário, a aquisição está diretamente relacionada à proteção da vida, à preservação da saúde e à segurança dos usuários do Sistema Único de Saúde. O interesse público envolvido não se limita à incorporação de um novo equipamento ao patrimônio municipal, mas à melhoria concreta da capacidade de resposta da rede de saúde diante de eventos potencialmente graves, nos quais a rapidez na </w:t>
            </w:r>
            <w:r w:rsidRPr="00582A81">
              <w:rPr>
                <w:rFonts w:ascii="Times New Roman" w:hAnsi="Times New Roman" w:cs="Times New Roman"/>
                <w:sz w:val="20"/>
                <w:szCs w:val="20"/>
              </w:rPr>
              <w:lastRenderedPageBreak/>
              <w:t>identificação das alterações clínicas e a adoção de condutas adequadas podem influenciar significativamente a evolução do paciente.</w:t>
            </w:r>
          </w:p>
          <w:p w14:paraId="68B479E7" w14:textId="77777777" w:rsidR="00582A81" w:rsidRPr="00582A81" w:rsidRDefault="00582A81" w:rsidP="00582A81">
            <w:pPr>
              <w:spacing w:after="0" w:line="276" w:lineRule="auto"/>
              <w:ind w:firstLine="597"/>
              <w:rPr>
                <w:rFonts w:ascii="Times New Roman" w:hAnsi="Times New Roman" w:cs="Times New Roman"/>
                <w:sz w:val="20"/>
                <w:szCs w:val="20"/>
              </w:rPr>
            </w:pPr>
            <w:r w:rsidRPr="00582A81">
              <w:rPr>
                <w:rFonts w:ascii="Times New Roman" w:hAnsi="Times New Roman" w:cs="Times New Roman"/>
                <w:sz w:val="20"/>
                <w:szCs w:val="20"/>
              </w:rPr>
              <w:t>A disponibilização do equipamento também contribui para a qualificação da assistência prestada pelos profissionais da unidade e pelas equipes responsáveis pelo transporte, oferecendo condições técnicas mais adequadas para o desempenho de suas atribuições. Sua utilização permitirá maior segurança no acompanhamento de pacientes idosos, gestantes, crianças, pessoas com doenças cardiovasculares ou respiratórias, usuários com múltiplas comorbidades e demais pessoas que apresentem sinais de instabilidade durante consultas, procedimentos, observação clínica, atendimento emergencial ou deslocamento em ambulância.</w:t>
            </w:r>
          </w:p>
          <w:p w14:paraId="69542C6F" w14:textId="77777777" w:rsidR="00582A81" w:rsidRDefault="00582A81" w:rsidP="00582A81">
            <w:pPr>
              <w:spacing w:after="0" w:line="276" w:lineRule="auto"/>
              <w:ind w:firstLine="597"/>
              <w:rPr>
                <w:rFonts w:ascii="Times New Roman" w:hAnsi="Times New Roman" w:cs="Times New Roman"/>
                <w:sz w:val="20"/>
                <w:szCs w:val="20"/>
              </w:rPr>
            </w:pPr>
            <w:r w:rsidRPr="00582A81">
              <w:rPr>
                <w:rFonts w:ascii="Times New Roman" w:hAnsi="Times New Roman" w:cs="Times New Roman"/>
                <w:sz w:val="20"/>
                <w:szCs w:val="20"/>
              </w:rPr>
              <w:t>Além disso, a aquisição contribui para o fortalecimento da rede municipal de saúde, ampliando a capacidade resolutiva da Unidade Básica de Saúde e melhorando sua integração com os serviços de transporte sanitário, atendimento pré-hospitalar e unidades hospitalares de referência. Do mesmo modo, promove a redução de riscos assistenciais, ao diminuir a possibilidade de agravamento não identificado, demora na percepção de alterações clínicas e insuficiência de informações durante o encaminhamento do paciente.</w:t>
            </w:r>
          </w:p>
          <w:p w14:paraId="25FE18B4" w14:textId="5D398F8A" w:rsidR="008F76F3" w:rsidRPr="00A00198" w:rsidRDefault="00582A81" w:rsidP="00715CA4">
            <w:pPr>
              <w:spacing w:after="0" w:line="276" w:lineRule="auto"/>
              <w:ind w:firstLine="597"/>
              <w:rPr>
                <w:rFonts w:ascii="Times New Roman" w:hAnsi="Times New Roman" w:cs="Times New Roman"/>
                <w:sz w:val="20"/>
                <w:szCs w:val="20"/>
              </w:rPr>
            </w:pPr>
            <w:r w:rsidRPr="00582A81">
              <w:rPr>
                <w:rFonts w:ascii="Times New Roman" w:hAnsi="Times New Roman" w:cs="Times New Roman"/>
                <w:sz w:val="20"/>
                <w:szCs w:val="20"/>
              </w:rPr>
              <w:t>Diante do exposto, a aquisição do monitor cardíaco revela-se necessária, adequada e alinhada ao interesse público, por contribuir diretamente para a proteção dos pacientes, para a segurança dos profissionais e para a melhoria da capacidade de resposta da rede municipal diante de situações de urgência e emergência, tanto no ambiente da Unidade Básica de Saúde quanto durante o transporte em ambulância. A medida fortalece a prestação dos serviços públicos de saúde e proporciona condições materiais mais adequadas para o atendimento da população do Município de Paverama.</w:t>
            </w:r>
          </w:p>
        </w:tc>
      </w:tr>
    </w:tbl>
    <w:p w14:paraId="314F9F33" w14:textId="77777777" w:rsidR="008F76F3" w:rsidRPr="00A00198" w:rsidRDefault="008F76F3" w:rsidP="00715CA4">
      <w:pPr>
        <w:spacing w:after="0" w:line="276" w:lineRule="auto"/>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8F76F3" w:rsidRPr="00A00198" w14:paraId="1BB79560" w14:textId="77777777" w:rsidTr="00C3667F">
        <w:tc>
          <w:tcPr>
            <w:tcW w:w="9209" w:type="dxa"/>
          </w:tcPr>
          <w:p w14:paraId="569B37C6" w14:textId="27B268A7" w:rsidR="008F76F3" w:rsidRPr="00A00198" w:rsidRDefault="008F76F3" w:rsidP="00715CA4">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2 – PREVISÃO NO PLANO DE CONTRATAÇÕES ANUAL</w:t>
            </w:r>
            <w:r w:rsidR="00FC4923">
              <w:rPr>
                <w:rFonts w:ascii="Times New Roman" w:eastAsia="Times New Roman" w:hAnsi="Times New Roman" w:cs="Times New Roman"/>
                <w:b/>
                <w:bCs/>
                <w:color w:val="000000"/>
                <w:sz w:val="20"/>
                <w:szCs w:val="20"/>
                <w:lang w:eastAsia="pt-BR"/>
              </w:rPr>
              <w:t>:</w:t>
            </w:r>
          </w:p>
        </w:tc>
      </w:tr>
      <w:tr w:rsidR="008F76F3" w:rsidRPr="00A00198" w14:paraId="7498D87B" w14:textId="77777777" w:rsidTr="00C3667F">
        <w:tc>
          <w:tcPr>
            <w:tcW w:w="9209" w:type="dxa"/>
            <w:shd w:val="clear" w:color="auto" w:fill="F2F2F2" w:themeFill="background1" w:themeFillShade="F2"/>
          </w:tcPr>
          <w:p w14:paraId="6CEA53AC" w14:textId="1E38B9FF" w:rsidR="008F76F3" w:rsidRPr="00A00198" w:rsidRDefault="008F76F3" w:rsidP="00715CA4">
            <w:pPr>
              <w:pStyle w:val="Default"/>
              <w:spacing w:line="276" w:lineRule="auto"/>
              <w:jc w:val="both"/>
              <w:rPr>
                <w:rFonts w:eastAsia="Times New Roman"/>
                <w:sz w:val="20"/>
                <w:szCs w:val="20"/>
                <w:lang w:eastAsia="pt-BR"/>
              </w:rPr>
            </w:pPr>
            <w:r w:rsidRPr="00A00198">
              <w:rPr>
                <w:rFonts w:eastAsia="Times New Roman"/>
                <w:bCs/>
                <w:sz w:val="20"/>
                <w:szCs w:val="20"/>
                <w:lang w:eastAsia="pt-BR"/>
              </w:rPr>
              <w:t xml:space="preserve">Fundamentação: </w:t>
            </w:r>
            <w:r w:rsidRPr="00A00198">
              <w:rPr>
                <w:sz w:val="20"/>
                <w:szCs w:val="20"/>
              </w:rPr>
              <w:t xml:space="preserve">Demonstração da previsão da contratação no plano de contratações anual, sempre que elaborado, de modo a indicar o seu alinhamento com o planejamento da Administração </w:t>
            </w:r>
            <w:r w:rsidRPr="00A00198">
              <w:rPr>
                <w:rFonts w:eastAsia="Times New Roman"/>
                <w:sz w:val="20"/>
                <w:szCs w:val="20"/>
                <w:lang w:eastAsia="pt-BR"/>
              </w:rPr>
              <w:t xml:space="preserve">(inciso II do § 1° do </w:t>
            </w:r>
            <w:r w:rsidR="008E3C14">
              <w:rPr>
                <w:rFonts w:eastAsia="Times New Roman"/>
                <w:sz w:val="20"/>
                <w:szCs w:val="20"/>
                <w:lang w:eastAsia="pt-BR"/>
              </w:rPr>
              <w:t>A</w:t>
            </w:r>
            <w:r w:rsidRPr="00A00198">
              <w:rPr>
                <w:rFonts w:eastAsia="Times New Roman"/>
                <w:sz w:val="20"/>
                <w:szCs w:val="20"/>
                <w:lang w:eastAsia="pt-BR"/>
              </w:rPr>
              <w:t>rt. 18 da Lei 14.133/21)</w:t>
            </w:r>
            <w:r w:rsidR="00E776F1">
              <w:rPr>
                <w:rFonts w:eastAsia="Times New Roman"/>
                <w:sz w:val="20"/>
                <w:szCs w:val="20"/>
                <w:lang w:eastAsia="pt-BR"/>
              </w:rPr>
              <w:t>:</w:t>
            </w:r>
          </w:p>
        </w:tc>
      </w:tr>
      <w:tr w:rsidR="008F76F3" w:rsidRPr="00A00198" w14:paraId="27DB0D15" w14:textId="77777777" w:rsidTr="00C3667F">
        <w:tc>
          <w:tcPr>
            <w:tcW w:w="9209" w:type="dxa"/>
          </w:tcPr>
          <w:p w14:paraId="4A319F76" w14:textId="77777777" w:rsidR="00065D9B" w:rsidRPr="00065D9B" w:rsidRDefault="00065D9B" w:rsidP="00065D9B">
            <w:pPr>
              <w:spacing w:after="0" w:line="276" w:lineRule="auto"/>
              <w:ind w:firstLine="596"/>
              <w:rPr>
                <w:rFonts w:ascii="Times New Roman" w:hAnsi="Times New Roman" w:cs="Times New Roman"/>
                <w:sz w:val="20"/>
                <w:szCs w:val="20"/>
              </w:rPr>
            </w:pPr>
            <w:r w:rsidRPr="00065D9B">
              <w:rPr>
                <w:rFonts w:ascii="Times New Roman" w:hAnsi="Times New Roman" w:cs="Times New Roman"/>
                <w:sz w:val="20"/>
                <w:szCs w:val="20"/>
              </w:rPr>
              <w:t xml:space="preserve">A contratação pretendida encontra-se alinhada ao Plano de Contratações Anual do Município para o exercício de 2026, especificamente ao </w:t>
            </w:r>
            <w:r w:rsidRPr="00065D9B">
              <w:rPr>
                <w:rFonts w:ascii="Times New Roman" w:hAnsi="Times New Roman" w:cs="Times New Roman"/>
                <w:b/>
                <w:bCs/>
                <w:sz w:val="20"/>
                <w:szCs w:val="20"/>
              </w:rPr>
              <w:t>Item 160 – “Aquisição de Equipamentos Médicos Permanentes – UBS”</w:t>
            </w:r>
            <w:r w:rsidRPr="00065D9B">
              <w:rPr>
                <w:rFonts w:ascii="Times New Roman" w:hAnsi="Times New Roman" w:cs="Times New Roman"/>
                <w:sz w:val="20"/>
                <w:szCs w:val="20"/>
              </w:rPr>
              <w:t>. O monitor cardíaco enquadra-se como material permanente por possuir durabilidade superior a dois anos, não perder sua identidade física com o uso regular e não se consumir ou incorporar a outro bem em razão de sua utilização, permanecendo vinculado ao patrimônio municipal durante sua vida útil e sujeito ao respectivo registro, controle e inventário patrimonial.</w:t>
            </w:r>
          </w:p>
          <w:p w14:paraId="26B5CF36" w14:textId="1EEB467B" w:rsidR="008F76F3" w:rsidRPr="0094489A" w:rsidRDefault="00065D9B" w:rsidP="00715CA4">
            <w:pPr>
              <w:spacing w:after="0" w:line="276" w:lineRule="auto"/>
              <w:ind w:firstLine="596"/>
              <w:rPr>
                <w:rFonts w:ascii="Times New Roman" w:hAnsi="Times New Roman" w:cs="Times New Roman"/>
                <w:b/>
                <w:bCs/>
                <w:sz w:val="20"/>
                <w:szCs w:val="20"/>
              </w:rPr>
            </w:pPr>
            <w:r w:rsidRPr="00065D9B">
              <w:rPr>
                <w:rFonts w:ascii="Times New Roman" w:hAnsi="Times New Roman" w:cs="Times New Roman"/>
                <w:sz w:val="20"/>
                <w:szCs w:val="20"/>
              </w:rPr>
              <w:t>A descrição constante no PCA possui caráter abrangente e foi estruturada para reunir, em um mesmo item de planejamento, os equipamentos médicos de natureza permanente cuja aquisição possa se tornar necessária ao longo do exercício para atender às unidades municipais de saúde. Dessa forma, a aquisição do monitor cardíaco está compreendida na previsão genérica aprovada, não representando demanda estranha ou superveniente ao planejamento, mas o detalhamento de uma necessidade inserida previamente na categoria de equipamentos permanentes destinados à Unidade Básica de Saúde.</w:t>
            </w:r>
          </w:p>
        </w:tc>
      </w:tr>
    </w:tbl>
    <w:p w14:paraId="19919687" w14:textId="77777777" w:rsidR="008F76F3" w:rsidRPr="00A00198" w:rsidRDefault="008F76F3" w:rsidP="00715CA4">
      <w:pPr>
        <w:spacing w:after="0" w:line="276" w:lineRule="auto"/>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8F76F3" w:rsidRPr="00A00198" w14:paraId="555D9A9F" w14:textId="77777777" w:rsidTr="00C3667F">
        <w:tc>
          <w:tcPr>
            <w:tcW w:w="9209" w:type="dxa"/>
          </w:tcPr>
          <w:p w14:paraId="01487FDB" w14:textId="28C8C507" w:rsidR="008F76F3" w:rsidRPr="00A00198" w:rsidRDefault="008F76F3" w:rsidP="00715CA4">
            <w:pPr>
              <w:spacing w:after="0" w:line="276" w:lineRule="auto"/>
              <w:ind w:firstLine="0"/>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3 – REQUISITOS DA CONTRATAÇÃO</w:t>
            </w:r>
            <w:r w:rsidR="00FC4923">
              <w:rPr>
                <w:rFonts w:ascii="Times New Roman" w:eastAsia="Times New Roman" w:hAnsi="Times New Roman" w:cs="Times New Roman"/>
                <w:b/>
                <w:bCs/>
                <w:color w:val="000000"/>
                <w:sz w:val="20"/>
                <w:szCs w:val="20"/>
                <w:lang w:eastAsia="pt-BR"/>
              </w:rPr>
              <w:t>:</w:t>
            </w:r>
          </w:p>
        </w:tc>
      </w:tr>
      <w:tr w:rsidR="008F76F3" w:rsidRPr="00A00198" w14:paraId="71E721F9" w14:textId="77777777" w:rsidTr="00C3667F">
        <w:tc>
          <w:tcPr>
            <w:tcW w:w="9209" w:type="dxa"/>
            <w:shd w:val="clear" w:color="auto" w:fill="F2F2F2" w:themeFill="background1" w:themeFillShade="F2"/>
          </w:tcPr>
          <w:p w14:paraId="0301AA19" w14:textId="3013B864"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Descrição dos requisitos necessários e suficientes à escolha da solução (inciso III do § 1° do art. 18 da Lei 14.133/2021)</w:t>
            </w:r>
            <w:r w:rsidR="00E776F1">
              <w:rPr>
                <w:rFonts w:ascii="Times New Roman" w:eastAsia="Times New Roman" w:hAnsi="Times New Roman" w:cs="Times New Roman"/>
                <w:color w:val="000000"/>
                <w:sz w:val="20"/>
                <w:szCs w:val="20"/>
                <w:lang w:eastAsia="pt-BR"/>
              </w:rPr>
              <w:t>:</w:t>
            </w:r>
          </w:p>
        </w:tc>
      </w:tr>
      <w:tr w:rsidR="008F76F3" w:rsidRPr="00A00198" w14:paraId="23A4E659" w14:textId="77777777" w:rsidTr="00C3667F">
        <w:tc>
          <w:tcPr>
            <w:tcW w:w="9209" w:type="dxa"/>
          </w:tcPr>
          <w:p w14:paraId="07CEE347" w14:textId="77777777" w:rsidR="00DD1C17" w:rsidRPr="00DD1C17"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sz w:val="20"/>
                <w:szCs w:val="20"/>
              </w:rPr>
              <w:t>A solução a ser contratada deverá atender às necessidades assistenciais da Secretaria Municipal de Saúde, Assistência Social e Habitação, permitindo o monitoramento contínuo dos parâmetros clínicos dos pacientes tanto na Unidade Básica de Saúde quanto, quando necessário, durante atendimentos e transportes de urgência e emergência realizados em ambulância. Para tanto, deverão ser observados requisitos técnicos, operacionais, sanitários, comerciais e de qualidade suficientes para assegurar a aquisição de equipamento confiável, seguro e adequado ao uso pretendido.</w:t>
            </w:r>
          </w:p>
          <w:p w14:paraId="4502EBB9" w14:textId="2505D578" w:rsidR="00DD1C17" w:rsidRPr="00DD1C17"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b/>
                <w:bCs/>
                <w:sz w:val="20"/>
                <w:szCs w:val="20"/>
              </w:rPr>
              <w:t>3.1. NATUREZA DO OBJETO</w:t>
            </w:r>
            <w:r w:rsidR="00C8752F">
              <w:rPr>
                <w:rFonts w:ascii="Times New Roman" w:hAnsi="Times New Roman" w:cs="Times New Roman"/>
                <w:b/>
                <w:bCs/>
                <w:sz w:val="20"/>
                <w:szCs w:val="20"/>
              </w:rPr>
              <w:t xml:space="preserve">: </w:t>
            </w:r>
            <w:r w:rsidRPr="00DD1C17">
              <w:rPr>
                <w:rFonts w:ascii="Times New Roman" w:hAnsi="Times New Roman" w:cs="Times New Roman"/>
                <w:sz w:val="20"/>
                <w:szCs w:val="20"/>
              </w:rPr>
              <w:t>O objeto caracteriza-se como bem comum, uma vez que seus padrões de desempenho, qualidade, funcionalidade e segurança podem ser objetivamente definidos no edital e no Termo de Referência mediante especificações usuais de mercado, nos termos do art. 6º, inciso XIII, da Lei Federal nº 14.133/2021.</w:t>
            </w:r>
            <w:r w:rsidR="00F52B4B">
              <w:rPr>
                <w:rFonts w:ascii="Times New Roman" w:hAnsi="Times New Roman" w:cs="Times New Roman"/>
                <w:sz w:val="20"/>
                <w:szCs w:val="20"/>
              </w:rPr>
              <w:t xml:space="preserve"> </w:t>
            </w:r>
            <w:r w:rsidRPr="00DD1C17">
              <w:rPr>
                <w:rFonts w:ascii="Times New Roman" w:hAnsi="Times New Roman" w:cs="Times New Roman"/>
                <w:sz w:val="20"/>
                <w:szCs w:val="20"/>
              </w:rPr>
              <w:t xml:space="preserve">As especificações deverão indicar as características necessárias ao atendimento da demanda pública, sem direcionamento injustificado a determinada marca, fabricante ou modelo. A avaliação da proposta </w:t>
            </w:r>
            <w:r w:rsidRPr="00DD1C17">
              <w:rPr>
                <w:rFonts w:ascii="Times New Roman" w:hAnsi="Times New Roman" w:cs="Times New Roman"/>
                <w:sz w:val="20"/>
                <w:szCs w:val="20"/>
              </w:rPr>
              <w:lastRenderedPageBreak/>
              <w:t>poderá considerar catálogos, fichas técnicas, prospectos, manuais ou outros documentos oficiais do fabricante que permitam verificar a conformidade do equipamento ofertado.</w:t>
            </w:r>
          </w:p>
          <w:p w14:paraId="0C1595C0" w14:textId="77777777" w:rsidR="00820F4D"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b/>
                <w:bCs/>
                <w:sz w:val="20"/>
                <w:szCs w:val="20"/>
              </w:rPr>
              <w:t>3.2. CONDIÇÕES GERAIS DA CONTRATAÇÃO</w:t>
            </w:r>
            <w:r w:rsidR="00C8752F">
              <w:rPr>
                <w:rFonts w:ascii="Times New Roman" w:hAnsi="Times New Roman" w:cs="Times New Roman"/>
                <w:b/>
                <w:bCs/>
                <w:sz w:val="20"/>
                <w:szCs w:val="20"/>
              </w:rPr>
              <w:t xml:space="preserve">: </w:t>
            </w:r>
            <w:r w:rsidRPr="00DD1C17">
              <w:rPr>
                <w:rFonts w:ascii="Times New Roman" w:hAnsi="Times New Roman" w:cs="Times New Roman"/>
                <w:sz w:val="20"/>
                <w:szCs w:val="20"/>
              </w:rPr>
              <w:t>O fornecimento deverá ser realizado por pessoa jurídica legalmente constituída, regularmente inscrita no Cadastro Nacional da Pessoa Jurídica – CNPJ e cuja atividade econômica seja compatível com a comercialização, distribuição ou fornecimento de equipamentos médicos, hospitalares ou produtos correlatos ao objeto.</w:t>
            </w:r>
            <w:r w:rsidR="00820F4D">
              <w:rPr>
                <w:rFonts w:ascii="Times New Roman" w:hAnsi="Times New Roman" w:cs="Times New Roman"/>
                <w:sz w:val="20"/>
                <w:szCs w:val="20"/>
              </w:rPr>
              <w:t xml:space="preserve"> </w:t>
            </w:r>
          </w:p>
          <w:p w14:paraId="3C1E3BA3" w14:textId="6EE2C111" w:rsidR="00820F4D"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sz w:val="20"/>
                <w:szCs w:val="20"/>
              </w:rPr>
              <w:t>A contratada será responsável pela entrega d</w:t>
            </w:r>
            <w:r w:rsidR="00820F4D">
              <w:rPr>
                <w:rFonts w:ascii="Times New Roman" w:hAnsi="Times New Roman" w:cs="Times New Roman"/>
                <w:sz w:val="20"/>
                <w:szCs w:val="20"/>
              </w:rPr>
              <w:t>e cada</w:t>
            </w:r>
            <w:r w:rsidRPr="00DD1C17">
              <w:rPr>
                <w:rFonts w:ascii="Times New Roman" w:hAnsi="Times New Roman" w:cs="Times New Roman"/>
                <w:sz w:val="20"/>
                <w:szCs w:val="20"/>
              </w:rPr>
              <w:t xml:space="preserve"> equipamento em perfeitas condições de funcionamento, incluindo transporte, carregamento, descarregamento e posicionamento no local indicado pela Administração. Todos os custos diretos e indiretos decorrentes do fornecimento, inclusive frete, seguros, tributos, embalagens, encargos e demais despesas necessárias à execução integral do objeto, deverão estar incluídos no preço ofertado.</w:t>
            </w:r>
            <w:r w:rsidR="00820F4D">
              <w:rPr>
                <w:rFonts w:ascii="Times New Roman" w:hAnsi="Times New Roman" w:cs="Times New Roman"/>
                <w:sz w:val="20"/>
                <w:szCs w:val="20"/>
              </w:rPr>
              <w:t xml:space="preserve"> </w:t>
            </w:r>
          </w:p>
          <w:p w14:paraId="327F5DE9" w14:textId="694CA336" w:rsidR="00DD1C17" w:rsidRPr="00DD1C17"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sz w:val="20"/>
                <w:szCs w:val="20"/>
              </w:rPr>
              <w:t>O equipamento deverá ser entregue completo e acompanhado de todos os componentes, cabos, sensores, acessórios, fontes de alimentação e demais itens indispensáveis ao seu funcionamento e à utilização dos parâmetros exigidos, não sendo admitida a cobrança posterior de elementos necessários ao uso regular da solução.</w:t>
            </w:r>
          </w:p>
          <w:p w14:paraId="2FC18894" w14:textId="77777777" w:rsidR="008971FE" w:rsidRPr="008971FE" w:rsidRDefault="00DD1C17" w:rsidP="008971FE">
            <w:pPr>
              <w:spacing w:after="0" w:line="276" w:lineRule="auto"/>
              <w:ind w:firstLine="596"/>
              <w:rPr>
                <w:rFonts w:ascii="Times New Roman" w:hAnsi="Times New Roman" w:cs="Times New Roman"/>
                <w:sz w:val="20"/>
                <w:szCs w:val="20"/>
              </w:rPr>
            </w:pPr>
            <w:r w:rsidRPr="00DD1C17">
              <w:rPr>
                <w:rFonts w:ascii="Times New Roman" w:hAnsi="Times New Roman" w:cs="Times New Roman"/>
                <w:b/>
                <w:bCs/>
                <w:sz w:val="20"/>
                <w:szCs w:val="20"/>
              </w:rPr>
              <w:t>3.3. REQUISITOS TÉCNICOS E OPERACIONAIS</w:t>
            </w:r>
            <w:r w:rsidR="00C8752F" w:rsidRPr="00C8752F">
              <w:rPr>
                <w:rFonts w:ascii="Times New Roman" w:hAnsi="Times New Roman" w:cs="Times New Roman"/>
                <w:b/>
                <w:bCs/>
                <w:sz w:val="20"/>
                <w:szCs w:val="20"/>
              </w:rPr>
              <w:t xml:space="preserve">: </w:t>
            </w:r>
            <w:r w:rsidR="008971FE" w:rsidRPr="008971FE">
              <w:rPr>
                <w:rFonts w:ascii="Times New Roman" w:hAnsi="Times New Roman" w:cs="Times New Roman"/>
                <w:sz w:val="20"/>
                <w:szCs w:val="20"/>
              </w:rPr>
              <w:t xml:space="preserve">A solução deverá consistir em monitor </w:t>
            </w:r>
            <w:proofErr w:type="spellStart"/>
            <w:r w:rsidR="008971FE" w:rsidRPr="008971FE">
              <w:rPr>
                <w:rFonts w:ascii="Times New Roman" w:hAnsi="Times New Roman" w:cs="Times New Roman"/>
                <w:sz w:val="20"/>
                <w:szCs w:val="20"/>
              </w:rPr>
              <w:t>multiparamétrico</w:t>
            </w:r>
            <w:proofErr w:type="spellEnd"/>
            <w:r w:rsidR="008971FE" w:rsidRPr="008971FE">
              <w:rPr>
                <w:rFonts w:ascii="Times New Roman" w:hAnsi="Times New Roman" w:cs="Times New Roman"/>
                <w:sz w:val="20"/>
                <w:szCs w:val="20"/>
              </w:rPr>
              <w:t xml:space="preserve"> destinado ao acompanhamento contínuo e preciso de sinais vitais em ambientes clínicos, ambulatoriais e durante o transporte assistido de pacientes. O equipamento deverá apresentar estrutura compacta e portátil, com alça ou recurso equivalente para transporte, permitindo seu deslocamento e sua utilização tanto na Unidade Básica de Saúde quanto na ambulância municipal.</w:t>
            </w:r>
          </w:p>
          <w:p w14:paraId="2EA1754D" w14:textId="77777777" w:rsidR="008971FE" w:rsidRPr="008971FE" w:rsidRDefault="008971FE" w:rsidP="008971FE">
            <w:pPr>
              <w:spacing w:after="0" w:line="276" w:lineRule="auto"/>
              <w:ind w:firstLine="596"/>
              <w:rPr>
                <w:rFonts w:ascii="Times New Roman" w:hAnsi="Times New Roman" w:cs="Times New Roman"/>
                <w:sz w:val="20"/>
                <w:szCs w:val="20"/>
              </w:rPr>
            </w:pPr>
            <w:r w:rsidRPr="008971FE">
              <w:rPr>
                <w:rFonts w:ascii="Times New Roman" w:hAnsi="Times New Roman" w:cs="Times New Roman"/>
                <w:sz w:val="20"/>
                <w:szCs w:val="20"/>
              </w:rPr>
              <w:t xml:space="preserve">O equipamento deverá possuir tela colorida sensível ao toque, com dimensões e resolução que possibilitem a visualização clara e simultânea das curvas, dos parâmetros numéricos, dos alarmes e das demais informações necessárias à interpretação pelos profissionais de saúde. Deverá realizar a medição da saturação periférica de oxigênio – </w:t>
            </w:r>
            <w:proofErr w:type="spellStart"/>
            <w:r w:rsidRPr="008971FE">
              <w:rPr>
                <w:rFonts w:ascii="Times New Roman" w:hAnsi="Times New Roman" w:cs="Times New Roman"/>
                <w:sz w:val="20"/>
                <w:szCs w:val="20"/>
              </w:rPr>
              <w:t>SpO</w:t>
            </w:r>
            <w:proofErr w:type="spellEnd"/>
            <w:r w:rsidRPr="008971FE">
              <w:rPr>
                <w:rFonts w:ascii="Times New Roman" w:hAnsi="Times New Roman" w:cs="Times New Roman"/>
                <w:sz w:val="20"/>
                <w:szCs w:val="20"/>
              </w:rPr>
              <w:t>₂ por tecnologia de duplo comprimento de onda, com ampla faixa de medição, precisão compatível com o uso clínico e desempenho adequado em condições de baixa perfusão, além de monitorar a frequência de pulso em faixa ampla e com precisão apropriada à finalidade assistencial.</w:t>
            </w:r>
          </w:p>
          <w:p w14:paraId="031DD528" w14:textId="77777777" w:rsidR="008971FE" w:rsidRPr="008971FE" w:rsidRDefault="008971FE" w:rsidP="008971FE">
            <w:pPr>
              <w:spacing w:after="0" w:line="276" w:lineRule="auto"/>
              <w:ind w:firstLine="596"/>
              <w:rPr>
                <w:rFonts w:ascii="Times New Roman" w:hAnsi="Times New Roman" w:cs="Times New Roman"/>
                <w:sz w:val="20"/>
                <w:szCs w:val="20"/>
              </w:rPr>
            </w:pPr>
            <w:r w:rsidRPr="008971FE">
              <w:rPr>
                <w:rFonts w:ascii="Times New Roman" w:hAnsi="Times New Roman" w:cs="Times New Roman"/>
                <w:sz w:val="20"/>
                <w:szCs w:val="20"/>
              </w:rPr>
              <w:t>O monitor deverá dispor de sistema de alarmes sonoros e visuais, com diferentes níveis de prioridade e possibilidade de configuração dos limites aplicáveis aos parâmetros monitorados, permitindo a identificação tempestiva de alterações clínicas, falhas nos sensores ou outras ocorrências relacionadas ao funcionamento do equipamento. Deverá possibilitar integração com sistema de chamada de enfermagem, quando existente e compatível com a infraestrutura da unidade.</w:t>
            </w:r>
          </w:p>
          <w:p w14:paraId="2A870C44" w14:textId="77777777" w:rsidR="008971FE" w:rsidRPr="008971FE" w:rsidRDefault="008971FE" w:rsidP="008971FE">
            <w:pPr>
              <w:spacing w:after="0" w:line="276" w:lineRule="auto"/>
              <w:ind w:firstLine="596"/>
              <w:rPr>
                <w:rFonts w:ascii="Times New Roman" w:hAnsi="Times New Roman" w:cs="Times New Roman"/>
                <w:sz w:val="20"/>
                <w:szCs w:val="20"/>
              </w:rPr>
            </w:pPr>
            <w:r w:rsidRPr="008971FE">
              <w:rPr>
                <w:rFonts w:ascii="Times New Roman" w:hAnsi="Times New Roman" w:cs="Times New Roman"/>
                <w:sz w:val="20"/>
                <w:szCs w:val="20"/>
              </w:rPr>
              <w:t>O equipamento deverá possuir recursos de conectividade que permitam sua integração com centrais de monitoramento e sistemas hospitalares por meio de protocolos padronizados de comunicação, além de interfaces físicas destinadas à conexão e à transmissão de dados. As interfaces, protocolos e demais condições de conectividade deverão ser detalhados no Termo de Referência, em conformidade com as funcionalidades efetivamente requeridas pela Administração.</w:t>
            </w:r>
          </w:p>
          <w:p w14:paraId="19EE510B" w14:textId="77777777" w:rsidR="008971FE" w:rsidRPr="008971FE" w:rsidRDefault="008971FE" w:rsidP="008971FE">
            <w:pPr>
              <w:spacing w:after="0" w:line="276" w:lineRule="auto"/>
              <w:ind w:firstLine="596"/>
              <w:rPr>
                <w:rFonts w:ascii="Times New Roman" w:hAnsi="Times New Roman" w:cs="Times New Roman"/>
                <w:sz w:val="20"/>
                <w:szCs w:val="20"/>
              </w:rPr>
            </w:pPr>
            <w:r w:rsidRPr="008971FE">
              <w:rPr>
                <w:rFonts w:ascii="Times New Roman" w:hAnsi="Times New Roman" w:cs="Times New Roman"/>
                <w:sz w:val="20"/>
                <w:szCs w:val="20"/>
              </w:rPr>
              <w:t>A alimentação elétrica deverá ser bivolt automática, complementada por bateria interna recarregável, com autonomia compatível com sua utilização durante o transporte de pacientes, a movimentação entre ambientes e eventuais interrupções temporárias do fornecimento de energia. Em razão da possibilidade de uso em ambulância, o equipamento deverá manter estabilidade operacional e confiabilidade do monitoramento durante o deslocamento, devendo permitir acomodação ou posicionamento seguro no veículo, sem comprometer a circulação da equipe ou a segurança do paciente.</w:t>
            </w:r>
          </w:p>
          <w:p w14:paraId="66A7D049" w14:textId="77777777" w:rsidR="008971FE" w:rsidRPr="008971FE" w:rsidRDefault="008971FE" w:rsidP="008971FE">
            <w:pPr>
              <w:spacing w:after="0" w:line="276" w:lineRule="auto"/>
              <w:ind w:firstLine="596"/>
              <w:rPr>
                <w:rFonts w:ascii="Times New Roman" w:hAnsi="Times New Roman" w:cs="Times New Roman"/>
                <w:sz w:val="20"/>
                <w:szCs w:val="20"/>
              </w:rPr>
            </w:pPr>
            <w:r w:rsidRPr="008971FE">
              <w:rPr>
                <w:rFonts w:ascii="Times New Roman" w:hAnsi="Times New Roman" w:cs="Times New Roman"/>
                <w:sz w:val="20"/>
                <w:szCs w:val="20"/>
              </w:rPr>
              <w:t>O monitor deverá ser fornecido acompanhado de todos os cabos, sensores, fontes de alimentação, acessórios e demais componentes necessários à plena utilização das funcionalidades exigidas, conforme especificação detalhada no Termo de Referência.</w:t>
            </w:r>
          </w:p>
          <w:p w14:paraId="2D766D9F" w14:textId="4EEE70B0" w:rsidR="00DD1C17" w:rsidRPr="00DD1C17"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b/>
                <w:bCs/>
                <w:sz w:val="20"/>
                <w:szCs w:val="20"/>
              </w:rPr>
              <w:t>3.4. REGULARIZAÇÃO SANITÁRIA E CONFORMIDADE TÉCNICA</w:t>
            </w:r>
            <w:r w:rsidR="00C8752F">
              <w:rPr>
                <w:rFonts w:ascii="Times New Roman" w:hAnsi="Times New Roman" w:cs="Times New Roman"/>
                <w:b/>
                <w:bCs/>
                <w:sz w:val="20"/>
                <w:szCs w:val="20"/>
              </w:rPr>
              <w:t xml:space="preserve">: </w:t>
            </w:r>
            <w:r w:rsidRPr="00DD1C17">
              <w:rPr>
                <w:rFonts w:ascii="Times New Roman" w:hAnsi="Times New Roman" w:cs="Times New Roman"/>
                <w:sz w:val="20"/>
                <w:szCs w:val="20"/>
              </w:rPr>
              <w:t>O equipamento deverá possuir registro</w:t>
            </w:r>
            <w:r w:rsidR="00AB34CC">
              <w:rPr>
                <w:rFonts w:ascii="Times New Roman" w:hAnsi="Times New Roman" w:cs="Times New Roman"/>
                <w:sz w:val="20"/>
                <w:szCs w:val="20"/>
              </w:rPr>
              <w:t xml:space="preserve"> ou </w:t>
            </w:r>
            <w:r w:rsidRPr="00DD1C17">
              <w:rPr>
                <w:rFonts w:ascii="Times New Roman" w:hAnsi="Times New Roman" w:cs="Times New Roman"/>
                <w:sz w:val="20"/>
                <w:szCs w:val="20"/>
              </w:rPr>
              <w:t>notificação válida perante a Agência Nacional de Vigilância Sanitária</w:t>
            </w:r>
            <w:r w:rsidR="00C8752F">
              <w:rPr>
                <w:rFonts w:ascii="Times New Roman" w:hAnsi="Times New Roman" w:cs="Times New Roman"/>
                <w:sz w:val="20"/>
                <w:szCs w:val="20"/>
              </w:rPr>
              <w:t xml:space="preserve"> (</w:t>
            </w:r>
            <w:r w:rsidR="00C8752F" w:rsidRPr="00DD1C17">
              <w:rPr>
                <w:rFonts w:ascii="Times New Roman" w:hAnsi="Times New Roman" w:cs="Times New Roman"/>
                <w:sz w:val="20"/>
                <w:szCs w:val="20"/>
              </w:rPr>
              <w:t>ANVISA</w:t>
            </w:r>
            <w:r w:rsidR="00C8752F">
              <w:rPr>
                <w:rFonts w:ascii="Times New Roman" w:hAnsi="Times New Roman" w:cs="Times New Roman"/>
                <w:sz w:val="20"/>
                <w:szCs w:val="20"/>
              </w:rPr>
              <w:t>)</w:t>
            </w:r>
            <w:r w:rsidRPr="00DD1C17">
              <w:rPr>
                <w:rFonts w:ascii="Times New Roman" w:hAnsi="Times New Roman" w:cs="Times New Roman"/>
                <w:sz w:val="20"/>
                <w:szCs w:val="20"/>
              </w:rPr>
              <w:t>, conforme o enquadramento sanitário aplicável ao produto, devendo a situação estar regular na data da apresentação da proposta e permanecer válida durante o fornecimento.</w:t>
            </w:r>
            <w:r w:rsidR="00C8752F">
              <w:rPr>
                <w:rFonts w:ascii="Times New Roman" w:hAnsi="Times New Roman" w:cs="Times New Roman"/>
                <w:sz w:val="20"/>
                <w:szCs w:val="20"/>
              </w:rPr>
              <w:t xml:space="preserve"> </w:t>
            </w:r>
            <w:r w:rsidRPr="00DD1C17">
              <w:rPr>
                <w:rFonts w:ascii="Times New Roman" w:hAnsi="Times New Roman" w:cs="Times New Roman"/>
                <w:sz w:val="20"/>
                <w:szCs w:val="20"/>
              </w:rPr>
              <w:t>A contratada deverá apresentar, quando solicitado, documento que permita a identificação do número de regularização do equipamento junto à Anvisa, com correspondência entre o produto ofertado, o fabricante, o modelo e as informações constantes na proposta e na documentação técnica.</w:t>
            </w:r>
          </w:p>
          <w:p w14:paraId="5885E290" w14:textId="5CC21E2F" w:rsidR="00DD1C17" w:rsidRPr="00DD1C17"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sz w:val="20"/>
                <w:szCs w:val="20"/>
              </w:rPr>
              <w:t>O equipamento deverá atender às normas técnicas e regulamentares aplicáveis aos equipamentos eletromédicos, especialmente quanto à segurança elétrica, desempenho essencial, compatibilidade eletromagnética e segurança do paciente. A comprovação deverá ocorrer por meio dos documentos exigidos no edital ou no Termo de Referência, observadas a pertinência e a proporcionalidade das exigências.</w:t>
            </w:r>
            <w:r w:rsidR="00C8752F">
              <w:rPr>
                <w:rFonts w:ascii="Times New Roman" w:hAnsi="Times New Roman" w:cs="Times New Roman"/>
                <w:sz w:val="20"/>
                <w:szCs w:val="20"/>
              </w:rPr>
              <w:t xml:space="preserve"> </w:t>
            </w:r>
            <w:r w:rsidRPr="00DD1C17">
              <w:rPr>
                <w:rFonts w:ascii="Times New Roman" w:hAnsi="Times New Roman" w:cs="Times New Roman"/>
                <w:sz w:val="20"/>
                <w:szCs w:val="20"/>
              </w:rPr>
              <w:t>Não serão aceitos equipamentos cuja fabricação, importação, comercialização ou utilização esteja suspensa, proibida ou submetida a alerta sanitário incompatível com o fornecimento pretendido.</w:t>
            </w:r>
          </w:p>
          <w:p w14:paraId="39FC857B" w14:textId="281A2406" w:rsidR="00DD1C17" w:rsidRPr="00DD1C17" w:rsidRDefault="00DD1C17" w:rsidP="00DD1C17">
            <w:pPr>
              <w:spacing w:after="0" w:line="276" w:lineRule="auto"/>
              <w:ind w:firstLine="596"/>
              <w:rPr>
                <w:rFonts w:ascii="Times New Roman" w:hAnsi="Times New Roman" w:cs="Times New Roman"/>
                <w:sz w:val="20"/>
                <w:szCs w:val="20"/>
              </w:rPr>
            </w:pPr>
            <w:r w:rsidRPr="00C75072">
              <w:rPr>
                <w:rFonts w:ascii="Times New Roman" w:hAnsi="Times New Roman" w:cs="Times New Roman"/>
                <w:b/>
                <w:bCs/>
                <w:sz w:val="20"/>
                <w:szCs w:val="20"/>
              </w:rPr>
              <w:t>3.5.</w:t>
            </w:r>
            <w:r w:rsidRPr="00DD1C17">
              <w:rPr>
                <w:rFonts w:ascii="Times New Roman" w:hAnsi="Times New Roman" w:cs="Times New Roman"/>
                <w:b/>
                <w:bCs/>
                <w:sz w:val="20"/>
                <w:szCs w:val="20"/>
              </w:rPr>
              <w:t xml:space="preserve"> CONDIÇÕES DE ENTREGA E RECEBIMENTO</w:t>
            </w:r>
            <w:r w:rsidR="00C8752F" w:rsidRPr="00C8752F">
              <w:rPr>
                <w:rFonts w:ascii="Times New Roman" w:hAnsi="Times New Roman" w:cs="Times New Roman"/>
                <w:b/>
                <w:bCs/>
                <w:sz w:val="20"/>
                <w:szCs w:val="20"/>
              </w:rPr>
              <w:t>:</w:t>
            </w:r>
            <w:r w:rsidR="00C8752F">
              <w:rPr>
                <w:rFonts w:ascii="Times New Roman" w:hAnsi="Times New Roman" w:cs="Times New Roman"/>
                <w:sz w:val="20"/>
                <w:szCs w:val="20"/>
              </w:rPr>
              <w:t xml:space="preserve"> </w:t>
            </w:r>
            <w:r w:rsidRPr="00DD1C17">
              <w:rPr>
                <w:rFonts w:ascii="Times New Roman" w:hAnsi="Times New Roman" w:cs="Times New Roman"/>
                <w:sz w:val="20"/>
                <w:szCs w:val="20"/>
              </w:rPr>
              <w:t>O equipamento deverá ser entregue n</w:t>
            </w:r>
            <w:r w:rsidR="00C8752F">
              <w:rPr>
                <w:rFonts w:ascii="Times New Roman" w:hAnsi="Times New Roman" w:cs="Times New Roman"/>
                <w:sz w:val="20"/>
                <w:szCs w:val="20"/>
              </w:rPr>
              <w:t xml:space="preserve">a </w:t>
            </w:r>
            <w:r w:rsidRPr="00DD1C17">
              <w:rPr>
                <w:rFonts w:ascii="Times New Roman" w:hAnsi="Times New Roman" w:cs="Times New Roman"/>
                <w:sz w:val="20"/>
                <w:szCs w:val="20"/>
              </w:rPr>
              <w:t xml:space="preserve">Secretaria Municipal de Saúde, Assistência Social e Habitação, no </w:t>
            </w:r>
            <w:r w:rsidRPr="00C75072">
              <w:rPr>
                <w:rFonts w:ascii="Times New Roman" w:hAnsi="Times New Roman" w:cs="Times New Roman"/>
                <w:b/>
                <w:bCs/>
                <w:sz w:val="20"/>
                <w:szCs w:val="20"/>
              </w:rPr>
              <w:t xml:space="preserve">prazo máximo de 20 (vinte) dias </w:t>
            </w:r>
            <w:r w:rsidR="00566D7F" w:rsidRPr="00C75072">
              <w:rPr>
                <w:rFonts w:ascii="Times New Roman" w:hAnsi="Times New Roman" w:cs="Times New Roman"/>
                <w:b/>
                <w:bCs/>
                <w:sz w:val="20"/>
                <w:szCs w:val="20"/>
              </w:rPr>
              <w:t>corridos</w:t>
            </w:r>
            <w:r w:rsidRPr="00DD1C17">
              <w:rPr>
                <w:rFonts w:ascii="Times New Roman" w:hAnsi="Times New Roman" w:cs="Times New Roman"/>
                <w:sz w:val="20"/>
                <w:szCs w:val="20"/>
              </w:rPr>
              <w:t xml:space="preserve">, contados do recebimento da </w:t>
            </w:r>
            <w:r w:rsidR="00C8752F">
              <w:rPr>
                <w:rFonts w:ascii="Times New Roman" w:hAnsi="Times New Roman" w:cs="Times New Roman"/>
                <w:sz w:val="20"/>
                <w:szCs w:val="20"/>
              </w:rPr>
              <w:t>Ordem de Compra e da</w:t>
            </w:r>
            <w:r w:rsidRPr="00DD1C17">
              <w:rPr>
                <w:rFonts w:ascii="Times New Roman" w:hAnsi="Times New Roman" w:cs="Times New Roman"/>
                <w:sz w:val="20"/>
                <w:szCs w:val="20"/>
              </w:rPr>
              <w:t xml:space="preserve"> Nota de Empenho.</w:t>
            </w:r>
            <w:r w:rsidR="00C8752F">
              <w:rPr>
                <w:rFonts w:ascii="Times New Roman" w:hAnsi="Times New Roman" w:cs="Times New Roman"/>
                <w:sz w:val="20"/>
                <w:szCs w:val="20"/>
              </w:rPr>
              <w:t xml:space="preserve"> </w:t>
            </w:r>
            <w:r w:rsidRPr="00DD1C17">
              <w:rPr>
                <w:rFonts w:ascii="Times New Roman" w:hAnsi="Times New Roman" w:cs="Times New Roman"/>
                <w:sz w:val="20"/>
                <w:szCs w:val="20"/>
              </w:rPr>
              <w:t>Mediante solicitação escrita e devidamente justificada da contratada, apresentada antes do término do prazo originalmente concedido, a Administração poderá autorizar sua prorrogação, desde que demonstrada a ocorrência de circunstância que impeça ou dificulte a entrega no prazo previsto e que o adiamento não cause prejuízo ao interesse público.</w:t>
            </w:r>
          </w:p>
          <w:p w14:paraId="27998A8A" w14:textId="77777777" w:rsidR="00DD1C17" w:rsidRPr="00DD1C17"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sz w:val="20"/>
                <w:szCs w:val="20"/>
              </w:rPr>
              <w:t>O equipamento deverá ser entregue em embalagem original do fabricante, lacrada e dotada das proteções necessárias para evitar danos durante o transporte, o manuseio e o armazenamento. A embalagem deverá conter elementos suficientes à identificação do produto, do fabricante, do modelo, do número de série e das demais informações exigidas pela legislação aplicável.</w:t>
            </w:r>
          </w:p>
          <w:p w14:paraId="55BD4AF3" w14:textId="4847F0B0" w:rsidR="00DD1C17" w:rsidRPr="00DD1C17"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sz w:val="20"/>
                <w:szCs w:val="20"/>
              </w:rPr>
              <w:t>O recebimento provisório não representará aceitação definitiva. A Administração realizará a conferência do equipamento, da documentação, dos acessórios e das condições de funcionamento, podendo executar testes para verificar sua conformidade com as especificações contratadas.</w:t>
            </w:r>
            <w:r w:rsidR="00C8752F">
              <w:rPr>
                <w:rFonts w:ascii="Times New Roman" w:hAnsi="Times New Roman" w:cs="Times New Roman"/>
                <w:sz w:val="20"/>
                <w:szCs w:val="20"/>
              </w:rPr>
              <w:t xml:space="preserve"> </w:t>
            </w:r>
            <w:r w:rsidRPr="00DD1C17">
              <w:rPr>
                <w:rFonts w:ascii="Times New Roman" w:hAnsi="Times New Roman" w:cs="Times New Roman"/>
                <w:sz w:val="20"/>
                <w:szCs w:val="20"/>
              </w:rPr>
              <w:t>O recebimento definitivo ficará condicionado à verificação da regularidade da entrega, do funcionamento do equipamento e da apresentação de todos os componentes e documentos exigidos. A existência de defeito aparente, avaria, ausência de acessório, divergência de modelo ou desconformidade técnica impedirá a aceitação definitiva.</w:t>
            </w:r>
          </w:p>
          <w:p w14:paraId="38F7C771" w14:textId="6BFA26DC" w:rsidR="00DD1C17" w:rsidRPr="00DD1C17" w:rsidRDefault="00DD1C17" w:rsidP="00DD1C17">
            <w:pPr>
              <w:spacing w:after="0" w:line="276" w:lineRule="auto"/>
              <w:ind w:firstLine="596"/>
              <w:rPr>
                <w:rFonts w:ascii="Times New Roman" w:hAnsi="Times New Roman" w:cs="Times New Roman"/>
                <w:b/>
                <w:bCs/>
                <w:sz w:val="20"/>
                <w:szCs w:val="20"/>
              </w:rPr>
            </w:pPr>
            <w:r w:rsidRPr="00DD1C17">
              <w:rPr>
                <w:rFonts w:ascii="Times New Roman" w:hAnsi="Times New Roman" w:cs="Times New Roman"/>
                <w:b/>
                <w:bCs/>
                <w:sz w:val="20"/>
                <w:szCs w:val="20"/>
              </w:rPr>
              <w:t>3.6. CONFIGURAÇÃO E ORIENTAÇÃO OPERACIONAL</w:t>
            </w:r>
            <w:r w:rsidR="00C8752F" w:rsidRPr="00C8752F">
              <w:rPr>
                <w:rFonts w:ascii="Times New Roman" w:hAnsi="Times New Roman" w:cs="Times New Roman"/>
                <w:b/>
                <w:bCs/>
                <w:sz w:val="20"/>
                <w:szCs w:val="20"/>
              </w:rPr>
              <w:t xml:space="preserve">: </w:t>
            </w:r>
            <w:r w:rsidRPr="00DD1C17">
              <w:rPr>
                <w:rFonts w:ascii="Times New Roman" w:hAnsi="Times New Roman" w:cs="Times New Roman"/>
                <w:sz w:val="20"/>
                <w:szCs w:val="20"/>
              </w:rPr>
              <w:t>A contratada deverá fornecer orientação inicial aos profissionais indicados pela Secretaria Municipal de Saúde quanto à operação básica, configuração, utilização dos acessórios, alimentação elétrica, carregamento da bateria, interpretação dos alarmes, limpeza, conservação e cuidados necessários ao transporte do equipamento.</w:t>
            </w:r>
            <w:r w:rsidR="00C8752F">
              <w:rPr>
                <w:rFonts w:ascii="Times New Roman" w:hAnsi="Times New Roman" w:cs="Times New Roman"/>
                <w:b/>
                <w:bCs/>
                <w:sz w:val="20"/>
                <w:szCs w:val="20"/>
              </w:rPr>
              <w:t xml:space="preserve"> </w:t>
            </w:r>
            <w:r w:rsidRPr="00DD1C17">
              <w:rPr>
                <w:rFonts w:ascii="Times New Roman" w:hAnsi="Times New Roman" w:cs="Times New Roman"/>
                <w:sz w:val="20"/>
                <w:szCs w:val="20"/>
              </w:rPr>
              <w:t>A orientação operacional não deverá substituir capacitações clínicas ou atribuições privativas dos profissionais de saúde, destinando-se exclusivamente ao uso seguro e adequado das funcionalidades do equipamento fornecido.</w:t>
            </w:r>
          </w:p>
          <w:p w14:paraId="46D01C06" w14:textId="6D79EB7D" w:rsidR="00DD1C17" w:rsidRPr="00DD1C17"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b/>
                <w:bCs/>
                <w:sz w:val="20"/>
                <w:szCs w:val="20"/>
              </w:rPr>
              <w:t>3.7. CONDIÇÕES DE QUALIDADE E IDENTIFICAÇÃO</w:t>
            </w:r>
            <w:r w:rsidR="00C8752F">
              <w:rPr>
                <w:rFonts w:ascii="Times New Roman" w:hAnsi="Times New Roman" w:cs="Times New Roman"/>
                <w:b/>
                <w:bCs/>
                <w:sz w:val="20"/>
                <w:szCs w:val="20"/>
              </w:rPr>
              <w:t xml:space="preserve">: </w:t>
            </w:r>
            <w:r w:rsidRPr="00DD1C17">
              <w:rPr>
                <w:rFonts w:ascii="Times New Roman" w:hAnsi="Times New Roman" w:cs="Times New Roman"/>
                <w:sz w:val="20"/>
                <w:szCs w:val="20"/>
              </w:rPr>
              <w:t xml:space="preserve">O equipamento deverá ser novo, de primeiro uso, pertencente à linha regular de fabricação e entregue sem sinais de utilização, exposição prolongada, avarias ou alterações em suas características originais. </w:t>
            </w:r>
            <w:r w:rsidR="00C8752F" w:rsidRPr="00DD1C17">
              <w:rPr>
                <w:rFonts w:ascii="Times New Roman" w:hAnsi="Times New Roman" w:cs="Times New Roman"/>
                <w:b/>
                <w:bCs/>
                <w:sz w:val="20"/>
                <w:szCs w:val="20"/>
              </w:rPr>
              <w:t>NÃO SERÃO ADMITIDOS PRODUTOS USADOS, RECONDICIONADOS, REMANUFATURADOS, RECUPERADOS OU PROVENIENTES DE MOSTRUÁRIO.</w:t>
            </w:r>
            <w:r w:rsidR="00C8752F">
              <w:rPr>
                <w:rFonts w:ascii="Times New Roman" w:hAnsi="Times New Roman" w:cs="Times New Roman"/>
                <w:b/>
                <w:bCs/>
                <w:sz w:val="20"/>
                <w:szCs w:val="20"/>
              </w:rPr>
              <w:t xml:space="preserve"> </w:t>
            </w:r>
            <w:r w:rsidRPr="00DD1C17">
              <w:rPr>
                <w:rFonts w:ascii="Times New Roman" w:hAnsi="Times New Roman" w:cs="Times New Roman"/>
                <w:sz w:val="20"/>
                <w:szCs w:val="20"/>
              </w:rPr>
              <w:t>O monitor deverá apresentar identificação permanente e legível do fabricante, modelo, número de série, tensão de alimentação e demais informações exigidas pela legislação. Os dados de identificação deverão corresponder aos documentos técnicos, fiscais e sanitários apresentados pela contratada.</w:t>
            </w:r>
          </w:p>
          <w:p w14:paraId="1B8D1CA7" w14:textId="75F69E2E" w:rsidR="00DD1C17" w:rsidRPr="00DD1C17"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b/>
                <w:bCs/>
                <w:sz w:val="20"/>
                <w:szCs w:val="20"/>
                <w:u w:val="single"/>
              </w:rPr>
              <w:t>A entrega deverá ser acompanhada, no mínimo, de manual de operação e instruções de uso em língua portuguesa, termo ou certificado de garantia, relação dos acessórios fornecidos e documentação técnica necessária à utilização e manutenção do equipamento.</w:t>
            </w:r>
            <w:r w:rsidR="00C8752F">
              <w:rPr>
                <w:rFonts w:ascii="Times New Roman" w:hAnsi="Times New Roman" w:cs="Times New Roman"/>
                <w:sz w:val="20"/>
                <w:szCs w:val="20"/>
              </w:rPr>
              <w:t xml:space="preserve"> </w:t>
            </w:r>
            <w:r w:rsidRPr="00DD1C17">
              <w:rPr>
                <w:rFonts w:ascii="Times New Roman" w:hAnsi="Times New Roman" w:cs="Times New Roman"/>
                <w:sz w:val="20"/>
                <w:szCs w:val="20"/>
              </w:rPr>
              <w:t>Os acessórios deverão ser novos, compatíveis com o equipamento e adequados aos perfis de pacientes previstos na contratação, conforme as especificações do Termo de Referência. Quando forem exigidos acessórios reutilizáveis, estes deverão permitir limpeza e desinfecção conforme as orientações do fabricante e os protocolos aplicáveis aos estabelecimentos de saúde.</w:t>
            </w:r>
          </w:p>
          <w:p w14:paraId="76A11C7E" w14:textId="790D038B" w:rsidR="00DD1C17" w:rsidRPr="00DD1C17"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b/>
                <w:bCs/>
                <w:sz w:val="20"/>
                <w:szCs w:val="20"/>
              </w:rPr>
              <w:t>3.8. GARANTIA E ASSISTÊNCIA TÉCNICA</w:t>
            </w:r>
            <w:r w:rsidR="00C8752F">
              <w:rPr>
                <w:rFonts w:ascii="Times New Roman" w:hAnsi="Times New Roman" w:cs="Times New Roman"/>
                <w:b/>
                <w:bCs/>
                <w:sz w:val="20"/>
                <w:szCs w:val="20"/>
              </w:rPr>
              <w:t xml:space="preserve">: </w:t>
            </w:r>
            <w:r w:rsidRPr="00DD1C17">
              <w:rPr>
                <w:rFonts w:ascii="Times New Roman" w:hAnsi="Times New Roman" w:cs="Times New Roman"/>
                <w:sz w:val="20"/>
                <w:szCs w:val="20"/>
              </w:rPr>
              <w:t xml:space="preserve">O equipamento </w:t>
            </w:r>
            <w:r w:rsidRPr="00C75072">
              <w:rPr>
                <w:rFonts w:ascii="Times New Roman" w:hAnsi="Times New Roman" w:cs="Times New Roman"/>
                <w:b/>
                <w:bCs/>
                <w:sz w:val="20"/>
                <w:szCs w:val="20"/>
              </w:rPr>
              <w:t>deverá possuir garantia mínima de 12 (doze) meses, contados do recebimento definitivo, sem prejuízo da garantia legal e de eventual prazo superior oferecido pelo fabricante ou pela contratada.</w:t>
            </w:r>
            <w:r w:rsidR="00C8752F">
              <w:rPr>
                <w:rFonts w:ascii="Times New Roman" w:hAnsi="Times New Roman" w:cs="Times New Roman"/>
                <w:sz w:val="20"/>
                <w:szCs w:val="20"/>
              </w:rPr>
              <w:t xml:space="preserve"> </w:t>
            </w:r>
            <w:r w:rsidRPr="00DD1C17">
              <w:rPr>
                <w:rFonts w:ascii="Times New Roman" w:hAnsi="Times New Roman" w:cs="Times New Roman"/>
                <w:sz w:val="20"/>
                <w:szCs w:val="20"/>
              </w:rPr>
              <w:t>Durante a garantia, a contratada deverá assegurar, sem ônus adicional para o Município, a avaliação técnica, a mão de obra, o reparo, a substituição de peças, componentes e acessórios defeituosos, bem como a substituição do equipamento quando o vício não puder ser sanado no prazo estabelecido.</w:t>
            </w:r>
          </w:p>
          <w:p w14:paraId="55C723A4" w14:textId="606D2FC6" w:rsidR="00EB5800" w:rsidRDefault="00EB5800" w:rsidP="00DD1C17">
            <w:pPr>
              <w:spacing w:after="0" w:line="276" w:lineRule="auto"/>
              <w:ind w:firstLine="596"/>
              <w:rPr>
                <w:rFonts w:ascii="Times New Roman" w:hAnsi="Times New Roman" w:cs="Times New Roman"/>
                <w:sz w:val="20"/>
                <w:szCs w:val="20"/>
              </w:rPr>
            </w:pPr>
            <w:r w:rsidRPr="00EB5800">
              <w:rPr>
                <w:rFonts w:ascii="Times New Roman" w:hAnsi="Times New Roman" w:cs="Times New Roman"/>
                <w:sz w:val="20"/>
                <w:szCs w:val="20"/>
              </w:rPr>
              <w:t xml:space="preserve">A garantia deverá abranger defeitos de fabricação, falhas de funcionamento e demais problemas não decorrentes de uso inadequado, acidentes externos ou descumprimento comprovado das orientações do fabricante. </w:t>
            </w:r>
            <w:r w:rsidR="00566D7F" w:rsidRPr="00566D7F">
              <w:rPr>
                <w:rFonts w:ascii="Times New Roman" w:hAnsi="Times New Roman" w:cs="Times New Roman"/>
                <w:sz w:val="20"/>
                <w:szCs w:val="20"/>
              </w:rPr>
              <w:t>A contratada deverá disponibilizar assistência técnica por estrutura própria ou rede autorizada localizada no Estado do Rio Grande do Sul ou demonstrar capacidade logística equivalente para cumprir os prazos estabelecidos</w:t>
            </w:r>
            <w:r w:rsidRPr="00EB5800">
              <w:rPr>
                <w:rFonts w:ascii="Times New Roman" w:hAnsi="Times New Roman" w:cs="Times New Roman"/>
                <w:sz w:val="20"/>
                <w:szCs w:val="20"/>
              </w:rPr>
              <w:t>, em distância compatível com as necessidades da Administração, nos termos do § 4º do art. 40 da Lei Federal nº 14.133/2021. Os prazos para diagnóstico, reparo e substituição temporária ou definitiva do equipamento deverão ser estabelecidos no Termo de Referência, considerando a essencialidade de sua utilização nos atendimentos de urgência e emergência.</w:t>
            </w:r>
          </w:p>
          <w:p w14:paraId="01E3E53C" w14:textId="2B51F176" w:rsidR="00EB5800" w:rsidRPr="00EB5800" w:rsidRDefault="00EB5800" w:rsidP="00DD1C17">
            <w:pPr>
              <w:spacing w:after="0" w:line="276" w:lineRule="auto"/>
              <w:ind w:firstLine="596"/>
              <w:rPr>
                <w:rFonts w:ascii="Times New Roman" w:hAnsi="Times New Roman" w:cs="Times New Roman"/>
                <w:sz w:val="20"/>
                <w:szCs w:val="20"/>
              </w:rPr>
            </w:pPr>
            <w:r w:rsidRPr="00EB5800">
              <w:rPr>
                <w:rFonts w:ascii="Times New Roman" w:hAnsi="Times New Roman" w:cs="Times New Roman"/>
                <w:sz w:val="20"/>
                <w:szCs w:val="20"/>
              </w:rPr>
              <w:t xml:space="preserve">A exigência de assistência técnica </w:t>
            </w:r>
            <w:r>
              <w:rPr>
                <w:rFonts w:ascii="Times New Roman" w:hAnsi="Times New Roman" w:cs="Times New Roman"/>
                <w:sz w:val="20"/>
                <w:szCs w:val="20"/>
              </w:rPr>
              <w:t>próxima</w:t>
            </w:r>
            <w:r w:rsidRPr="00EB5800">
              <w:rPr>
                <w:rFonts w:ascii="Times New Roman" w:hAnsi="Times New Roman" w:cs="Times New Roman"/>
                <w:sz w:val="20"/>
                <w:szCs w:val="20"/>
              </w:rPr>
              <w:t xml:space="preserve"> justifica-se pela natureza essencial do equipamento e pela necessidade de reduzir o tempo de indisponibilidade em caso de falha, evitando prejuízos aos atendimentos realizados na Unidade Básica de Saúde e durante o transporte de pacientes em situações de urgência e emergência. A proximidade da estrutura de suporte favorece maior agilidade no diagnóstico, no envio de peças, na realização de reparos e na eventual substituição do equipamento, assegurando continuidade operacional, segurança assistencial e efetividade da garantia contratada.</w:t>
            </w:r>
          </w:p>
          <w:p w14:paraId="78175859" w14:textId="1EDDEC04" w:rsidR="00DD1C17" w:rsidRPr="00DD1C17" w:rsidRDefault="00DD1C17" w:rsidP="00DD1C17">
            <w:pPr>
              <w:spacing w:after="0" w:line="276" w:lineRule="auto"/>
              <w:ind w:firstLine="596"/>
              <w:rPr>
                <w:rFonts w:ascii="Times New Roman" w:hAnsi="Times New Roman" w:cs="Times New Roman"/>
                <w:sz w:val="20"/>
                <w:szCs w:val="20"/>
              </w:rPr>
            </w:pPr>
            <w:r w:rsidRPr="00DD1C17">
              <w:rPr>
                <w:rFonts w:ascii="Times New Roman" w:hAnsi="Times New Roman" w:cs="Times New Roman"/>
                <w:b/>
                <w:bCs/>
                <w:sz w:val="20"/>
                <w:szCs w:val="20"/>
              </w:rPr>
              <w:t>3.9. SUBSTITUIÇÃO DE EQUIPAMENTOS EM DESCONFORMIDADE</w:t>
            </w:r>
            <w:r w:rsidR="00C8752F" w:rsidRPr="00C8752F">
              <w:rPr>
                <w:rFonts w:ascii="Times New Roman" w:hAnsi="Times New Roman" w:cs="Times New Roman"/>
                <w:b/>
                <w:bCs/>
                <w:sz w:val="20"/>
                <w:szCs w:val="20"/>
              </w:rPr>
              <w:t>:</w:t>
            </w:r>
            <w:r w:rsidR="00C8752F">
              <w:rPr>
                <w:rFonts w:ascii="Times New Roman" w:hAnsi="Times New Roman" w:cs="Times New Roman"/>
                <w:sz w:val="20"/>
                <w:szCs w:val="20"/>
              </w:rPr>
              <w:t xml:space="preserve"> </w:t>
            </w:r>
            <w:r w:rsidRPr="00DD1C17">
              <w:rPr>
                <w:rFonts w:ascii="Times New Roman" w:hAnsi="Times New Roman" w:cs="Times New Roman"/>
                <w:sz w:val="20"/>
                <w:szCs w:val="20"/>
              </w:rPr>
              <w:t>O equipamento entregue em desacordo com as especificações, com defeito, avaria, ausência de componentes ou documentação incompleta deverá ser substituído ou regularizado pela contratada, sem qualquer custo adicional para a Administração.</w:t>
            </w:r>
            <w:r w:rsidR="00C8752F">
              <w:rPr>
                <w:rFonts w:ascii="Times New Roman" w:hAnsi="Times New Roman" w:cs="Times New Roman"/>
                <w:sz w:val="20"/>
                <w:szCs w:val="20"/>
              </w:rPr>
              <w:t xml:space="preserve"> </w:t>
            </w:r>
            <w:r w:rsidRPr="00DD1C17">
              <w:rPr>
                <w:rFonts w:ascii="Times New Roman" w:hAnsi="Times New Roman" w:cs="Times New Roman"/>
                <w:sz w:val="20"/>
                <w:szCs w:val="20"/>
              </w:rPr>
              <w:t>A substituição deverá ocorrer no prazo máximo de 5 (cinco) dias úteis, contado da comunicação formal da fiscalização, salvo quando a natureza do problema justificar prazo distinto expressamente autorizado pela Administração.</w:t>
            </w:r>
            <w:r w:rsidR="00C8752F">
              <w:rPr>
                <w:rFonts w:ascii="Times New Roman" w:hAnsi="Times New Roman" w:cs="Times New Roman"/>
                <w:sz w:val="20"/>
                <w:szCs w:val="20"/>
              </w:rPr>
              <w:t xml:space="preserve"> </w:t>
            </w:r>
            <w:r w:rsidRPr="00DD1C17">
              <w:rPr>
                <w:rFonts w:ascii="Times New Roman" w:hAnsi="Times New Roman" w:cs="Times New Roman"/>
                <w:sz w:val="20"/>
                <w:szCs w:val="20"/>
              </w:rPr>
              <w:t>A substituição não afastará a responsabilidade da contratada por atrasos, danos ou demais consequências decorrentes da entrega irregular, nem impedirá a aplicação das sanções previstas no edital, na ata de registro de preços e na legislação vigente.</w:t>
            </w:r>
          </w:p>
          <w:p w14:paraId="28B4053B" w14:textId="77777777" w:rsidR="008971FE" w:rsidRPr="008971FE" w:rsidRDefault="00DD1C17" w:rsidP="008971FE">
            <w:pPr>
              <w:spacing w:after="0" w:line="276" w:lineRule="auto"/>
              <w:ind w:firstLine="596"/>
              <w:rPr>
                <w:rFonts w:ascii="Times New Roman" w:hAnsi="Times New Roman" w:cs="Times New Roman"/>
                <w:sz w:val="20"/>
                <w:szCs w:val="20"/>
              </w:rPr>
            </w:pPr>
            <w:r w:rsidRPr="00DD1C17">
              <w:rPr>
                <w:rFonts w:ascii="Times New Roman" w:hAnsi="Times New Roman" w:cs="Times New Roman"/>
                <w:b/>
                <w:bCs/>
                <w:sz w:val="20"/>
                <w:szCs w:val="20"/>
              </w:rPr>
              <w:t>3.10. SISTEMA DE REGISTRO DE PREÇOS E INSTRUMENTO CONTRATUAL</w:t>
            </w:r>
            <w:r w:rsidR="00C8752F" w:rsidRPr="00C8752F">
              <w:rPr>
                <w:rFonts w:ascii="Times New Roman" w:hAnsi="Times New Roman" w:cs="Times New Roman"/>
                <w:b/>
                <w:bCs/>
                <w:sz w:val="20"/>
                <w:szCs w:val="20"/>
              </w:rPr>
              <w:t>:</w:t>
            </w:r>
            <w:r w:rsidR="00C8752F">
              <w:rPr>
                <w:rFonts w:ascii="Times New Roman" w:hAnsi="Times New Roman" w:cs="Times New Roman"/>
                <w:b/>
                <w:bCs/>
                <w:sz w:val="20"/>
                <w:szCs w:val="20"/>
              </w:rPr>
              <w:t xml:space="preserve"> </w:t>
            </w:r>
            <w:r w:rsidR="008971FE" w:rsidRPr="008971FE">
              <w:rPr>
                <w:rFonts w:ascii="Times New Roman" w:hAnsi="Times New Roman" w:cs="Times New Roman"/>
                <w:sz w:val="20"/>
                <w:szCs w:val="20"/>
              </w:rPr>
              <w:t xml:space="preserve">A licitação será processada mediante Sistema de Registro de Preços, observadas as justificativas constantes neste Estudo Técnico Preliminar. A Ata de Registro de Preços terá vigência de 1 (um) ano, podendo ser prorrogada por igual período, desde que demonstrada a manutenção da vantajosidade dos preços registrados e atendidas as demais condições previstas na Lei Federal nº 14.133/2021 e na regulamentação municipal aplicável. </w:t>
            </w:r>
          </w:p>
          <w:p w14:paraId="1D396308" w14:textId="7DB5B663" w:rsidR="008971FE" w:rsidRPr="008971FE" w:rsidRDefault="008971FE" w:rsidP="008971FE">
            <w:pPr>
              <w:spacing w:after="0" w:line="276" w:lineRule="auto"/>
              <w:ind w:firstLine="596"/>
              <w:rPr>
                <w:rFonts w:ascii="Times New Roman" w:hAnsi="Times New Roman" w:cs="Times New Roman"/>
                <w:sz w:val="20"/>
                <w:szCs w:val="20"/>
              </w:rPr>
            </w:pPr>
            <w:r w:rsidRPr="008971FE">
              <w:rPr>
                <w:rFonts w:ascii="Times New Roman" w:hAnsi="Times New Roman" w:cs="Times New Roman"/>
                <w:sz w:val="20"/>
                <w:szCs w:val="20"/>
              </w:rPr>
              <w:t xml:space="preserve">A existência da Ata de Registro de Preços não obrigará o Município a efetivar a aquisição, a qual ficará condicionada à permanência da necessidade administrativa, à disponibilidade orçamentária e financeira, à emissão do respectivo empenho e à expedição da Ordem de Compra ou instrumento equivalente. </w:t>
            </w:r>
            <w:r w:rsidR="00566D7F" w:rsidRPr="00566D7F">
              <w:rPr>
                <w:rFonts w:ascii="Times New Roman" w:hAnsi="Times New Roman" w:cs="Times New Roman"/>
                <w:sz w:val="20"/>
                <w:szCs w:val="20"/>
              </w:rPr>
              <w:t>A existência da Ata de Registro de Preços não obrigará o Município a adquirir integralmente o quantitativo registrado. As aquisições poderão ocorrer em momentos distintos, mediante Nota de Empenho e Ordem de Compra, observado o limite máximo registrado.</w:t>
            </w:r>
          </w:p>
          <w:p w14:paraId="2CB1076E" w14:textId="77777777" w:rsidR="008971FE" w:rsidRPr="008971FE" w:rsidRDefault="008971FE" w:rsidP="008971FE">
            <w:pPr>
              <w:spacing w:after="0" w:line="276" w:lineRule="auto"/>
              <w:ind w:firstLine="596"/>
              <w:rPr>
                <w:rFonts w:ascii="Times New Roman" w:hAnsi="Times New Roman" w:cs="Times New Roman"/>
                <w:sz w:val="20"/>
                <w:szCs w:val="20"/>
              </w:rPr>
            </w:pPr>
            <w:r w:rsidRPr="008971FE">
              <w:rPr>
                <w:rFonts w:ascii="Times New Roman" w:hAnsi="Times New Roman" w:cs="Times New Roman"/>
                <w:sz w:val="20"/>
                <w:szCs w:val="20"/>
              </w:rPr>
              <w:t>Os preços registrados deverão permanecer compatíveis com os valores praticados no mercado durante a vigência da Ata, cabendo à Administração promover o acompanhamento, a negociação, a revisão ou o cancelamento do registro nas hipóteses legalmente previstas. A utilização exclusiva da Ata de Registro de Preços como instrumento formal deverá ser expressamente prevista no edital, sem prejuízo da emissão dos documentos necessários à execução orçamentária, à solicitação do fornecimento e à comprovação das obrigações assumidas.</w:t>
            </w:r>
          </w:p>
          <w:p w14:paraId="7507BF84" w14:textId="1E76D26B" w:rsidR="009D2143" w:rsidRDefault="00DD1C17" w:rsidP="009D2143">
            <w:pPr>
              <w:spacing w:after="0" w:line="276" w:lineRule="auto"/>
              <w:ind w:firstLine="596"/>
              <w:rPr>
                <w:rFonts w:ascii="Times New Roman" w:hAnsi="Times New Roman" w:cs="Times New Roman"/>
                <w:sz w:val="20"/>
                <w:szCs w:val="20"/>
              </w:rPr>
            </w:pPr>
            <w:r w:rsidRPr="00DD1C17">
              <w:rPr>
                <w:rFonts w:ascii="Times New Roman" w:hAnsi="Times New Roman" w:cs="Times New Roman"/>
                <w:b/>
                <w:bCs/>
                <w:sz w:val="20"/>
                <w:szCs w:val="20"/>
              </w:rPr>
              <w:t>3.11. HABILITAÇÃO DO FORNECEDOR</w:t>
            </w:r>
            <w:r w:rsidR="00C8752F">
              <w:rPr>
                <w:rFonts w:ascii="Times New Roman" w:hAnsi="Times New Roman" w:cs="Times New Roman"/>
                <w:b/>
                <w:bCs/>
                <w:sz w:val="20"/>
                <w:szCs w:val="20"/>
              </w:rPr>
              <w:t xml:space="preserve">: </w:t>
            </w:r>
            <w:r w:rsidR="009D2143" w:rsidRPr="009D2143">
              <w:rPr>
                <w:rFonts w:ascii="Times New Roman" w:hAnsi="Times New Roman" w:cs="Times New Roman"/>
                <w:sz w:val="20"/>
                <w:szCs w:val="20"/>
              </w:rPr>
              <w:t xml:space="preserve">Para o fornecimento dos itens pretendidos, os eventuais interessados deverão comprovar que atuam em ramo de atividade compatível com o objeto da licitação, bem como apresentar os seguintes documentos a título de habilitação, nos termos do art. 62 </w:t>
            </w:r>
            <w:r w:rsidR="008C3A17">
              <w:rPr>
                <w:rFonts w:ascii="Times New Roman" w:hAnsi="Times New Roman" w:cs="Times New Roman"/>
                <w:sz w:val="20"/>
                <w:szCs w:val="20"/>
              </w:rPr>
              <w:t>a 69</w:t>
            </w:r>
            <w:r w:rsidR="009D2143" w:rsidRPr="009D2143">
              <w:rPr>
                <w:rFonts w:ascii="Times New Roman" w:hAnsi="Times New Roman" w:cs="Times New Roman"/>
                <w:sz w:val="20"/>
                <w:szCs w:val="20"/>
              </w:rPr>
              <w:t xml:space="preserve">, da Lei nº 14.133/2021: </w:t>
            </w:r>
          </w:p>
          <w:p w14:paraId="6CD810E6" w14:textId="77777777" w:rsidR="009D2143" w:rsidRDefault="009D2143" w:rsidP="009D2143">
            <w:pPr>
              <w:spacing w:after="0" w:line="276" w:lineRule="auto"/>
              <w:ind w:firstLine="596"/>
              <w:rPr>
                <w:rFonts w:ascii="Times New Roman" w:hAnsi="Times New Roman" w:cs="Times New Roman"/>
                <w:sz w:val="20"/>
                <w:szCs w:val="20"/>
              </w:rPr>
            </w:pPr>
            <w:r w:rsidRPr="009D2143">
              <w:rPr>
                <w:rFonts w:ascii="Times New Roman" w:hAnsi="Times New Roman" w:cs="Times New Roman"/>
                <w:sz w:val="20"/>
                <w:szCs w:val="20"/>
              </w:rPr>
              <w:t>a) Inscrição no Cadastro Nacional da Pessoa Jurídica (CNPJ);</w:t>
            </w:r>
          </w:p>
          <w:p w14:paraId="711948B3" w14:textId="483B8FF3" w:rsidR="009D2143" w:rsidRDefault="009D2143" w:rsidP="009D2143">
            <w:pPr>
              <w:spacing w:after="0" w:line="276" w:lineRule="auto"/>
              <w:ind w:firstLine="596"/>
              <w:rPr>
                <w:rFonts w:ascii="Times New Roman" w:hAnsi="Times New Roman" w:cs="Times New Roman"/>
                <w:sz w:val="20"/>
                <w:szCs w:val="20"/>
              </w:rPr>
            </w:pPr>
            <w:r w:rsidRPr="009D2143">
              <w:rPr>
                <w:rFonts w:ascii="Times New Roman" w:hAnsi="Times New Roman" w:cs="Times New Roman"/>
                <w:sz w:val="20"/>
                <w:szCs w:val="20"/>
              </w:rPr>
              <w:t xml:space="preserve"> b) Contrato Social com todas as alterações ou a última consolidação e/ou equivalente, que comprove a aptidão da empresa para</w:t>
            </w:r>
            <w:r w:rsidR="001C4A53">
              <w:rPr>
                <w:rFonts w:ascii="Times New Roman" w:hAnsi="Times New Roman" w:cs="Times New Roman"/>
                <w:sz w:val="20"/>
                <w:szCs w:val="20"/>
              </w:rPr>
              <w:t xml:space="preserve"> o equipamento ora solicitado</w:t>
            </w:r>
            <w:r w:rsidRPr="009D2143">
              <w:rPr>
                <w:rFonts w:ascii="Times New Roman" w:hAnsi="Times New Roman" w:cs="Times New Roman"/>
                <w:sz w:val="20"/>
                <w:szCs w:val="20"/>
              </w:rPr>
              <w:t xml:space="preserve">; </w:t>
            </w:r>
          </w:p>
          <w:p w14:paraId="102600AA" w14:textId="77777777" w:rsidR="009D2143" w:rsidRDefault="009D2143" w:rsidP="009D2143">
            <w:pPr>
              <w:spacing w:after="0" w:line="276" w:lineRule="auto"/>
              <w:ind w:firstLine="596"/>
              <w:rPr>
                <w:rFonts w:ascii="Times New Roman" w:hAnsi="Times New Roman" w:cs="Times New Roman"/>
                <w:sz w:val="20"/>
                <w:szCs w:val="20"/>
              </w:rPr>
            </w:pPr>
            <w:r w:rsidRPr="009D2143">
              <w:rPr>
                <w:rFonts w:ascii="Times New Roman" w:hAnsi="Times New Roman" w:cs="Times New Roman"/>
                <w:sz w:val="20"/>
                <w:szCs w:val="20"/>
              </w:rPr>
              <w:t xml:space="preserve">c) Prova de Regularidade quanto aos Tributos e Encargos Sociais administrados pela Secretaria da Receita Federal do Brasil - RFB e quanto à Dívida Ativa da União administrada pela Procuradoria Geral da Fazenda Nacional – PGFN (Certidão Conjunta Negativa); </w:t>
            </w:r>
          </w:p>
          <w:p w14:paraId="60669239" w14:textId="77777777" w:rsidR="009D2143" w:rsidRDefault="009D2143" w:rsidP="009D2143">
            <w:pPr>
              <w:spacing w:after="0" w:line="276" w:lineRule="auto"/>
              <w:ind w:firstLine="596"/>
              <w:rPr>
                <w:rFonts w:ascii="Times New Roman" w:hAnsi="Times New Roman" w:cs="Times New Roman"/>
                <w:sz w:val="20"/>
                <w:szCs w:val="20"/>
              </w:rPr>
            </w:pPr>
            <w:r w:rsidRPr="009D2143">
              <w:rPr>
                <w:rFonts w:ascii="Times New Roman" w:hAnsi="Times New Roman" w:cs="Times New Roman"/>
                <w:sz w:val="20"/>
                <w:szCs w:val="20"/>
              </w:rPr>
              <w:t xml:space="preserve">d) Certidão Negativa da Receita Estadual; </w:t>
            </w:r>
          </w:p>
          <w:p w14:paraId="2192E222" w14:textId="6420F824" w:rsidR="009D2143" w:rsidRDefault="009D2143" w:rsidP="009D2143">
            <w:pPr>
              <w:spacing w:after="0" w:line="276" w:lineRule="auto"/>
              <w:ind w:firstLine="596"/>
              <w:rPr>
                <w:rFonts w:ascii="Times New Roman" w:hAnsi="Times New Roman" w:cs="Times New Roman"/>
                <w:sz w:val="20"/>
                <w:szCs w:val="20"/>
              </w:rPr>
            </w:pPr>
            <w:r w:rsidRPr="009D2143">
              <w:rPr>
                <w:rFonts w:ascii="Times New Roman" w:hAnsi="Times New Roman" w:cs="Times New Roman"/>
                <w:sz w:val="20"/>
                <w:szCs w:val="20"/>
              </w:rPr>
              <w:t xml:space="preserve">e) Certidão Negativa </w:t>
            </w:r>
            <w:r w:rsidR="008C3A17">
              <w:rPr>
                <w:rFonts w:ascii="Times New Roman" w:hAnsi="Times New Roman" w:cs="Times New Roman"/>
                <w:sz w:val="20"/>
                <w:szCs w:val="20"/>
              </w:rPr>
              <w:t xml:space="preserve">de </w:t>
            </w:r>
            <w:r w:rsidRPr="009D2143">
              <w:rPr>
                <w:rFonts w:ascii="Times New Roman" w:hAnsi="Times New Roman" w:cs="Times New Roman"/>
                <w:sz w:val="20"/>
                <w:szCs w:val="20"/>
              </w:rPr>
              <w:t>Débito Municipal do domicílio ou sede da empresa licitante;</w:t>
            </w:r>
          </w:p>
          <w:p w14:paraId="337CDB9B" w14:textId="77777777" w:rsidR="009D2143" w:rsidRDefault="009D2143" w:rsidP="009D2143">
            <w:pPr>
              <w:spacing w:after="0" w:line="276" w:lineRule="auto"/>
              <w:ind w:firstLine="596"/>
              <w:rPr>
                <w:rFonts w:ascii="Times New Roman" w:hAnsi="Times New Roman" w:cs="Times New Roman"/>
                <w:sz w:val="20"/>
                <w:szCs w:val="20"/>
              </w:rPr>
            </w:pPr>
            <w:r w:rsidRPr="009D2143">
              <w:rPr>
                <w:rFonts w:ascii="Times New Roman" w:hAnsi="Times New Roman" w:cs="Times New Roman"/>
                <w:sz w:val="20"/>
                <w:szCs w:val="20"/>
              </w:rPr>
              <w:t xml:space="preserve">f) Certificado de Regularidade relativa à Seguridade Social e ao FGTS, que demonstre cumprimento dos encargos sociais instituídos por lei; </w:t>
            </w:r>
          </w:p>
          <w:p w14:paraId="4E75C1A9" w14:textId="77777777" w:rsidR="009D2143" w:rsidRDefault="009D2143" w:rsidP="009D2143">
            <w:pPr>
              <w:spacing w:after="0" w:line="276" w:lineRule="auto"/>
              <w:ind w:firstLine="596"/>
              <w:rPr>
                <w:rFonts w:ascii="Times New Roman" w:hAnsi="Times New Roman" w:cs="Times New Roman"/>
                <w:sz w:val="20"/>
                <w:szCs w:val="20"/>
              </w:rPr>
            </w:pPr>
            <w:r w:rsidRPr="009D2143">
              <w:rPr>
                <w:rFonts w:ascii="Times New Roman" w:hAnsi="Times New Roman" w:cs="Times New Roman"/>
                <w:sz w:val="20"/>
                <w:szCs w:val="20"/>
              </w:rPr>
              <w:t xml:space="preserve">g) Certidão Negativa de Débitos Trabalhistas – CNDT, emitida pela Justiça do Trabalho; </w:t>
            </w:r>
          </w:p>
          <w:p w14:paraId="51AFE1EA" w14:textId="77777777" w:rsidR="009D2143" w:rsidRDefault="009D2143" w:rsidP="009D2143">
            <w:pPr>
              <w:spacing w:after="0" w:line="276" w:lineRule="auto"/>
              <w:ind w:firstLine="596"/>
              <w:rPr>
                <w:rFonts w:ascii="Times New Roman" w:hAnsi="Times New Roman" w:cs="Times New Roman"/>
                <w:sz w:val="20"/>
                <w:szCs w:val="20"/>
              </w:rPr>
            </w:pPr>
            <w:r w:rsidRPr="009D2143">
              <w:rPr>
                <w:rFonts w:ascii="Times New Roman" w:hAnsi="Times New Roman" w:cs="Times New Roman"/>
                <w:sz w:val="20"/>
                <w:szCs w:val="20"/>
              </w:rPr>
              <w:t>h) Declaração assinada pelo representante legal da proponente, sob as penas da lei, que não possui em seu quadro de funcionários menores de 18 anos exercendo trabalhos noturno, perigoso ou insalubre, ou menores de 16 anos exercendo qualquer trabalho, salvo na condição de aprendiz, a partir de 14 anos, em cumprimento ao inciso XXXIII, do artigo 7º da Constituição Federal combinado ao inciso VI do artigo 68 da Lei N.º 14.133/2021;</w:t>
            </w:r>
          </w:p>
          <w:p w14:paraId="7A02E0A5" w14:textId="5FDC5D0F" w:rsidR="009D2143" w:rsidRDefault="009D2143" w:rsidP="009D2143">
            <w:pPr>
              <w:spacing w:after="0" w:line="276" w:lineRule="auto"/>
              <w:ind w:firstLine="596"/>
              <w:rPr>
                <w:rFonts w:ascii="Times New Roman" w:hAnsi="Times New Roman" w:cs="Times New Roman"/>
                <w:sz w:val="20"/>
                <w:szCs w:val="20"/>
              </w:rPr>
            </w:pPr>
            <w:r w:rsidRPr="009D2143">
              <w:rPr>
                <w:rFonts w:ascii="Times New Roman" w:hAnsi="Times New Roman" w:cs="Times New Roman"/>
                <w:sz w:val="20"/>
                <w:szCs w:val="20"/>
              </w:rPr>
              <w:t xml:space="preserve">i) </w:t>
            </w:r>
            <w:bookmarkStart w:id="1" w:name="_Hlk236316746"/>
            <w:r w:rsidRPr="009D2143">
              <w:rPr>
                <w:rFonts w:ascii="Times New Roman" w:hAnsi="Times New Roman" w:cs="Times New Roman"/>
                <w:sz w:val="20"/>
                <w:szCs w:val="20"/>
              </w:rPr>
              <w:t>Certidão Negativa de concordata e falência do Cartório Distribuidor da Comarca sede da proponente, emitida a menos de 90 (noventa) dias da data de abertura das Propostas;</w:t>
            </w:r>
          </w:p>
          <w:bookmarkEnd w:id="1"/>
          <w:p w14:paraId="11B94896" w14:textId="1F599976" w:rsidR="00C8752F" w:rsidRDefault="00C8752F" w:rsidP="009D2143">
            <w:pPr>
              <w:spacing w:after="0" w:line="276" w:lineRule="auto"/>
              <w:ind w:firstLine="596"/>
              <w:rPr>
                <w:rFonts w:ascii="Times New Roman" w:hAnsi="Times New Roman" w:cs="Times New Roman"/>
                <w:sz w:val="20"/>
                <w:szCs w:val="20"/>
              </w:rPr>
            </w:pPr>
            <w:r w:rsidRPr="00C8752F">
              <w:rPr>
                <w:rFonts w:ascii="Times New Roman" w:hAnsi="Times New Roman" w:cs="Times New Roman"/>
                <w:sz w:val="20"/>
                <w:szCs w:val="20"/>
              </w:rPr>
              <w:t>A qualificação técnica</w:t>
            </w:r>
            <w:r>
              <w:rPr>
                <w:rFonts w:ascii="Times New Roman" w:hAnsi="Times New Roman" w:cs="Times New Roman"/>
                <w:sz w:val="20"/>
                <w:szCs w:val="20"/>
              </w:rPr>
              <w:t xml:space="preserve"> </w:t>
            </w:r>
            <w:r w:rsidRPr="00C8752F">
              <w:rPr>
                <w:rFonts w:ascii="Times New Roman" w:hAnsi="Times New Roman" w:cs="Times New Roman"/>
                <w:sz w:val="20"/>
                <w:szCs w:val="20"/>
              </w:rPr>
              <w:t>será definida e detalhada no Termo de Referência, podendo incluir, de forma proporcional e justificada, exigências relacionadas à comprovação de experiência anterior e à apresentação de documentos ou autorizações pertinentes à atividade e ao objeto, sempre observada a legislação aplicável e a preservação da competitividade do certame.</w:t>
            </w:r>
          </w:p>
          <w:p w14:paraId="2EEE7161" w14:textId="34014D99" w:rsidR="00C8752F" w:rsidRPr="00C8752F" w:rsidRDefault="00C8752F" w:rsidP="00C8752F">
            <w:pPr>
              <w:spacing w:after="0" w:line="276" w:lineRule="auto"/>
              <w:ind w:firstLine="596"/>
              <w:rPr>
                <w:rFonts w:ascii="Times New Roman" w:hAnsi="Times New Roman" w:cs="Times New Roman"/>
                <w:sz w:val="20"/>
                <w:szCs w:val="20"/>
              </w:rPr>
            </w:pPr>
            <w:r w:rsidRPr="00C8752F">
              <w:rPr>
                <w:rFonts w:ascii="Times New Roman" w:hAnsi="Times New Roman" w:cs="Times New Roman"/>
                <w:b/>
                <w:bCs/>
                <w:sz w:val="20"/>
                <w:szCs w:val="20"/>
              </w:rPr>
              <w:t>3.12. SUSTENTABILIDADE E DESTINAÇÃO DE RESÍDUOS</w:t>
            </w:r>
            <w:r>
              <w:rPr>
                <w:rFonts w:ascii="Times New Roman" w:hAnsi="Times New Roman" w:cs="Times New Roman"/>
                <w:b/>
                <w:bCs/>
                <w:sz w:val="20"/>
                <w:szCs w:val="20"/>
              </w:rPr>
              <w:t xml:space="preserve">: </w:t>
            </w:r>
            <w:r w:rsidRPr="00C8752F">
              <w:rPr>
                <w:rFonts w:ascii="Times New Roman" w:hAnsi="Times New Roman" w:cs="Times New Roman"/>
                <w:sz w:val="20"/>
                <w:szCs w:val="20"/>
              </w:rPr>
              <w:t>As embalagens deverão possuir dimensões compatíveis com o equipamento e assegurar sua proteção, evitando-se, sempre que tecnicamente possível, o uso excessivo de materiais. Deverão ser priorizados materiais recicláveis ou reutilizáveis, sem prejuízo da segurança sanitária e da integridade do produto.</w:t>
            </w:r>
            <w:r>
              <w:rPr>
                <w:rFonts w:ascii="Times New Roman" w:hAnsi="Times New Roman" w:cs="Times New Roman"/>
                <w:sz w:val="20"/>
                <w:szCs w:val="20"/>
              </w:rPr>
              <w:t xml:space="preserve"> </w:t>
            </w:r>
            <w:r w:rsidRPr="00C8752F">
              <w:rPr>
                <w:rFonts w:ascii="Times New Roman" w:hAnsi="Times New Roman" w:cs="Times New Roman"/>
                <w:sz w:val="20"/>
                <w:szCs w:val="20"/>
              </w:rPr>
              <w:t>A contratada deverá observar as normas ambientais e sanitárias aplicáveis à destinação de peças, componentes eletrônicos, baterias e demais resíduos decorrentes de manutenção ou substituição realizada durante a garantia, responsabilizando-se pelo recolhimento quando a legislação ou a natureza do atendimento assim exigir.</w:t>
            </w:r>
          </w:p>
          <w:p w14:paraId="5B354E63" w14:textId="1D3535A6" w:rsidR="00C8752F" w:rsidRPr="00C8752F" w:rsidRDefault="00C8752F" w:rsidP="00C8752F">
            <w:pPr>
              <w:spacing w:after="0" w:line="276" w:lineRule="auto"/>
              <w:ind w:firstLine="596"/>
              <w:rPr>
                <w:rFonts w:ascii="Times New Roman" w:hAnsi="Times New Roman" w:cs="Times New Roman"/>
                <w:sz w:val="20"/>
                <w:szCs w:val="20"/>
              </w:rPr>
            </w:pPr>
            <w:r w:rsidRPr="00C8752F">
              <w:rPr>
                <w:rFonts w:ascii="Times New Roman" w:hAnsi="Times New Roman" w:cs="Times New Roman"/>
                <w:b/>
                <w:bCs/>
                <w:sz w:val="20"/>
                <w:szCs w:val="20"/>
              </w:rPr>
              <w:t>3.13. GESTÃO, FISCALIZAÇÃO E SANÇÕES:</w:t>
            </w:r>
            <w:r>
              <w:rPr>
                <w:rFonts w:ascii="Times New Roman" w:hAnsi="Times New Roman" w:cs="Times New Roman"/>
                <w:sz w:val="20"/>
                <w:szCs w:val="20"/>
              </w:rPr>
              <w:t xml:space="preserve"> </w:t>
            </w:r>
            <w:r w:rsidRPr="00C8752F">
              <w:rPr>
                <w:rFonts w:ascii="Times New Roman" w:hAnsi="Times New Roman" w:cs="Times New Roman"/>
                <w:sz w:val="20"/>
                <w:szCs w:val="20"/>
              </w:rPr>
              <w:t>A execução será acompanhada por gestor e fiscais formalmente designados, aos quais caberá verificar o cumprimento das condições de entrega, das especificações técnicas, da regularização sanitária, dos testes de funcionamento, da garantia, da assistência técnica e das demais obrigações assumidas.</w:t>
            </w:r>
            <w:r>
              <w:rPr>
                <w:rFonts w:ascii="Times New Roman" w:hAnsi="Times New Roman" w:cs="Times New Roman"/>
                <w:sz w:val="20"/>
                <w:szCs w:val="20"/>
              </w:rPr>
              <w:t xml:space="preserve"> </w:t>
            </w:r>
            <w:r w:rsidRPr="00C8752F">
              <w:rPr>
                <w:rFonts w:ascii="Times New Roman" w:hAnsi="Times New Roman" w:cs="Times New Roman"/>
                <w:sz w:val="20"/>
                <w:szCs w:val="20"/>
              </w:rPr>
              <w:t>O descumprimento total ou parcial das obrigações sujeitará a contratada às medidas administrativas e às sanções previstas na Lei Federal nº 14.133/2021, assegurados o contraditório e a ampla defesa, sem prejuízo da obrigação de reparar os danos causados à Administração ou a terceiros.</w:t>
            </w:r>
            <w:r>
              <w:rPr>
                <w:rFonts w:ascii="Times New Roman" w:hAnsi="Times New Roman" w:cs="Times New Roman"/>
                <w:sz w:val="20"/>
                <w:szCs w:val="20"/>
              </w:rPr>
              <w:t xml:space="preserve"> </w:t>
            </w:r>
            <w:r w:rsidRPr="00C8752F">
              <w:rPr>
                <w:rFonts w:ascii="Times New Roman" w:hAnsi="Times New Roman" w:cs="Times New Roman"/>
                <w:sz w:val="20"/>
                <w:szCs w:val="20"/>
              </w:rPr>
              <w:t>As penalidades</w:t>
            </w:r>
            <w:r>
              <w:rPr>
                <w:rFonts w:ascii="Times New Roman" w:hAnsi="Times New Roman" w:cs="Times New Roman"/>
                <w:sz w:val="20"/>
                <w:szCs w:val="20"/>
              </w:rPr>
              <w:t xml:space="preserve"> </w:t>
            </w:r>
            <w:r w:rsidRPr="00C8752F">
              <w:rPr>
                <w:rFonts w:ascii="Times New Roman" w:hAnsi="Times New Roman" w:cs="Times New Roman"/>
                <w:sz w:val="20"/>
                <w:szCs w:val="20"/>
              </w:rPr>
              <w:t>e os procedimentos aplicáveis deverão ser disciplinados no edital e no instrumento contratual, não sendo necessária sua reprodução integral no presente Estudo Técnico Preliminar.</w:t>
            </w:r>
          </w:p>
          <w:p w14:paraId="506B7CBD" w14:textId="1F7754EB" w:rsidR="00C8752F" w:rsidRDefault="00C8752F" w:rsidP="00715CA4">
            <w:pPr>
              <w:spacing w:after="0" w:line="276" w:lineRule="auto"/>
              <w:ind w:firstLine="596"/>
              <w:rPr>
                <w:rFonts w:ascii="Times New Roman" w:hAnsi="Times New Roman" w:cs="Times New Roman"/>
                <w:bCs/>
                <w:sz w:val="20"/>
                <w:szCs w:val="20"/>
              </w:rPr>
            </w:pPr>
            <w:r w:rsidRPr="00C8752F">
              <w:rPr>
                <w:rFonts w:ascii="Times New Roman" w:hAnsi="Times New Roman" w:cs="Times New Roman"/>
                <w:b/>
                <w:bCs/>
                <w:sz w:val="20"/>
                <w:szCs w:val="20"/>
              </w:rPr>
              <w:t>3.14. DAS DISPOSIÇÕES GERAIS:</w:t>
            </w:r>
            <w:r>
              <w:rPr>
                <w:rFonts w:ascii="Times New Roman" w:hAnsi="Times New Roman" w:cs="Times New Roman"/>
                <w:sz w:val="20"/>
                <w:szCs w:val="20"/>
              </w:rPr>
              <w:t xml:space="preserve"> </w:t>
            </w:r>
            <w:r w:rsidR="00130D04" w:rsidRPr="00C8752F">
              <w:rPr>
                <w:rFonts w:ascii="Times New Roman" w:hAnsi="Times New Roman" w:cs="Times New Roman"/>
                <w:bCs/>
                <w:sz w:val="20"/>
                <w:szCs w:val="20"/>
              </w:rPr>
              <w:t>As quantidades e especificações detalhadas de cada item estão disponíveis no arquivo anexo a este ETP, o qual deve ser consultado para uma compreensão completa dos requisitos técnicos e operacionais do</w:t>
            </w:r>
            <w:r w:rsidR="001C4A53">
              <w:rPr>
                <w:rFonts w:ascii="Times New Roman" w:hAnsi="Times New Roman" w:cs="Times New Roman"/>
                <w:bCs/>
                <w:sz w:val="20"/>
                <w:szCs w:val="20"/>
              </w:rPr>
              <w:t xml:space="preserve"> equipamento</w:t>
            </w:r>
            <w:r w:rsidR="00130D04" w:rsidRPr="00C8752F">
              <w:rPr>
                <w:rFonts w:ascii="Times New Roman" w:hAnsi="Times New Roman" w:cs="Times New Roman"/>
                <w:bCs/>
                <w:sz w:val="20"/>
                <w:szCs w:val="20"/>
              </w:rPr>
              <w:t xml:space="preserve"> a ser adquirido.</w:t>
            </w:r>
            <w:r w:rsidRPr="00C8752F">
              <w:rPr>
                <w:rFonts w:ascii="Times New Roman" w:hAnsi="Times New Roman" w:cs="Times New Roman"/>
                <w:bCs/>
                <w:sz w:val="20"/>
                <w:szCs w:val="20"/>
              </w:rPr>
              <w:t xml:space="preserve"> </w:t>
            </w:r>
            <w:r w:rsidR="00130D04" w:rsidRPr="00C8752F">
              <w:rPr>
                <w:rFonts w:ascii="Times New Roman" w:hAnsi="Times New Roman" w:cs="Times New Roman"/>
                <w:bCs/>
                <w:sz w:val="20"/>
                <w:szCs w:val="20"/>
              </w:rPr>
              <w:t xml:space="preserve">É importante ressaltar que os </w:t>
            </w:r>
            <w:r w:rsidR="002E13EA" w:rsidRPr="00C8752F">
              <w:rPr>
                <w:rFonts w:ascii="Times New Roman" w:hAnsi="Times New Roman" w:cs="Times New Roman"/>
                <w:bCs/>
                <w:sz w:val="20"/>
                <w:szCs w:val="20"/>
              </w:rPr>
              <w:t>produtos</w:t>
            </w:r>
            <w:r w:rsidR="00130D04" w:rsidRPr="00C8752F">
              <w:rPr>
                <w:rFonts w:ascii="Times New Roman" w:hAnsi="Times New Roman" w:cs="Times New Roman"/>
                <w:bCs/>
                <w:sz w:val="20"/>
                <w:szCs w:val="20"/>
              </w:rPr>
              <w:t xml:space="preserve"> fornecidos devem estar de acordo com as normas técnicas e de qualidade vigentes, garantindo sua adequação ao uso pretendido e sua durabilidade ao longo do tempo.</w:t>
            </w:r>
            <w:r w:rsidRPr="00C8752F">
              <w:rPr>
                <w:rFonts w:ascii="Times New Roman" w:hAnsi="Times New Roman" w:cs="Times New Roman"/>
                <w:bCs/>
                <w:sz w:val="20"/>
                <w:szCs w:val="20"/>
              </w:rPr>
              <w:t xml:space="preserve"> </w:t>
            </w:r>
          </w:p>
          <w:p w14:paraId="4B0F43B2" w14:textId="2FBBBDC2" w:rsidR="002E13EA" w:rsidRPr="00C8752F" w:rsidRDefault="00130D04" w:rsidP="00715CA4">
            <w:pPr>
              <w:spacing w:after="0" w:line="276" w:lineRule="auto"/>
              <w:ind w:firstLine="596"/>
              <w:rPr>
                <w:rFonts w:ascii="Times New Roman" w:hAnsi="Times New Roman" w:cs="Times New Roman"/>
                <w:b/>
                <w:sz w:val="20"/>
                <w:szCs w:val="20"/>
              </w:rPr>
            </w:pPr>
            <w:r w:rsidRPr="00C8752F">
              <w:rPr>
                <w:rFonts w:ascii="Times New Roman" w:hAnsi="Times New Roman" w:cs="Times New Roman"/>
                <w:bCs/>
                <w:sz w:val="20"/>
                <w:szCs w:val="20"/>
              </w:rPr>
              <w:t>Qualquer dúvida ou necessidade de esclarecimento adicional deve ser encaminhada ao Setor de Compras do Município de Paverama, responsável pelo processo licitatório, para garantir a correta interpretação das especificações e o adequado atendimento às necessidades do órgão público.</w:t>
            </w:r>
          </w:p>
        </w:tc>
      </w:tr>
    </w:tbl>
    <w:p w14:paraId="0825A047" w14:textId="77777777" w:rsidR="008F76F3" w:rsidRPr="00A00198" w:rsidRDefault="008F76F3" w:rsidP="00715CA4">
      <w:pPr>
        <w:pStyle w:val="Default"/>
        <w:spacing w:line="276" w:lineRule="auto"/>
        <w:jc w:val="both"/>
        <w:rPr>
          <w:rFonts w:eastAsia="Times New Roman"/>
          <w:i/>
          <w:color w:val="auto"/>
          <w:sz w:val="20"/>
          <w:szCs w:val="20"/>
          <w:lang w:eastAsia="pt-BR"/>
        </w:rPr>
      </w:pPr>
      <w:r w:rsidRPr="00A00198">
        <w:rPr>
          <w:rFonts w:eastAsia="Times New Roman"/>
          <w:i/>
          <w:color w:val="auto"/>
          <w:sz w:val="20"/>
          <w:szCs w:val="20"/>
          <w:lang w:eastAsia="pt-BR"/>
        </w:rPr>
        <w:lastRenderedPageBreak/>
        <w:t xml:space="preserve"> </w:t>
      </w:r>
    </w:p>
    <w:tbl>
      <w:tblPr>
        <w:tblStyle w:val="Tabelacomgrade"/>
        <w:tblW w:w="9209" w:type="dxa"/>
        <w:tblLook w:val="04A0" w:firstRow="1" w:lastRow="0" w:firstColumn="1" w:lastColumn="0" w:noHBand="0" w:noVBand="1"/>
      </w:tblPr>
      <w:tblGrid>
        <w:gridCol w:w="9209"/>
      </w:tblGrid>
      <w:tr w:rsidR="008F76F3" w:rsidRPr="00A00198" w14:paraId="77F24F0B" w14:textId="77777777" w:rsidTr="00C3667F">
        <w:tc>
          <w:tcPr>
            <w:tcW w:w="9209" w:type="dxa"/>
          </w:tcPr>
          <w:p w14:paraId="26828342" w14:textId="6FE5906A" w:rsidR="008F76F3" w:rsidRPr="00A00198" w:rsidRDefault="008F76F3" w:rsidP="00715CA4">
            <w:pPr>
              <w:spacing w:after="0" w:line="276" w:lineRule="auto"/>
              <w:ind w:firstLine="0"/>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4 – ESTIMATIVA DAS QUANTIDADES</w:t>
            </w:r>
            <w:r w:rsidR="00FC4923">
              <w:rPr>
                <w:rFonts w:ascii="Times New Roman" w:eastAsia="Times New Roman" w:hAnsi="Times New Roman" w:cs="Times New Roman"/>
                <w:b/>
                <w:bCs/>
                <w:color w:val="000000"/>
                <w:sz w:val="20"/>
                <w:szCs w:val="20"/>
                <w:lang w:eastAsia="pt-BR"/>
              </w:rPr>
              <w:t>:</w:t>
            </w:r>
          </w:p>
        </w:tc>
      </w:tr>
      <w:tr w:rsidR="008F76F3" w:rsidRPr="00A00198" w14:paraId="1D789878" w14:textId="77777777" w:rsidTr="00C3667F">
        <w:tc>
          <w:tcPr>
            <w:tcW w:w="9209" w:type="dxa"/>
            <w:shd w:val="clear" w:color="auto" w:fill="F2F2F2" w:themeFill="background1" w:themeFillShade="F2"/>
          </w:tcPr>
          <w:p w14:paraId="25CF518F" w14:textId="593C0B7D"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Estimativa das quantidades a serem contratadas, acompanhada das memórias de cálculo e dos documentos que lhe dão suporte, considerando a interdependência com outras contratações, de modo a possibilitar economia de escala (inciso IV do § 1° do art. 18 da Lei 14.133/21)</w:t>
            </w:r>
            <w:r w:rsidR="00E776F1">
              <w:rPr>
                <w:rFonts w:ascii="Times New Roman" w:eastAsia="Times New Roman" w:hAnsi="Times New Roman" w:cs="Times New Roman"/>
                <w:color w:val="000000"/>
                <w:sz w:val="20"/>
                <w:szCs w:val="20"/>
                <w:lang w:eastAsia="pt-BR"/>
              </w:rPr>
              <w:t>:</w:t>
            </w:r>
          </w:p>
        </w:tc>
      </w:tr>
      <w:tr w:rsidR="008F76F3" w:rsidRPr="00A00198" w14:paraId="47CF1596" w14:textId="77777777" w:rsidTr="00C3667F">
        <w:trPr>
          <w:trHeight w:val="249"/>
        </w:trPr>
        <w:tc>
          <w:tcPr>
            <w:tcW w:w="9209" w:type="dxa"/>
          </w:tcPr>
          <w:p w14:paraId="441C571F" w14:textId="77777777" w:rsidR="00820F4D" w:rsidRPr="00820F4D" w:rsidRDefault="00820F4D" w:rsidP="00820F4D">
            <w:pPr>
              <w:spacing w:after="0" w:line="276" w:lineRule="auto"/>
              <w:ind w:firstLine="596"/>
              <w:rPr>
                <w:rFonts w:ascii="Times New Roman" w:eastAsia="Times New Roman" w:hAnsi="Times New Roman" w:cs="Times New Roman"/>
                <w:bCs/>
                <w:iCs/>
                <w:sz w:val="20"/>
                <w:szCs w:val="20"/>
                <w:lang w:eastAsia="pt-BR"/>
              </w:rPr>
            </w:pPr>
            <w:r w:rsidRPr="00820F4D">
              <w:rPr>
                <w:rFonts w:ascii="Times New Roman" w:eastAsia="Times New Roman" w:hAnsi="Times New Roman" w:cs="Times New Roman"/>
                <w:bCs/>
                <w:iCs/>
                <w:sz w:val="20"/>
                <w:szCs w:val="20"/>
                <w:lang w:eastAsia="pt-BR"/>
              </w:rPr>
              <w:t xml:space="preserve">A estimativa do quantitativo foi definida a partir de levantamento realizado pela Secretaria Municipal de Saúde, Assistência Social e Habitação, considerando a estrutura existente, a organização dos atendimentos, a inexistência atual do equipamento e as necessidades presentes e potencialmente verificáveis durante a vigência da Ata de Registro de Preços. Constatou-se que o Município não dispõe de monitor cardíaco </w:t>
            </w:r>
            <w:proofErr w:type="spellStart"/>
            <w:r w:rsidRPr="00820F4D">
              <w:rPr>
                <w:rFonts w:ascii="Times New Roman" w:eastAsia="Times New Roman" w:hAnsi="Times New Roman" w:cs="Times New Roman"/>
                <w:bCs/>
                <w:iCs/>
                <w:sz w:val="20"/>
                <w:szCs w:val="20"/>
                <w:lang w:eastAsia="pt-BR"/>
              </w:rPr>
              <w:t>multiparamétrico</w:t>
            </w:r>
            <w:proofErr w:type="spellEnd"/>
            <w:r w:rsidRPr="00820F4D">
              <w:rPr>
                <w:rFonts w:ascii="Times New Roman" w:eastAsia="Times New Roman" w:hAnsi="Times New Roman" w:cs="Times New Roman"/>
                <w:bCs/>
                <w:iCs/>
                <w:sz w:val="20"/>
                <w:szCs w:val="20"/>
                <w:lang w:eastAsia="pt-BR"/>
              </w:rPr>
              <w:t xml:space="preserve"> próprio para utilização na Unidade Básica de Saúde ou durante o transporte assistido de pacientes em ambulância, circunstância que evidencia a necessidade de suprir essa lacuna estrutural.</w:t>
            </w:r>
          </w:p>
          <w:p w14:paraId="0E4709C5" w14:textId="77777777" w:rsidR="00820F4D" w:rsidRPr="00820F4D" w:rsidRDefault="00820F4D" w:rsidP="00820F4D">
            <w:pPr>
              <w:spacing w:after="0" w:line="276" w:lineRule="auto"/>
              <w:ind w:firstLine="596"/>
              <w:rPr>
                <w:rFonts w:ascii="Times New Roman" w:eastAsia="Times New Roman" w:hAnsi="Times New Roman" w:cs="Times New Roman"/>
                <w:bCs/>
                <w:iCs/>
                <w:sz w:val="20"/>
                <w:szCs w:val="20"/>
                <w:lang w:eastAsia="pt-BR"/>
              </w:rPr>
            </w:pPr>
            <w:r w:rsidRPr="00820F4D">
              <w:rPr>
                <w:rFonts w:ascii="Times New Roman" w:eastAsia="Times New Roman" w:hAnsi="Times New Roman" w:cs="Times New Roman"/>
                <w:bCs/>
                <w:iCs/>
                <w:sz w:val="20"/>
                <w:szCs w:val="20"/>
                <w:lang w:eastAsia="pt-BR"/>
              </w:rPr>
              <w:t>A Unidade Básica de Saúde concentra os atendimentos ambulatoriais realizados mediante agendamento e demanda espontânea, contando com equipe responsável pelo acolhimento, pela avaliação, pela observação e pelo acompanhamento dos pacientes, inclusive diante de situações imprevistas de urgência ou emergência. As demais unidades municipais estão organizadas segundo a Estratégia Saúde da Família e destinam-se predominantemente aos atendimentos territoriais, às ações preventivas, ao acompanhamento programado e às demais atividades próprias da atenção primária.</w:t>
            </w:r>
          </w:p>
          <w:p w14:paraId="564E854F" w14:textId="77777777" w:rsidR="00820F4D" w:rsidRPr="00820F4D" w:rsidRDefault="00820F4D" w:rsidP="00820F4D">
            <w:pPr>
              <w:spacing w:after="0" w:line="276" w:lineRule="auto"/>
              <w:ind w:firstLine="596"/>
              <w:rPr>
                <w:rFonts w:ascii="Times New Roman" w:eastAsia="Times New Roman" w:hAnsi="Times New Roman" w:cs="Times New Roman"/>
                <w:bCs/>
                <w:iCs/>
                <w:sz w:val="20"/>
                <w:szCs w:val="20"/>
                <w:lang w:eastAsia="pt-BR"/>
              </w:rPr>
            </w:pPr>
            <w:r w:rsidRPr="00820F4D">
              <w:rPr>
                <w:rFonts w:ascii="Times New Roman" w:eastAsia="Times New Roman" w:hAnsi="Times New Roman" w:cs="Times New Roman"/>
                <w:bCs/>
                <w:iCs/>
                <w:sz w:val="20"/>
                <w:szCs w:val="20"/>
                <w:lang w:eastAsia="pt-BR"/>
              </w:rPr>
              <w:t xml:space="preserve">Diante dessa organização, encontra-se caracterizada a necessidade imediata de disponibilização de 1 (um) monitor cardíaco </w:t>
            </w:r>
            <w:proofErr w:type="spellStart"/>
            <w:r w:rsidRPr="00820F4D">
              <w:rPr>
                <w:rFonts w:ascii="Times New Roman" w:eastAsia="Times New Roman" w:hAnsi="Times New Roman" w:cs="Times New Roman"/>
                <w:bCs/>
                <w:iCs/>
                <w:sz w:val="20"/>
                <w:szCs w:val="20"/>
                <w:lang w:eastAsia="pt-BR"/>
              </w:rPr>
              <w:t>multiparamétrico</w:t>
            </w:r>
            <w:proofErr w:type="spellEnd"/>
            <w:r w:rsidRPr="00820F4D">
              <w:rPr>
                <w:rFonts w:ascii="Times New Roman" w:eastAsia="Times New Roman" w:hAnsi="Times New Roman" w:cs="Times New Roman"/>
                <w:bCs/>
                <w:iCs/>
                <w:sz w:val="20"/>
                <w:szCs w:val="20"/>
                <w:lang w:eastAsia="pt-BR"/>
              </w:rPr>
              <w:t xml:space="preserve"> na Unidade Básica de Saúde. Assim, após a conclusão do procedimento licitatório e a formalização da Ata de Registro de Preços, pretende-se promover a aquisição inicial de uma unidade, condicionada à emissão da respectiva Nota de Empenho e da Ordem de Compra, para utilização prioritária nos atendimentos ambulatoriais, na observação e na estabilização de pacientes que apresentem alterações clínicas ou sinais de maior gravidade.</w:t>
            </w:r>
          </w:p>
          <w:p w14:paraId="1D5D1120" w14:textId="77777777" w:rsidR="00820F4D" w:rsidRPr="00820F4D" w:rsidRDefault="00820F4D" w:rsidP="00820F4D">
            <w:pPr>
              <w:spacing w:after="0" w:line="276" w:lineRule="auto"/>
              <w:ind w:firstLine="596"/>
              <w:rPr>
                <w:rFonts w:ascii="Times New Roman" w:eastAsia="Times New Roman" w:hAnsi="Times New Roman" w:cs="Times New Roman"/>
                <w:bCs/>
                <w:iCs/>
                <w:sz w:val="20"/>
                <w:szCs w:val="20"/>
                <w:lang w:eastAsia="pt-BR"/>
              </w:rPr>
            </w:pPr>
            <w:r w:rsidRPr="00820F4D">
              <w:rPr>
                <w:rFonts w:ascii="Times New Roman" w:eastAsia="Times New Roman" w:hAnsi="Times New Roman" w:cs="Times New Roman"/>
                <w:bCs/>
                <w:iCs/>
                <w:sz w:val="20"/>
                <w:szCs w:val="20"/>
                <w:lang w:eastAsia="pt-BR"/>
              </w:rPr>
              <w:t>Além dessa necessidade já identificada, estimou-se quantitativo adicional de 1 (uma) unidade, passível de aquisição posterior durante a vigência da Ata, caso seja demonstrada a necessidade de disponibilização de equipamento específico para a ambulância municipal, de atendimento simultâneo em ambientes distintos, de ampliação da estrutura assistencial ou de atendimento a outra demanda superveniente devidamente justificada. A previsão da segunda unidade busca permitir resposta administrativa mais célere diante de eventual necessidade concreta, sem exigir a instauração de novo procedimento licitatório para objeto idêntico.</w:t>
            </w:r>
          </w:p>
          <w:p w14:paraId="63715BAD" w14:textId="77777777" w:rsidR="00820F4D" w:rsidRPr="00820F4D" w:rsidRDefault="00820F4D" w:rsidP="00820F4D">
            <w:pPr>
              <w:spacing w:after="0" w:line="276" w:lineRule="auto"/>
              <w:ind w:firstLine="596"/>
              <w:rPr>
                <w:rFonts w:ascii="Times New Roman" w:eastAsia="Times New Roman" w:hAnsi="Times New Roman" w:cs="Times New Roman"/>
                <w:bCs/>
                <w:iCs/>
                <w:sz w:val="20"/>
                <w:szCs w:val="20"/>
                <w:lang w:eastAsia="pt-BR"/>
              </w:rPr>
            </w:pPr>
            <w:r w:rsidRPr="00820F4D">
              <w:rPr>
                <w:rFonts w:ascii="Times New Roman" w:eastAsia="Times New Roman" w:hAnsi="Times New Roman" w:cs="Times New Roman"/>
                <w:bCs/>
                <w:iCs/>
                <w:sz w:val="20"/>
                <w:szCs w:val="20"/>
                <w:lang w:eastAsia="pt-BR"/>
              </w:rPr>
              <w:t>A adoção do Sistema de Registro de Preços não obrigará a Administração a adquirir integralmente o quantitativo estimado. A previsão de aquisição inicial representa o planejamento administrativo vigente, mas sua efetivação dependerá da permanência da necessidade, da disponibilidade orçamentária e financeira, da emissão prévia do empenho e da correspondente Ordem de Compra. A segunda unidade somente será adquirida caso sobrevenha necessidade devidamente caracterizada e seja demonstrada a conveniência da contratação.</w:t>
            </w:r>
          </w:p>
          <w:p w14:paraId="0F2CE162" w14:textId="24E238D0" w:rsidR="00CC7762" w:rsidRPr="000E4607" w:rsidRDefault="00820F4D" w:rsidP="00820F4D">
            <w:pPr>
              <w:spacing w:after="0" w:line="276" w:lineRule="auto"/>
              <w:ind w:firstLine="596"/>
              <w:rPr>
                <w:rFonts w:ascii="Times New Roman" w:eastAsia="Times New Roman" w:hAnsi="Times New Roman" w:cs="Times New Roman"/>
                <w:bCs/>
                <w:iCs/>
                <w:sz w:val="20"/>
                <w:szCs w:val="20"/>
                <w:lang w:eastAsia="pt-BR"/>
              </w:rPr>
            </w:pPr>
            <w:r w:rsidRPr="00820F4D">
              <w:rPr>
                <w:rFonts w:ascii="Times New Roman" w:eastAsia="Times New Roman" w:hAnsi="Times New Roman" w:cs="Times New Roman"/>
                <w:bCs/>
                <w:iCs/>
                <w:sz w:val="20"/>
                <w:szCs w:val="20"/>
                <w:lang w:eastAsia="pt-BR"/>
              </w:rPr>
              <w:t>As aquisições poderão ocorrer em momentos distintos, mediante Ordens de Compra próprias, observado o limite máximo registrado. Cada unidade solicitada deverá ser fornecida completa, acompanhada de todos os componentes e acessórios exigidos, não sendo admitido o fracionamento físico da solução correspondente a cada equipamento.</w:t>
            </w:r>
            <w:r>
              <w:rPr>
                <w:rFonts w:ascii="Times New Roman" w:eastAsia="Times New Roman" w:hAnsi="Times New Roman" w:cs="Times New Roman"/>
                <w:bCs/>
                <w:iCs/>
                <w:sz w:val="20"/>
                <w:szCs w:val="20"/>
                <w:lang w:eastAsia="pt-BR"/>
              </w:rPr>
              <w:t xml:space="preserve"> </w:t>
            </w:r>
            <w:r w:rsidRPr="00820F4D">
              <w:rPr>
                <w:rFonts w:ascii="Times New Roman" w:eastAsia="Times New Roman" w:hAnsi="Times New Roman" w:cs="Times New Roman"/>
                <w:bCs/>
                <w:iCs/>
                <w:sz w:val="20"/>
                <w:szCs w:val="20"/>
                <w:lang w:eastAsia="pt-BR"/>
              </w:rPr>
              <w:t>O quantitativo estimado observa os princípios do planejamento, da proporcionalidade e da economicidade, pois atende à necessidade imediata da Unidade Básica de Saúde e, simultaneamente, preserva a possibilidade de atendimento de demanda posterior, sem gerar obrigação de aquisição integral, formação antecipada de estoque ou imobilização desnecessária de recursos públicos.</w:t>
            </w:r>
          </w:p>
        </w:tc>
      </w:tr>
    </w:tbl>
    <w:p w14:paraId="6E7C030A" w14:textId="77777777" w:rsidR="008F76F3" w:rsidRPr="00F52B4B" w:rsidRDefault="008F76F3" w:rsidP="00715CA4">
      <w:pPr>
        <w:pStyle w:val="Default"/>
        <w:spacing w:line="276" w:lineRule="auto"/>
        <w:jc w:val="both"/>
        <w:rPr>
          <w:rFonts w:eastAsia="Times New Roman"/>
          <w:iCs/>
          <w:color w:val="auto"/>
          <w:sz w:val="20"/>
          <w:szCs w:val="20"/>
          <w:lang w:eastAsia="pt-BR"/>
        </w:rPr>
      </w:pPr>
    </w:p>
    <w:tbl>
      <w:tblPr>
        <w:tblStyle w:val="Tabelacomgrade"/>
        <w:tblW w:w="9209" w:type="dxa"/>
        <w:tblLook w:val="04A0" w:firstRow="1" w:lastRow="0" w:firstColumn="1" w:lastColumn="0" w:noHBand="0" w:noVBand="1"/>
      </w:tblPr>
      <w:tblGrid>
        <w:gridCol w:w="9214"/>
      </w:tblGrid>
      <w:tr w:rsidR="008F76F3" w:rsidRPr="00A00198" w14:paraId="21089FAE" w14:textId="77777777" w:rsidTr="001F2A7D">
        <w:tc>
          <w:tcPr>
            <w:tcW w:w="9209" w:type="dxa"/>
          </w:tcPr>
          <w:p w14:paraId="268D97E3" w14:textId="4D1A7DC4" w:rsidR="008F76F3" w:rsidRPr="00A00198" w:rsidRDefault="008F76F3" w:rsidP="00715CA4">
            <w:pPr>
              <w:spacing w:after="0" w:line="276" w:lineRule="auto"/>
              <w:ind w:firstLine="0"/>
              <w:rPr>
                <w:rFonts w:ascii="Times New Roman" w:hAnsi="Times New Roman" w:cs="Times New Roman"/>
                <w:b/>
                <w:sz w:val="20"/>
                <w:szCs w:val="20"/>
              </w:rPr>
            </w:pPr>
            <w:r w:rsidRPr="00A00198">
              <w:rPr>
                <w:rFonts w:ascii="Times New Roman" w:hAnsi="Times New Roman" w:cs="Times New Roman"/>
                <w:b/>
                <w:sz w:val="20"/>
                <w:szCs w:val="20"/>
              </w:rPr>
              <w:t>5 – LEVANTAMENTO DE MERCADO</w:t>
            </w:r>
            <w:r w:rsidR="00FC4923">
              <w:rPr>
                <w:rFonts w:ascii="Times New Roman" w:hAnsi="Times New Roman" w:cs="Times New Roman"/>
                <w:b/>
                <w:sz w:val="20"/>
                <w:szCs w:val="20"/>
              </w:rPr>
              <w:t>:</w:t>
            </w:r>
          </w:p>
        </w:tc>
      </w:tr>
      <w:tr w:rsidR="008F76F3" w:rsidRPr="00A00198" w14:paraId="2B9D2A83" w14:textId="77777777" w:rsidTr="001F2A7D">
        <w:tc>
          <w:tcPr>
            <w:tcW w:w="9209" w:type="dxa"/>
            <w:shd w:val="clear" w:color="auto" w:fill="F2F2F2" w:themeFill="background1" w:themeFillShade="F2"/>
          </w:tcPr>
          <w:p w14:paraId="62E2A33C" w14:textId="5EF28DD9"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hAnsi="Times New Roman" w:cs="Times New Roman"/>
                <w:sz w:val="20"/>
                <w:szCs w:val="20"/>
              </w:rPr>
              <w:t>Levantamento de mercado, que consiste na análise das alternativas possíveis, e justificativa técnica e econômica da escolha do tipo de solução a contratar (</w:t>
            </w:r>
            <w:r w:rsidRPr="00A00198">
              <w:rPr>
                <w:rFonts w:ascii="Times New Roman" w:eastAsia="Times New Roman" w:hAnsi="Times New Roman" w:cs="Times New Roman"/>
                <w:color w:val="000000"/>
                <w:sz w:val="20"/>
                <w:szCs w:val="20"/>
                <w:lang w:eastAsia="pt-BR"/>
              </w:rPr>
              <w:t>inciso V do § 1° do art. 18 da Lei 14.133/2021)</w:t>
            </w:r>
            <w:r w:rsidR="00E776F1">
              <w:rPr>
                <w:rFonts w:ascii="Times New Roman" w:eastAsia="Times New Roman" w:hAnsi="Times New Roman" w:cs="Times New Roman"/>
                <w:color w:val="000000"/>
                <w:sz w:val="20"/>
                <w:szCs w:val="20"/>
                <w:lang w:eastAsia="pt-BR"/>
              </w:rPr>
              <w:t>:</w:t>
            </w:r>
          </w:p>
        </w:tc>
      </w:tr>
      <w:tr w:rsidR="008F76F3" w:rsidRPr="00A00198" w14:paraId="60E2412E" w14:textId="77777777" w:rsidTr="00BB47D9">
        <w:trPr>
          <w:trHeight w:val="56"/>
        </w:trPr>
        <w:tc>
          <w:tcPr>
            <w:tcW w:w="9209" w:type="dxa"/>
          </w:tcPr>
          <w:p w14:paraId="57A13C06" w14:textId="77777777" w:rsidR="00C66370" w:rsidRPr="00C66370" w:rsidRDefault="00C66370" w:rsidP="00C66370">
            <w:pPr>
              <w:spacing w:after="0" w:line="276" w:lineRule="auto"/>
              <w:ind w:firstLine="596"/>
              <w:rPr>
                <w:rFonts w:ascii="Times New Roman" w:hAnsi="Times New Roman" w:cs="Times New Roman"/>
                <w:sz w:val="20"/>
                <w:szCs w:val="20"/>
              </w:rPr>
            </w:pPr>
            <w:r w:rsidRPr="00C66370">
              <w:rPr>
                <w:rFonts w:ascii="Times New Roman" w:hAnsi="Times New Roman" w:cs="Times New Roman"/>
                <w:sz w:val="20"/>
                <w:szCs w:val="20"/>
              </w:rPr>
              <w:t xml:space="preserve">Para atendimento da necessidade identificada, foi realizado levantamento das soluções disponíveis para disponibilização de monitores cardíacos </w:t>
            </w:r>
            <w:proofErr w:type="spellStart"/>
            <w:r w:rsidRPr="00C66370">
              <w:rPr>
                <w:rFonts w:ascii="Times New Roman" w:hAnsi="Times New Roman" w:cs="Times New Roman"/>
                <w:sz w:val="20"/>
                <w:szCs w:val="20"/>
              </w:rPr>
              <w:t>multiparamétricos</w:t>
            </w:r>
            <w:proofErr w:type="spellEnd"/>
            <w:r w:rsidRPr="00C66370">
              <w:rPr>
                <w:rFonts w:ascii="Times New Roman" w:hAnsi="Times New Roman" w:cs="Times New Roman"/>
                <w:sz w:val="20"/>
                <w:szCs w:val="20"/>
              </w:rPr>
              <w:t xml:space="preserve"> à Secretaria Municipal de Saúde, Assistência Social e Habitação. A análise considerou a necessidade imediata de aquisição de 1 (uma) unidade para utilização prioritária na Unidade Básica de Saúde, bem como a possibilidade de aquisição posterior de uma segunda unidade durante a vigência da Ata de Registro de Preços, caso seja comprovada a necessidade de disponibilização de equipamento específico para a ambulância municipal, de atendimento simultâneo ou de ampliação da estrutura assistencial.</w:t>
            </w:r>
          </w:p>
          <w:p w14:paraId="15FFFB84" w14:textId="77777777" w:rsidR="00C66370" w:rsidRPr="00C66370" w:rsidRDefault="00C66370" w:rsidP="00C66370">
            <w:pPr>
              <w:spacing w:after="0" w:line="276" w:lineRule="auto"/>
              <w:ind w:firstLine="596"/>
              <w:rPr>
                <w:rFonts w:ascii="Times New Roman" w:hAnsi="Times New Roman" w:cs="Times New Roman"/>
                <w:sz w:val="20"/>
                <w:szCs w:val="20"/>
              </w:rPr>
            </w:pPr>
            <w:r w:rsidRPr="00C66370">
              <w:rPr>
                <w:rFonts w:ascii="Times New Roman" w:hAnsi="Times New Roman" w:cs="Times New Roman"/>
                <w:sz w:val="20"/>
                <w:szCs w:val="20"/>
              </w:rPr>
              <w:t>O mercado dispõe de diversos modelos de monitores portáteis, alimentados por rede elétrica e bateria interna recarregável, destinados à utilização à beira do leito, em ambientes ambulatoriais e durante a movimentação ou o transporte assistido de pacientes. Essa disponibilidade demonstra a existência de oferta competitiva e de equipamentos capazes de atender às necessidades da Unidade Básica de Saúde e, quando adquirida a segunda unidade, da ambulância municipal, desde que as especificações sejam definidas com base em requisitos objetivos de desempenho, segurança, portabilidade e confiabilidade, sem indicação injustificada de marca ou modelo.</w:t>
            </w:r>
          </w:p>
          <w:p w14:paraId="1860AC9B" w14:textId="77777777" w:rsidR="00C66370" w:rsidRPr="00C66370" w:rsidRDefault="00C66370" w:rsidP="00C66370">
            <w:pPr>
              <w:spacing w:after="0" w:line="276" w:lineRule="auto"/>
              <w:ind w:firstLine="596"/>
              <w:rPr>
                <w:rFonts w:ascii="Times New Roman" w:hAnsi="Times New Roman" w:cs="Times New Roman"/>
                <w:sz w:val="20"/>
                <w:szCs w:val="20"/>
              </w:rPr>
            </w:pPr>
            <w:r w:rsidRPr="00C66370">
              <w:rPr>
                <w:rFonts w:ascii="Times New Roman" w:hAnsi="Times New Roman" w:cs="Times New Roman"/>
                <w:sz w:val="20"/>
                <w:szCs w:val="20"/>
              </w:rPr>
              <w:t>Foram examinadas as seguintes alternativas:</w:t>
            </w:r>
          </w:p>
          <w:p w14:paraId="23999213" w14:textId="14C20F32" w:rsidR="00C66370" w:rsidRPr="00C66370" w:rsidRDefault="00C66370" w:rsidP="00C66370">
            <w:pPr>
              <w:spacing w:after="0" w:line="276" w:lineRule="auto"/>
              <w:ind w:firstLine="596"/>
              <w:rPr>
                <w:rFonts w:ascii="Times New Roman" w:hAnsi="Times New Roman" w:cs="Times New Roman"/>
                <w:sz w:val="20"/>
                <w:szCs w:val="20"/>
              </w:rPr>
            </w:pPr>
            <w:r w:rsidRPr="00C66370">
              <w:rPr>
                <w:rFonts w:ascii="Times New Roman" w:hAnsi="Times New Roman" w:cs="Times New Roman"/>
                <w:sz w:val="20"/>
                <w:szCs w:val="20"/>
              </w:rPr>
              <w:t xml:space="preserve">a) Aquisição de equipamentos próprios: A primeira alternativa consiste na aquisição definitiva de monitores cardíacos </w:t>
            </w:r>
            <w:proofErr w:type="spellStart"/>
            <w:r w:rsidRPr="00C66370">
              <w:rPr>
                <w:rFonts w:ascii="Times New Roman" w:hAnsi="Times New Roman" w:cs="Times New Roman"/>
                <w:sz w:val="20"/>
                <w:szCs w:val="20"/>
              </w:rPr>
              <w:t>multiparamétricos</w:t>
            </w:r>
            <w:proofErr w:type="spellEnd"/>
            <w:r w:rsidRPr="00C66370">
              <w:rPr>
                <w:rFonts w:ascii="Times New Roman" w:hAnsi="Times New Roman" w:cs="Times New Roman"/>
                <w:sz w:val="20"/>
                <w:szCs w:val="20"/>
              </w:rPr>
              <w:t xml:space="preserve"> novos, que serão incorporados ao patrimônio municipal. Está planejada a aquisição inicial de 1 (uma) unidade para utilização prioritária na Unidade Básica de Saúde, podendo uma segunda unidade ser adquirida posteriormente, durante a vigência da Ata de Registro de Preços, caso seja caracterizada a necessidade assistencial e exista disponibilidade orçamentária e financeira.</w:t>
            </w:r>
            <w:r>
              <w:rPr>
                <w:rFonts w:ascii="Times New Roman" w:hAnsi="Times New Roman" w:cs="Times New Roman"/>
                <w:sz w:val="20"/>
                <w:szCs w:val="20"/>
              </w:rPr>
              <w:t xml:space="preserve"> </w:t>
            </w:r>
            <w:r w:rsidRPr="00C66370">
              <w:rPr>
                <w:rFonts w:ascii="Times New Roman" w:hAnsi="Times New Roman" w:cs="Times New Roman"/>
                <w:sz w:val="20"/>
                <w:szCs w:val="20"/>
              </w:rPr>
              <w:t>A aquisição exige desembolso inicial correspondente às unidades efetivamente solicitadas, mas assegura a disponibilidade permanente dos equipamentos durante sua vida útil, sem pagamentos mensais pela utilização. A solução mostra-se especialmente adequada porque a necessidade possui caráter duradouro e a Administração dispõe de profissionais habilitados para sua operação.</w:t>
            </w:r>
          </w:p>
          <w:p w14:paraId="558595A1" w14:textId="77777777" w:rsidR="00C66370" w:rsidRPr="00C66370" w:rsidRDefault="00C66370" w:rsidP="00C66370">
            <w:pPr>
              <w:spacing w:after="0" w:line="276" w:lineRule="auto"/>
              <w:ind w:firstLine="596"/>
              <w:rPr>
                <w:rFonts w:ascii="Times New Roman" w:hAnsi="Times New Roman" w:cs="Times New Roman"/>
                <w:sz w:val="20"/>
                <w:szCs w:val="20"/>
              </w:rPr>
            </w:pPr>
            <w:r w:rsidRPr="00C66370">
              <w:rPr>
                <w:rFonts w:ascii="Times New Roman" w:hAnsi="Times New Roman" w:cs="Times New Roman"/>
                <w:sz w:val="20"/>
                <w:szCs w:val="20"/>
              </w:rPr>
              <w:t>A incorporação dos bens ao patrimônio municipal também proporciona maior controle sobre sua utilização, localização, conservação, higienização, movimentação e manutenção. Caso sejam adquiridas as duas unidades, será possível manter um equipamento prioritariamente na UBS e outro na ambulância ou em serviço definido pela Secretaria Municipal de Saúde, reduzindo a movimentação frequente dos bens e permitindo, quando necessário, o monitoramento simultâneo em ambientes distintos.</w:t>
            </w:r>
          </w:p>
          <w:p w14:paraId="645C1920" w14:textId="77777777" w:rsidR="00C66370" w:rsidRPr="00C66370" w:rsidRDefault="00C66370" w:rsidP="00C66370">
            <w:pPr>
              <w:spacing w:after="0" w:line="276" w:lineRule="auto"/>
              <w:ind w:firstLine="596"/>
              <w:rPr>
                <w:rFonts w:ascii="Times New Roman" w:hAnsi="Times New Roman" w:cs="Times New Roman"/>
                <w:sz w:val="20"/>
                <w:szCs w:val="20"/>
              </w:rPr>
            </w:pPr>
            <w:r w:rsidRPr="00C66370">
              <w:rPr>
                <w:rFonts w:ascii="Times New Roman" w:hAnsi="Times New Roman" w:cs="Times New Roman"/>
                <w:sz w:val="20"/>
                <w:szCs w:val="20"/>
              </w:rPr>
              <w:t>b) Locação de equipamentos, com assistência técnica e manutenção incluídas: A locação consiste na disponibilização temporária dos equipamentos por empresa especializada, mediante pagamento periódico, podendo compreender manutenção preventiva e corretiva, substituição de peças, calibração e fornecimento de equipamento substituto durante os reparos. Essa alternativa reduz o investimento inicial e transfere parte dos riscos de manutenção e obsolescência à contratada.</w:t>
            </w:r>
          </w:p>
          <w:p w14:paraId="3C3CD178" w14:textId="77777777" w:rsidR="00C66370" w:rsidRPr="00C66370" w:rsidRDefault="00C66370" w:rsidP="00C66370">
            <w:pPr>
              <w:spacing w:after="0" w:line="276" w:lineRule="auto"/>
              <w:ind w:firstLine="596"/>
              <w:rPr>
                <w:rFonts w:ascii="Times New Roman" w:hAnsi="Times New Roman" w:cs="Times New Roman"/>
                <w:sz w:val="20"/>
                <w:szCs w:val="20"/>
              </w:rPr>
            </w:pPr>
            <w:r w:rsidRPr="00C66370">
              <w:rPr>
                <w:rFonts w:ascii="Times New Roman" w:hAnsi="Times New Roman" w:cs="Times New Roman"/>
                <w:sz w:val="20"/>
                <w:szCs w:val="20"/>
              </w:rPr>
              <w:t>Apesar dessas vantagens, a locação tende a ser mais apropriada para necessidades temporárias, quantitativos elevados, expansão transitória da capacidade ou situações em que a atualização tecnológica frequente seja indispensável. Para uma necessidade permanente e limitada ao quantitativo máximo de 2 (duas) unidades, os pagamentos sucessivos poderão superar o custo de aquisição ao longo do tempo, sem que o Município incorpore os bens ao patrimônio. A solução também produziria dependência continuada da contratada para assegurar a disponibilidade dos equipamentos.</w:t>
            </w:r>
          </w:p>
          <w:p w14:paraId="291E97F5" w14:textId="3417EEE8" w:rsidR="00C66370" w:rsidRPr="00C66370" w:rsidRDefault="00C66370" w:rsidP="00C66370">
            <w:pPr>
              <w:spacing w:after="0" w:line="276" w:lineRule="auto"/>
              <w:ind w:firstLine="596"/>
              <w:rPr>
                <w:rFonts w:ascii="Times New Roman" w:hAnsi="Times New Roman" w:cs="Times New Roman"/>
                <w:sz w:val="20"/>
                <w:szCs w:val="20"/>
              </w:rPr>
            </w:pPr>
            <w:r w:rsidRPr="00C66370">
              <w:rPr>
                <w:rFonts w:ascii="Times New Roman" w:hAnsi="Times New Roman" w:cs="Times New Roman"/>
                <w:sz w:val="20"/>
                <w:szCs w:val="20"/>
              </w:rPr>
              <w:t>c) Comodato, cessão de uso ou disponibilização vinculada a outro fornecimento: Outra possibilidade seria a obtenção dos equipamentos por comodato, cessão de uso ou disponibilização vinculada à contratação de insumos, serviços ou outros produtos. Nesses modelos, o bem permanece de propriedade de terceiro e é disponibilizado ao Município durante determinado período ou enquanto vigente outra relação contratual.</w:t>
            </w:r>
            <w:r>
              <w:rPr>
                <w:rFonts w:ascii="Times New Roman" w:hAnsi="Times New Roman" w:cs="Times New Roman"/>
                <w:sz w:val="20"/>
                <w:szCs w:val="20"/>
              </w:rPr>
              <w:t xml:space="preserve"> </w:t>
            </w:r>
            <w:r w:rsidRPr="00C66370">
              <w:rPr>
                <w:rFonts w:ascii="Times New Roman" w:hAnsi="Times New Roman" w:cs="Times New Roman"/>
                <w:sz w:val="20"/>
                <w:szCs w:val="20"/>
              </w:rPr>
              <w:t>Embora possa reduzir ou eliminar o desembolso específico para aquisição, essa alternativa depende da existência de fornecedor ou entidade pública interessada em disponibilizar equipamentos compatíveis. Frequentemente, o comodato também envolve vinculação à aquisição continuada de insumos, acessórios ou serviços específicos.</w:t>
            </w:r>
          </w:p>
          <w:p w14:paraId="15B84F73" w14:textId="77777777" w:rsidR="00C66370" w:rsidRPr="00C66370" w:rsidRDefault="00C66370" w:rsidP="00C66370">
            <w:pPr>
              <w:spacing w:after="0" w:line="276" w:lineRule="auto"/>
              <w:ind w:firstLine="596"/>
              <w:rPr>
                <w:rFonts w:ascii="Times New Roman" w:hAnsi="Times New Roman" w:cs="Times New Roman"/>
                <w:sz w:val="20"/>
                <w:szCs w:val="20"/>
              </w:rPr>
            </w:pPr>
            <w:r w:rsidRPr="00C66370">
              <w:rPr>
                <w:rFonts w:ascii="Times New Roman" w:hAnsi="Times New Roman" w:cs="Times New Roman"/>
                <w:sz w:val="20"/>
                <w:szCs w:val="20"/>
              </w:rPr>
              <w:t>No caso analisado, não foi identificada demanda correlata de consumo que justificasse economicamente essa vinculação. A solução poderia resultar em dependência tecnológica, limitação da escolha de acessórios, restrição da competitividade ou custos indiretos superiores aos da aquisição. Também não há garantia de disponibilidade tempestiva de equipamentos compatíveis por meio de cessão gratuita.</w:t>
            </w:r>
          </w:p>
          <w:p w14:paraId="7728ECE7" w14:textId="3267D726" w:rsidR="00C66370" w:rsidRPr="00C66370" w:rsidRDefault="00C66370" w:rsidP="00C66370">
            <w:pPr>
              <w:spacing w:after="0" w:line="276" w:lineRule="auto"/>
              <w:ind w:firstLine="596"/>
              <w:rPr>
                <w:rFonts w:ascii="Times New Roman" w:hAnsi="Times New Roman" w:cs="Times New Roman"/>
                <w:sz w:val="20"/>
                <w:szCs w:val="20"/>
              </w:rPr>
            </w:pPr>
            <w:r w:rsidRPr="00C66370">
              <w:rPr>
                <w:rFonts w:ascii="Times New Roman" w:hAnsi="Times New Roman" w:cs="Times New Roman"/>
                <w:sz w:val="20"/>
                <w:szCs w:val="20"/>
              </w:rPr>
              <w:t>d) Aquisição compartilhada por consórcio público ou contratação conjunta: A aquisição por consórcio público ou em conjunto com outros municípios pode ampliar a escala da contratação, aumentar o poder de negociação e reduzir custos unitários. Essa solução é adequada quando existem demandas semelhantes e simultâneas entre os entes participantes, possibilitando a padronização das especificações e a realização de procedimento conjunto.</w:t>
            </w:r>
            <w:r>
              <w:rPr>
                <w:rFonts w:ascii="Times New Roman" w:hAnsi="Times New Roman" w:cs="Times New Roman"/>
                <w:sz w:val="20"/>
                <w:szCs w:val="20"/>
              </w:rPr>
              <w:t xml:space="preserve"> </w:t>
            </w:r>
            <w:r w:rsidRPr="00C66370">
              <w:rPr>
                <w:rFonts w:ascii="Times New Roman" w:hAnsi="Times New Roman" w:cs="Times New Roman"/>
                <w:sz w:val="20"/>
                <w:szCs w:val="20"/>
              </w:rPr>
              <w:t>Entretanto, sua viabilidade depende de planejamento coordenado, compatibilidade entre as necessidades dos municípios, disponibilidade de procedimento em andamento e concordância quanto às características técnicas</w:t>
            </w:r>
            <w:r>
              <w:rPr>
                <w:rFonts w:ascii="Times New Roman" w:hAnsi="Times New Roman" w:cs="Times New Roman"/>
                <w:sz w:val="20"/>
                <w:szCs w:val="20"/>
              </w:rPr>
              <w:t>.</w:t>
            </w:r>
          </w:p>
          <w:p w14:paraId="66296944" w14:textId="26489BDC" w:rsidR="00C66370" w:rsidRPr="00C66370" w:rsidRDefault="00C66370" w:rsidP="00C66370">
            <w:pPr>
              <w:spacing w:after="0" w:line="276" w:lineRule="auto"/>
              <w:ind w:firstLine="596"/>
              <w:rPr>
                <w:rFonts w:ascii="Times New Roman" w:hAnsi="Times New Roman" w:cs="Times New Roman"/>
                <w:sz w:val="20"/>
                <w:szCs w:val="20"/>
              </w:rPr>
            </w:pPr>
            <w:r w:rsidRPr="00C66370">
              <w:rPr>
                <w:rFonts w:ascii="Times New Roman" w:hAnsi="Times New Roman" w:cs="Times New Roman"/>
                <w:sz w:val="20"/>
                <w:szCs w:val="20"/>
              </w:rPr>
              <w:t>e) Adesão a Ata de Registro de Preços de outro órgão ou entidade: A adesão a ata vigente constitui alternativa possível quando houver registro de preços de outro órgão ou entidade contendo objeto, especificações, condições de entrega, garantia e assistência técnica compatíveis com a necessidade municipal. Sua utilização poderá reduzir o tempo necessário à contratação, desde que sejam demonstradas a adequação do equipamento, a vantajosidade do preço, a disponibilidade do quantitativo e a anuência do órgão gerenciador e do fornecedor.</w:t>
            </w:r>
            <w:r>
              <w:rPr>
                <w:rFonts w:ascii="Times New Roman" w:hAnsi="Times New Roman" w:cs="Times New Roman"/>
                <w:sz w:val="20"/>
                <w:szCs w:val="20"/>
              </w:rPr>
              <w:t xml:space="preserve"> </w:t>
            </w:r>
            <w:r w:rsidRPr="00C66370">
              <w:rPr>
                <w:rFonts w:ascii="Times New Roman" w:hAnsi="Times New Roman" w:cs="Times New Roman"/>
                <w:sz w:val="20"/>
                <w:szCs w:val="20"/>
              </w:rPr>
              <w:t>Contudo, essa solução limita a capacidade do Município de definir integralmente as especificações e as condições de fornecimento. A existência de ata vigente não assegura, por si só, vantagem econômica, sendo indispensável pesquisa de preços e justificativa específica. A adesão depende, ainda, das autorizações legalmente exigidas e da concordância do fornecedor, não constituindo solução disponível de forma permanente.</w:t>
            </w:r>
          </w:p>
          <w:p w14:paraId="2C627F67" w14:textId="77777777" w:rsidR="007B1061" w:rsidRDefault="00FB47A9" w:rsidP="00FB47A9">
            <w:pPr>
              <w:spacing w:after="0" w:line="276" w:lineRule="auto"/>
              <w:ind w:firstLine="596"/>
              <w:rPr>
                <w:rFonts w:ascii="Times New Roman" w:hAnsi="Times New Roman" w:cs="Times New Roman"/>
                <w:sz w:val="20"/>
                <w:szCs w:val="20"/>
              </w:rPr>
            </w:pPr>
            <w:r w:rsidRPr="00FB47A9">
              <w:rPr>
                <w:rFonts w:ascii="Times New Roman" w:hAnsi="Times New Roman" w:cs="Times New Roman"/>
                <w:sz w:val="20"/>
                <w:szCs w:val="20"/>
              </w:rPr>
              <w:t>A análise comparativa das alternativas pode ser sintetizada da seguinte forma:</w:t>
            </w:r>
          </w:p>
          <w:tbl>
            <w:tblPr>
              <w:tblStyle w:val="Tabelacomgrade"/>
              <w:tblW w:w="8988" w:type="dxa"/>
              <w:tblLook w:val="04A0" w:firstRow="1" w:lastRow="0" w:firstColumn="1" w:lastColumn="0" w:noHBand="0" w:noVBand="1"/>
            </w:tblPr>
            <w:tblGrid>
              <w:gridCol w:w="1496"/>
              <w:gridCol w:w="1361"/>
              <w:gridCol w:w="1632"/>
              <w:gridCol w:w="1497"/>
              <w:gridCol w:w="1497"/>
              <w:gridCol w:w="1505"/>
            </w:tblGrid>
            <w:tr w:rsidR="00C66370" w14:paraId="59CB78B9" w14:textId="77777777" w:rsidTr="00BB47D9">
              <w:tc>
                <w:tcPr>
                  <w:tcW w:w="1496" w:type="dxa"/>
                  <w:vAlign w:val="center"/>
                </w:tcPr>
                <w:p w14:paraId="1484A07E" w14:textId="32F1106A"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b/>
                      <w:bCs/>
                      <w:szCs w:val="18"/>
                    </w:rPr>
                    <w:t>Critério analisado</w:t>
                  </w:r>
                </w:p>
              </w:tc>
              <w:tc>
                <w:tcPr>
                  <w:tcW w:w="1361" w:type="dxa"/>
                  <w:vAlign w:val="center"/>
                </w:tcPr>
                <w:p w14:paraId="3F0DCE5A" w14:textId="299E5587"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b/>
                      <w:bCs/>
                      <w:szCs w:val="18"/>
                    </w:rPr>
                    <w:t xml:space="preserve">Aquisição </w:t>
                  </w:r>
                </w:p>
              </w:tc>
              <w:tc>
                <w:tcPr>
                  <w:tcW w:w="1632" w:type="dxa"/>
                  <w:vAlign w:val="center"/>
                </w:tcPr>
                <w:p w14:paraId="0FB21E9A" w14:textId="0938ED16"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b/>
                      <w:bCs/>
                      <w:szCs w:val="18"/>
                    </w:rPr>
                    <w:t>Locação</w:t>
                  </w:r>
                </w:p>
              </w:tc>
              <w:tc>
                <w:tcPr>
                  <w:tcW w:w="1497" w:type="dxa"/>
                  <w:vAlign w:val="center"/>
                </w:tcPr>
                <w:p w14:paraId="3F4CAD7F" w14:textId="64ECC25D"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b/>
                      <w:bCs/>
                      <w:szCs w:val="18"/>
                    </w:rPr>
                    <w:t>Comodato ou cessão</w:t>
                  </w:r>
                </w:p>
              </w:tc>
              <w:tc>
                <w:tcPr>
                  <w:tcW w:w="1497" w:type="dxa"/>
                  <w:vAlign w:val="center"/>
                </w:tcPr>
                <w:p w14:paraId="7BA8B9C6" w14:textId="35BCF853"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b/>
                      <w:bCs/>
                      <w:szCs w:val="18"/>
                    </w:rPr>
                    <w:t>Compra por consórcio</w:t>
                  </w:r>
                </w:p>
              </w:tc>
              <w:tc>
                <w:tcPr>
                  <w:tcW w:w="1505" w:type="dxa"/>
                  <w:vAlign w:val="center"/>
                </w:tcPr>
                <w:p w14:paraId="12EBDC91" w14:textId="6C95EE26"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b/>
                      <w:bCs/>
                      <w:szCs w:val="18"/>
                    </w:rPr>
                    <w:t>Adesão a ata existente</w:t>
                  </w:r>
                </w:p>
              </w:tc>
            </w:tr>
            <w:tr w:rsidR="00C66370" w14:paraId="61DFD3EE" w14:textId="77777777" w:rsidTr="00BB47D9">
              <w:tc>
                <w:tcPr>
                  <w:tcW w:w="1496" w:type="dxa"/>
                  <w:vAlign w:val="center"/>
                </w:tcPr>
                <w:p w14:paraId="31DAEEFB" w14:textId="37143B8D"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Custo</w:t>
                  </w:r>
                </w:p>
              </w:tc>
              <w:tc>
                <w:tcPr>
                  <w:tcW w:w="1361" w:type="dxa"/>
                  <w:vAlign w:val="center"/>
                </w:tcPr>
                <w:p w14:paraId="370EE8D4" w14:textId="35E6D04E"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Mais vantajoso no longo prazo</w:t>
                  </w:r>
                </w:p>
              </w:tc>
              <w:tc>
                <w:tcPr>
                  <w:tcW w:w="1632" w:type="dxa"/>
                  <w:vAlign w:val="center"/>
                </w:tcPr>
                <w:p w14:paraId="5206D818" w14:textId="7D970C4E"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Custo recorrente</w:t>
                  </w:r>
                </w:p>
              </w:tc>
              <w:tc>
                <w:tcPr>
                  <w:tcW w:w="1497" w:type="dxa"/>
                  <w:vAlign w:val="center"/>
                </w:tcPr>
                <w:p w14:paraId="6B9CEAB5" w14:textId="315A541F"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Baixo custo direto, com possibilidade de custos indiretos</w:t>
                  </w:r>
                </w:p>
              </w:tc>
              <w:tc>
                <w:tcPr>
                  <w:tcW w:w="1497" w:type="dxa"/>
                  <w:vAlign w:val="center"/>
                </w:tcPr>
                <w:p w14:paraId="7DE5015C" w14:textId="23A0805B"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Potencial redução por escala</w:t>
                  </w:r>
                </w:p>
              </w:tc>
              <w:tc>
                <w:tcPr>
                  <w:tcW w:w="1505" w:type="dxa"/>
                  <w:vAlign w:val="center"/>
                </w:tcPr>
                <w:p w14:paraId="55721DEE" w14:textId="54C44E63"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Variável conforme a ata</w:t>
                  </w:r>
                </w:p>
              </w:tc>
            </w:tr>
            <w:tr w:rsidR="00C66370" w14:paraId="6311436B" w14:textId="77777777" w:rsidTr="00BB47D9">
              <w:tc>
                <w:tcPr>
                  <w:tcW w:w="1496" w:type="dxa"/>
                  <w:vAlign w:val="center"/>
                </w:tcPr>
                <w:p w14:paraId="2C73E50E" w14:textId="3333362E"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 xml:space="preserve">Eficiência </w:t>
                  </w:r>
                </w:p>
              </w:tc>
              <w:tc>
                <w:tcPr>
                  <w:tcW w:w="1361" w:type="dxa"/>
                  <w:vAlign w:val="center"/>
                </w:tcPr>
                <w:p w14:paraId="75270F18" w14:textId="150B794A"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Alta</w:t>
                  </w:r>
                </w:p>
              </w:tc>
              <w:tc>
                <w:tcPr>
                  <w:tcW w:w="1632" w:type="dxa"/>
                  <w:vAlign w:val="center"/>
                </w:tcPr>
                <w:p w14:paraId="767AF0B8" w14:textId="07145CA7"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 xml:space="preserve">Alta </w:t>
                  </w:r>
                </w:p>
              </w:tc>
              <w:tc>
                <w:tcPr>
                  <w:tcW w:w="1497" w:type="dxa"/>
                  <w:vAlign w:val="center"/>
                </w:tcPr>
                <w:p w14:paraId="6571BD59" w14:textId="71731696"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Baixa</w:t>
                  </w:r>
                </w:p>
              </w:tc>
              <w:tc>
                <w:tcPr>
                  <w:tcW w:w="1497" w:type="dxa"/>
                  <w:vAlign w:val="center"/>
                </w:tcPr>
                <w:p w14:paraId="5779FEEF" w14:textId="3095CCD8"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Média</w:t>
                  </w:r>
                </w:p>
              </w:tc>
              <w:tc>
                <w:tcPr>
                  <w:tcW w:w="1505" w:type="dxa"/>
                  <w:vAlign w:val="center"/>
                </w:tcPr>
                <w:p w14:paraId="7E35FD79" w14:textId="1D943FF9"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Média</w:t>
                  </w:r>
                </w:p>
              </w:tc>
            </w:tr>
            <w:tr w:rsidR="00C66370" w14:paraId="4A2AA143" w14:textId="77777777" w:rsidTr="00BB47D9">
              <w:tc>
                <w:tcPr>
                  <w:tcW w:w="1496" w:type="dxa"/>
                  <w:vAlign w:val="center"/>
                </w:tcPr>
                <w:p w14:paraId="4ABABFBA" w14:textId="1A9B781D"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Disponibilidade</w:t>
                  </w:r>
                </w:p>
              </w:tc>
              <w:tc>
                <w:tcPr>
                  <w:tcW w:w="1361" w:type="dxa"/>
                  <w:vAlign w:val="center"/>
                </w:tcPr>
                <w:p w14:paraId="795A3189" w14:textId="2C900EAD"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Alta após cada aquisição</w:t>
                  </w:r>
                </w:p>
              </w:tc>
              <w:tc>
                <w:tcPr>
                  <w:tcW w:w="1632" w:type="dxa"/>
                  <w:vAlign w:val="center"/>
                </w:tcPr>
                <w:p w14:paraId="142B5559" w14:textId="00D3377B"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Condicionada ao contrato</w:t>
                  </w:r>
                </w:p>
              </w:tc>
              <w:tc>
                <w:tcPr>
                  <w:tcW w:w="1497" w:type="dxa"/>
                  <w:vAlign w:val="center"/>
                </w:tcPr>
                <w:p w14:paraId="5D76057B" w14:textId="2FD7627D"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Dependente de terceiros</w:t>
                  </w:r>
                </w:p>
              </w:tc>
              <w:tc>
                <w:tcPr>
                  <w:tcW w:w="1497" w:type="dxa"/>
                  <w:vAlign w:val="center"/>
                </w:tcPr>
                <w:p w14:paraId="13BD2AD6" w14:textId="53100ADE"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Sujeita à articulação conjunta</w:t>
                  </w:r>
                </w:p>
              </w:tc>
              <w:tc>
                <w:tcPr>
                  <w:tcW w:w="1505" w:type="dxa"/>
                  <w:vAlign w:val="center"/>
                </w:tcPr>
                <w:p w14:paraId="5B20FD7A" w14:textId="58374E1E"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Dependente de ata compatível</w:t>
                  </w:r>
                </w:p>
              </w:tc>
            </w:tr>
            <w:tr w:rsidR="00C66370" w14:paraId="24E3935C" w14:textId="77777777" w:rsidTr="00BB47D9">
              <w:tc>
                <w:tcPr>
                  <w:tcW w:w="1496" w:type="dxa"/>
                  <w:vAlign w:val="center"/>
                </w:tcPr>
                <w:p w14:paraId="401DCA0F" w14:textId="4EB24F70"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Risco jurídico</w:t>
                  </w:r>
                </w:p>
              </w:tc>
              <w:tc>
                <w:tcPr>
                  <w:tcW w:w="1361" w:type="dxa"/>
                  <w:vAlign w:val="center"/>
                </w:tcPr>
                <w:p w14:paraId="51DD6555" w14:textId="6EE6DD79"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Baixo</w:t>
                  </w:r>
                </w:p>
              </w:tc>
              <w:tc>
                <w:tcPr>
                  <w:tcW w:w="1632" w:type="dxa"/>
                  <w:vAlign w:val="center"/>
                </w:tcPr>
                <w:p w14:paraId="35855D73" w14:textId="7AAA2359"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Médio</w:t>
                  </w:r>
                </w:p>
              </w:tc>
              <w:tc>
                <w:tcPr>
                  <w:tcW w:w="1497" w:type="dxa"/>
                  <w:vAlign w:val="center"/>
                </w:tcPr>
                <w:p w14:paraId="585ECA03" w14:textId="62568FCC"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Alto</w:t>
                  </w:r>
                </w:p>
              </w:tc>
              <w:tc>
                <w:tcPr>
                  <w:tcW w:w="1497" w:type="dxa"/>
                  <w:vAlign w:val="center"/>
                </w:tcPr>
                <w:p w14:paraId="4778A8A2" w14:textId="3C8A491F"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Médio</w:t>
                  </w:r>
                </w:p>
              </w:tc>
              <w:tc>
                <w:tcPr>
                  <w:tcW w:w="1505" w:type="dxa"/>
                  <w:vAlign w:val="center"/>
                </w:tcPr>
                <w:p w14:paraId="7AEA3CFE" w14:textId="1D151548"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Médio</w:t>
                  </w:r>
                </w:p>
              </w:tc>
            </w:tr>
            <w:tr w:rsidR="00C66370" w14:paraId="65E7BA7C" w14:textId="77777777" w:rsidTr="00BB47D9">
              <w:tc>
                <w:tcPr>
                  <w:tcW w:w="1496" w:type="dxa"/>
                  <w:vAlign w:val="center"/>
                </w:tcPr>
                <w:p w14:paraId="4552454B" w14:textId="00557E03"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Adequação à necessidade</w:t>
                  </w:r>
                </w:p>
              </w:tc>
              <w:tc>
                <w:tcPr>
                  <w:tcW w:w="1361" w:type="dxa"/>
                  <w:vAlign w:val="center"/>
                </w:tcPr>
                <w:p w14:paraId="003915E2" w14:textId="4329A594"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Alta</w:t>
                  </w:r>
                </w:p>
              </w:tc>
              <w:tc>
                <w:tcPr>
                  <w:tcW w:w="1632" w:type="dxa"/>
                  <w:vAlign w:val="center"/>
                </w:tcPr>
                <w:p w14:paraId="29092518" w14:textId="3D5A3BC7"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Alta</w:t>
                  </w:r>
                </w:p>
              </w:tc>
              <w:tc>
                <w:tcPr>
                  <w:tcW w:w="1497" w:type="dxa"/>
                  <w:vAlign w:val="center"/>
                </w:tcPr>
                <w:p w14:paraId="5EE0C0B7" w14:textId="1C178952"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Baixa</w:t>
                  </w:r>
                </w:p>
              </w:tc>
              <w:tc>
                <w:tcPr>
                  <w:tcW w:w="1497" w:type="dxa"/>
                  <w:vAlign w:val="center"/>
                </w:tcPr>
                <w:p w14:paraId="6F4E2124" w14:textId="515AD9B7"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Média</w:t>
                  </w:r>
                </w:p>
              </w:tc>
              <w:tc>
                <w:tcPr>
                  <w:tcW w:w="1505" w:type="dxa"/>
                  <w:vAlign w:val="center"/>
                </w:tcPr>
                <w:p w14:paraId="235A5B2A" w14:textId="4DCD1D45" w:rsidR="00C66370" w:rsidRPr="00C66370" w:rsidRDefault="00C66370" w:rsidP="00C66370">
                  <w:pPr>
                    <w:spacing w:after="0" w:line="276" w:lineRule="auto"/>
                    <w:ind w:firstLine="0"/>
                    <w:jc w:val="center"/>
                    <w:rPr>
                      <w:rFonts w:ascii="Times New Roman" w:hAnsi="Times New Roman" w:cs="Times New Roman"/>
                      <w:szCs w:val="18"/>
                    </w:rPr>
                  </w:pPr>
                  <w:r w:rsidRPr="00C66370">
                    <w:rPr>
                      <w:rFonts w:ascii="Times New Roman" w:hAnsi="Times New Roman" w:cs="Times New Roman"/>
                      <w:szCs w:val="18"/>
                    </w:rPr>
                    <w:t>Média</w:t>
                  </w:r>
                </w:p>
              </w:tc>
            </w:tr>
          </w:tbl>
          <w:p w14:paraId="7C9B0862" w14:textId="77777777" w:rsidR="00FB47A9" w:rsidRDefault="00FB47A9" w:rsidP="00FB47A9">
            <w:pPr>
              <w:spacing w:after="0" w:line="276" w:lineRule="auto"/>
              <w:ind w:firstLine="0"/>
              <w:rPr>
                <w:rFonts w:ascii="Times New Roman" w:hAnsi="Times New Roman" w:cs="Times New Roman"/>
                <w:sz w:val="20"/>
                <w:szCs w:val="20"/>
              </w:rPr>
            </w:pPr>
          </w:p>
          <w:p w14:paraId="2884388F" w14:textId="2121BF60" w:rsidR="00C66370" w:rsidRPr="00C66370" w:rsidRDefault="00C66370" w:rsidP="00C66370">
            <w:pPr>
              <w:spacing w:after="0" w:line="276" w:lineRule="auto"/>
              <w:ind w:firstLine="736"/>
              <w:rPr>
                <w:rFonts w:ascii="Times New Roman" w:hAnsi="Times New Roman" w:cs="Times New Roman"/>
                <w:sz w:val="20"/>
                <w:szCs w:val="20"/>
              </w:rPr>
            </w:pPr>
            <w:r w:rsidRPr="00C66370">
              <w:rPr>
                <w:rFonts w:ascii="Times New Roman" w:hAnsi="Times New Roman" w:cs="Times New Roman"/>
                <w:sz w:val="20"/>
                <w:szCs w:val="20"/>
              </w:rPr>
              <w:t>A partir da comparação realizada, conclui-se que a aquisição de equipamentos próprios é a solução técnica e economicamente mais adequada à realidade do Município. A previsão de até 2 (duas) unidades permitirá à Administração, se necessário, disponibilizar equipamentos simultaneamente na UBS e na ambulância municipal, reduzir a necessidade de deslocamento frequente de um único bem e evitar que a unidade de saúde fique temporariamente sem equipamento durante o transporte de pacientes. Entretanto, a segunda aquisição dependerá de avaliação administrativa específica, demonstração da necessidade, disponibilidade orçamentária e financeira e emissão da correspondente Nota de Empenho e Ordem de Compra.</w:t>
            </w:r>
          </w:p>
          <w:p w14:paraId="737AA10F" w14:textId="77777777" w:rsidR="00C66370" w:rsidRPr="00C66370" w:rsidRDefault="00C66370" w:rsidP="00C66370">
            <w:pPr>
              <w:spacing w:after="0" w:line="276" w:lineRule="auto"/>
              <w:ind w:firstLine="736"/>
              <w:rPr>
                <w:rFonts w:ascii="Times New Roman" w:hAnsi="Times New Roman" w:cs="Times New Roman"/>
                <w:sz w:val="20"/>
                <w:szCs w:val="20"/>
              </w:rPr>
            </w:pPr>
            <w:r w:rsidRPr="00C66370">
              <w:rPr>
                <w:rFonts w:ascii="Times New Roman" w:hAnsi="Times New Roman" w:cs="Times New Roman"/>
                <w:sz w:val="20"/>
                <w:szCs w:val="20"/>
              </w:rPr>
              <w:t>A escolha proporciona maior autonomia operacional à Secretaria Municipal de Saúde, incorporação dos equipamentos ao patrimônio público e possibilidade de utilização durante toda a vida útil, sem a continuidade de pagamentos periódicos inerentes à locação. O mercado oferece modelos portáteis com bateria interna, recursos de transporte e funcionalidades compatíveis com o acompanhamento de pacientes em ambientes clínicos e durante deslocamentos, confirmando a viabilidade técnica da solução pretendida.</w:t>
            </w:r>
          </w:p>
          <w:p w14:paraId="4774A4C7" w14:textId="4E92A00A" w:rsidR="00BB47D9" w:rsidRPr="00BB47D9" w:rsidRDefault="00C66370" w:rsidP="00C66370">
            <w:pPr>
              <w:spacing w:after="0" w:line="276" w:lineRule="auto"/>
              <w:ind w:firstLine="736"/>
              <w:rPr>
                <w:rFonts w:ascii="Times New Roman" w:hAnsi="Times New Roman" w:cs="Times New Roman"/>
                <w:sz w:val="20"/>
                <w:szCs w:val="20"/>
              </w:rPr>
            </w:pPr>
            <w:r w:rsidRPr="00C66370">
              <w:rPr>
                <w:rFonts w:ascii="Times New Roman" w:hAnsi="Times New Roman" w:cs="Times New Roman"/>
                <w:sz w:val="20"/>
                <w:szCs w:val="20"/>
              </w:rPr>
              <w:t>Para a seleção do fornecedor, mostra-se adequada a realização de Pregão Eletrônico, por se tratar de bem comum cujas características podem ser objetivamente definidas por especificações usuais de mercado. A adoção do Sistema de Registro de Preços justifica-se pela possibilidade de aquisição parcelada do quantitativo máximo de 2 (duas) unidades durante a vigência da Ata, sendo uma destinada à necessidade imediata da Unidade Básica de Saúde e outra reservada para eventual aquisição posterior, conforme a evolução da necessidade assistencial e a disponibilidade de recursos</w:t>
            </w:r>
            <w:r>
              <w:rPr>
                <w:rFonts w:ascii="Times New Roman" w:hAnsi="Times New Roman" w:cs="Times New Roman"/>
                <w:sz w:val="20"/>
                <w:szCs w:val="20"/>
              </w:rPr>
              <w:t>.</w:t>
            </w:r>
          </w:p>
        </w:tc>
      </w:tr>
    </w:tbl>
    <w:p w14:paraId="62EB6836" w14:textId="77777777" w:rsidR="008F76F3" w:rsidRPr="00A00198" w:rsidRDefault="008F76F3" w:rsidP="00715CA4">
      <w:pPr>
        <w:spacing w:after="0" w:line="276" w:lineRule="auto"/>
        <w:rPr>
          <w:rFonts w:ascii="Times New Roman" w:eastAsia="Times New Roman" w:hAnsi="Times New Roman" w:cs="Times New Roman"/>
          <w:i/>
          <w:sz w:val="20"/>
          <w:szCs w:val="20"/>
          <w:lang w:eastAsia="pt-BR"/>
        </w:rPr>
      </w:pPr>
      <w:r w:rsidRPr="00A00198">
        <w:rPr>
          <w:rFonts w:ascii="Times New Roman" w:eastAsia="Times New Roman" w:hAnsi="Times New Roman" w:cs="Times New Roman"/>
          <w:i/>
          <w:sz w:val="20"/>
          <w:szCs w:val="20"/>
          <w:lang w:eastAsia="pt-BR"/>
        </w:rPr>
        <w:t xml:space="preserve"> </w:t>
      </w:r>
    </w:p>
    <w:tbl>
      <w:tblPr>
        <w:tblStyle w:val="Tabelacomgrade"/>
        <w:tblW w:w="9209" w:type="dxa"/>
        <w:tblLook w:val="04A0" w:firstRow="1" w:lastRow="0" w:firstColumn="1" w:lastColumn="0" w:noHBand="0" w:noVBand="1"/>
      </w:tblPr>
      <w:tblGrid>
        <w:gridCol w:w="9209"/>
      </w:tblGrid>
      <w:tr w:rsidR="008F76F3" w:rsidRPr="00A00198" w14:paraId="1EE56F1B" w14:textId="77777777" w:rsidTr="00C3667F">
        <w:tc>
          <w:tcPr>
            <w:tcW w:w="9209" w:type="dxa"/>
          </w:tcPr>
          <w:p w14:paraId="7C09CC09" w14:textId="187707BB" w:rsidR="008F76F3" w:rsidRPr="00A00198" w:rsidRDefault="008F76F3" w:rsidP="00715CA4">
            <w:pPr>
              <w:spacing w:after="0" w:line="276" w:lineRule="auto"/>
              <w:ind w:firstLine="0"/>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6 – ESTIMATIVA DO VALOR DA CONTRATAÇÃO</w:t>
            </w:r>
            <w:r w:rsidR="00FC4923">
              <w:rPr>
                <w:rFonts w:ascii="Times New Roman" w:eastAsia="Times New Roman" w:hAnsi="Times New Roman" w:cs="Times New Roman"/>
                <w:b/>
                <w:bCs/>
                <w:color w:val="000000"/>
                <w:sz w:val="20"/>
                <w:szCs w:val="20"/>
                <w:lang w:eastAsia="pt-BR"/>
              </w:rPr>
              <w:t>:</w:t>
            </w:r>
          </w:p>
        </w:tc>
      </w:tr>
      <w:tr w:rsidR="008F76F3" w:rsidRPr="00A00198" w14:paraId="64A3B4E9" w14:textId="77777777" w:rsidTr="00C3667F">
        <w:tc>
          <w:tcPr>
            <w:tcW w:w="9209" w:type="dxa"/>
            <w:shd w:val="clear" w:color="auto" w:fill="F2F2F2" w:themeFill="background1" w:themeFillShade="F2"/>
          </w:tcPr>
          <w:p w14:paraId="62E41FC5" w14:textId="40F0567C"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Estimativa do valor da contratação, acompanhada dos preços unitários referenciais, das memórias de cálculo e dos documentos que lhe dão suporte, que poderão constar de anexo classificado, se a administração optar por preservar o seu sigilo até a conclusão da licitação (inciso VI do § 1° da Lei 14.133/21)</w:t>
            </w:r>
            <w:r w:rsidR="00E776F1">
              <w:rPr>
                <w:rFonts w:ascii="Times New Roman" w:eastAsia="Times New Roman" w:hAnsi="Times New Roman" w:cs="Times New Roman"/>
                <w:color w:val="000000"/>
                <w:sz w:val="20"/>
                <w:szCs w:val="20"/>
                <w:lang w:eastAsia="pt-BR"/>
              </w:rPr>
              <w:t>:</w:t>
            </w:r>
          </w:p>
        </w:tc>
      </w:tr>
      <w:tr w:rsidR="008F76F3" w:rsidRPr="00A00198" w14:paraId="42BE0386" w14:textId="77777777" w:rsidTr="00C3667F">
        <w:tc>
          <w:tcPr>
            <w:tcW w:w="9209" w:type="dxa"/>
          </w:tcPr>
          <w:p w14:paraId="73F9ED16" w14:textId="32C314BE" w:rsidR="00C66370" w:rsidRPr="00C66370" w:rsidRDefault="00C66370" w:rsidP="00C66370">
            <w:pPr>
              <w:spacing w:after="0" w:line="276" w:lineRule="auto"/>
              <w:ind w:firstLine="597"/>
              <w:rPr>
                <w:rFonts w:ascii="Times New Roman" w:hAnsi="Times New Roman" w:cs="Times New Roman"/>
                <w:sz w:val="20"/>
                <w:szCs w:val="20"/>
              </w:rPr>
            </w:pPr>
            <w:r w:rsidRPr="00C66370">
              <w:rPr>
                <w:rFonts w:ascii="Times New Roman" w:hAnsi="Times New Roman" w:cs="Times New Roman"/>
                <w:sz w:val="20"/>
                <w:szCs w:val="20"/>
              </w:rPr>
              <w:t xml:space="preserve">Estima-se para a contratação o valor máximo total de R$ 17.706,00 (dezessete mil setecentos e seis reais), correspondente à eventual aquisição de até 2 (dois) monitores cardíacos </w:t>
            </w:r>
            <w:proofErr w:type="spellStart"/>
            <w:r w:rsidRPr="00C66370">
              <w:rPr>
                <w:rFonts w:ascii="Times New Roman" w:hAnsi="Times New Roman" w:cs="Times New Roman"/>
                <w:sz w:val="20"/>
                <w:szCs w:val="20"/>
              </w:rPr>
              <w:t>multiparamétricos</w:t>
            </w:r>
            <w:proofErr w:type="spellEnd"/>
            <w:r w:rsidRPr="00C66370">
              <w:rPr>
                <w:rFonts w:ascii="Times New Roman" w:hAnsi="Times New Roman" w:cs="Times New Roman"/>
                <w:sz w:val="20"/>
                <w:szCs w:val="20"/>
              </w:rPr>
              <w:t>, ao valor unitário estimado de R$ 8.853,00 (oito mil oitocentos e cinquenta e três reais). A memória de cálculo corresponde à multiplicação do valor unitário pelo quantitativo máximo registrado: 2 unidades × R$ 8.853,00 = R$ 17.706,00.</w:t>
            </w:r>
            <w:r>
              <w:rPr>
                <w:rFonts w:ascii="Times New Roman" w:hAnsi="Times New Roman" w:cs="Times New Roman"/>
                <w:sz w:val="20"/>
                <w:szCs w:val="20"/>
              </w:rPr>
              <w:t xml:space="preserve"> </w:t>
            </w:r>
            <w:r w:rsidRPr="00C66370">
              <w:rPr>
                <w:rFonts w:ascii="Times New Roman" w:hAnsi="Times New Roman" w:cs="Times New Roman"/>
                <w:sz w:val="20"/>
                <w:szCs w:val="20"/>
              </w:rPr>
              <w:t>O valor de referência foi obtido mediante pesquisa realizada na plataforma Banco de Preços, a partir de contratações públicas de objetos com características semelhantes, conforme relatório, memória de cálculo e documentos anexos a este Estudo Técnico Preliminar.</w:t>
            </w:r>
          </w:p>
          <w:p w14:paraId="56095070" w14:textId="77777777" w:rsidR="00C66370" w:rsidRPr="00C66370" w:rsidRDefault="00C66370" w:rsidP="00C66370">
            <w:pPr>
              <w:spacing w:after="0" w:line="276" w:lineRule="auto"/>
              <w:ind w:firstLine="597"/>
              <w:rPr>
                <w:rFonts w:ascii="Times New Roman" w:hAnsi="Times New Roman" w:cs="Times New Roman"/>
                <w:sz w:val="20"/>
                <w:szCs w:val="20"/>
              </w:rPr>
            </w:pPr>
            <w:r w:rsidRPr="00C66370">
              <w:rPr>
                <w:rFonts w:ascii="Times New Roman" w:hAnsi="Times New Roman" w:cs="Times New Roman"/>
                <w:sz w:val="20"/>
                <w:szCs w:val="20"/>
              </w:rPr>
              <w:t>A metodologia adotada encontra fundamento no art. 23, caput e § 1º, inciso II, da Lei Federal nº 14.133/2021, segundo o qual o valor previamente estimado deve ser compatível com os preços praticados no mercado, admitindo-se, para aquisição de bens e contratação de serviços em geral, a utilização de contratações similares realizadas por órgãos e entidades da Administração Pública, inclusive mediante Sistema de Registro de Preços, desde que estejam em execução ou tenham sido concluídas no período de até 1 (um) ano anterior à data da pesquisa.</w:t>
            </w:r>
          </w:p>
          <w:p w14:paraId="3E5FC4CF" w14:textId="77777777" w:rsidR="00C66370" w:rsidRPr="00C66370" w:rsidRDefault="00C66370" w:rsidP="00C66370">
            <w:pPr>
              <w:spacing w:after="0" w:line="276" w:lineRule="auto"/>
              <w:ind w:firstLine="597"/>
              <w:rPr>
                <w:rFonts w:ascii="Times New Roman" w:hAnsi="Times New Roman" w:cs="Times New Roman"/>
                <w:sz w:val="20"/>
                <w:szCs w:val="20"/>
              </w:rPr>
            </w:pPr>
            <w:r w:rsidRPr="00C66370">
              <w:rPr>
                <w:rFonts w:ascii="Times New Roman" w:hAnsi="Times New Roman" w:cs="Times New Roman"/>
                <w:sz w:val="20"/>
                <w:szCs w:val="20"/>
              </w:rPr>
              <w:t>Dessa forma, os preços obtidos em licitações e contratações promovidas por Municípios e por outras entidades governamentais constituem parâmetros legalmente admitidos para a formação do valor estimado, desde que os objetos comparados apresentem características, condições de fornecimento, quantitativos, acessórios e requisitos técnicos compatíveis com a contratação pretendida. A utilização dessas referências públicas contribui para a formação de uma cesta de preços representativa e para a verificação da compatibilidade do orçamento com os valores efetivamente praticados pela Administração Pública.</w:t>
            </w:r>
          </w:p>
          <w:p w14:paraId="514B1235" w14:textId="77777777" w:rsidR="00BD6B87" w:rsidRDefault="00C66370" w:rsidP="00566D7F">
            <w:pPr>
              <w:spacing w:after="0" w:line="276" w:lineRule="auto"/>
              <w:ind w:firstLine="597"/>
              <w:rPr>
                <w:rFonts w:ascii="Times New Roman" w:hAnsi="Times New Roman" w:cs="Times New Roman"/>
                <w:sz w:val="20"/>
                <w:szCs w:val="20"/>
              </w:rPr>
            </w:pPr>
            <w:r w:rsidRPr="00C66370">
              <w:rPr>
                <w:rFonts w:ascii="Times New Roman" w:hAnsi="Times New Roman" w:cs="Times New Roman"/>
                <w:sz w:val="20"/>
                <w:szCs w:val="20"/>
              </w:rPr>
              <w:t xml:space="preserve">A pesquisa realizada indica que o valor unitário estimado se mostra compatível com o mercado público para equipamentos de natureza semelhante, consideradas as especificações técnicas, os acessórios, a garantia e as demais condições de fornecimento exigidas. Os documentos utilizados como referência deverão integrar o processo administrativo, permitindo a identificação do órgão contratante, do objeto, do valor, da data e das condições da contratação. </w:t>
            </w:r>
          </w:p>
          <w:p w14:paraId="77604182" w14:textId="36F84003" w:rsidR="00CC7762" w:rsidRPr="00566D7F" w:rsidRDefault="00C66370" w:rsidP="00566D7F">
            <w:pPr>
              <w:spacing w:after="0" w:line="276" w:lineRule="auto"/>
              <w:ind w:firstLine="597"/>
              <w:rPr>
                <w:rFonts w:ascii="Times New Roman" w:hAnsi="Times New Roman" w:cs="Times New Roman"/>
                <w:sz w:val="20"/>
                <w:szCs w:val="20"/>
              </w:rPr>
            </w:pPr>
            <w:r w:rsidRPr="00C66370">
              <w:rPr>
                <w:rFonts w:ascii="Times New Roman" w:hAnsi="Times New Roman" w:cs="Times New Roman"/>
                <w:sz w:val="20"/>
                <w:szCs w:val="20"/>
              </w:rPr>
              <w:t>O orçamento estimado não será mantido em sigilo, por não terem sido identificadas circunstâncias que justifiquem a restrição de sua publicidade, sem prejuízo da busca pela proposta mais vantajosa durante o procedimento licitatório.</w:t>
            </w:r>
            <w:r w:rsidR="00566D7F">
              <w:rPr>
                <w:rFonts w:ascii="Times New Roman" w:hAnsi="Times New Roman" w:cs="Times New Roman"/>
                <w:sz w:val="20"/>
                <w:szCs w:val="20"/>
              </w:rPr>
              <w:t xml:space="preserve"> </w:t>
            </w:r>
            <w:r w:rsidRPr="00C66370">
              <w:rPr>
                <w:rFonts w:ascii="Times New Roman" w:hAnsi="Times New Roman" w:cs="Times New Roman"/>
                <w:sz w:val="20"/>
                <w:szCs w:val="20"/>
              </w:rPr>
              <w:t>O valor total estimado representa apenas o limite financeiro máximo correspondente ao quantitativo registrado. A existência da Ata de Registro de Preços não obrigará a Administração a adquirir as 2 (duas) unidades, sendo o valor efetivamente contratado e pago limitado aos equipamentos que forem solicitados, entregues e definitivamente recebidos.</w:t>
            </w:r>
          </w:p>
        </w:tc>
      </w:tr>
    </w:tbl>
    <w:p w14:paraId="0E9A09B8" w14:textId="77777777" w:rsidR="008F76F3" w:rsidRPr="00A00198" w:rsidRDefault="008F76F3" w:rsidP="00715CA4">
      <w:pPr>
        <w:spacing w:after="0" w:line="276" w:lineRule="auto"/>
        <w:rPr>
          <w:rFonts w:ascii="Times New Roman" w:hAnsi="Times New Roman" w:cs="Times New Roman"/>
          <w:b/>
          <w:sz w:val="20"/>
          <w:szCs w:val="20"/>
        </w:rPr>
      </w:pPr>
    </w:p>
    <w:tbl>
      <w:tblPr>
        <w:tblStyle w:val="Tabelacomgrade"/>
        <w:tblW w:w="9209" w:type="dxa"/>
        <w:tblLook w:val="04A0" w:firstRow="1" w:lastRow="0" w:firstColumn="1" w:lastColumn="0" w:noHBand="0" w:noVBand="1"/>
      </w:tblPr>
      <w:tblGrid>
        <w:gridCol w:w="9209"/>
      </w:tblGrid>
      <w:tr w:rsidR="008F76F3" w:rsidRPr="00A00198" w14:paraId="59783D2D" w14:textId="77777777" w:rsidTr="00C3667F">
        <w:tc>
          <w:tcPr>
            <w:tcW w:w="9209" w:type="dxa"/>
          </w:tcPr>
          <w:p w14:paraId="467389BF" w14:textId="5A123A8F" w:rsidR="008F76F3" w:rsidRPr="00A00198" w:rsidRDefault="008F76F3" w:rsidP="00715CA4">
            <w:pPr>
              <w:spacing w:after="0" w:line="276" w:lineRule="auto"/>
              <w:ind w:firstLine="0"/>
              <w:rPr>
                <w:rFonts w:ascii="Times New Roman" w:hAnsi="Times New Roman" w:cs="Times New Roman"/>
                <w:b/>
                <w:bCs/>
                <w:sz w:val="20"/>
                <w:szCs w:val="20"/>
              </w:rPr>
            </w:pPr>
            <w:r w:rsidRPr="00A00198">
              <w:rPr>
                <w:rFonts w:ascii="Times New Roman" w:hAnsi="Times New Roman" w:cs="Times New Roman"/>
                <w:b/>
                <w:bCs/>
                <w:sz w:val="20"/>
                <w:szCs w:val="20"/>
              </w:rPr>
              <w:t xml:space="preserve">7 </w:t>
            </w:r>
            <w:r w:rsidR="00D36563">
              <w:rPr>
                <w:rFonts w:ascii="Times New Roman" w:hAnsi="Times New Roman" w:cs="Times New Roman"/>
                <w:b/>
                <w:bCs/>
                <w:sz w:val="20"/>
                <w:szCs w:val="20"/>
              </w:rPr>
              <w:t>–</w:t>
            </w:r>
            <w:r w:rsidRPr="00A00198">
              <w:rPr>
                <w:rFonts w:ascii="Times New Roman" w:hAnsi="Times New Roman" w:cs="Times New Roman"/>
                <w:b/>
                <w:bCs/>
                <w:sz w:val="20"/>
                <w:szCs w:val="20"/>
              </w:rPr>
              <w:t xml:space="preserve"> DESCRIÇÃO DA SOLUÇÃO COMO UM TODO</w:t>
            </w:r>
            <w:r w:rsidR="00FC4923">
              <w:rPr>
                <w:rFonts w:ascii="Times New Roman" w:hAnsi="Times New Roman" w:cs="Times New Roman"/>
                <w:b/>
                <w:bCs/>
                <w:sz w:val="20"/>
                <w:szCs w:val="20"/>
              </w:rPr>
              <w:t>:</w:t>
            </w:r>
          </w:p>
        </w:tc>
      </w:tr>
      <w:tr w:rsidR="008F76F3" w:rsidRPr="00A00198" w14:paraId="629A6FF1" w14:textId="77777777" w:rsidTr="00C3667F">
        <w:tc>
          <w:tcPr>
            <w:tcW w:w="9209" w:type="dxa"/>
            <w:shd w:val="clear" w:color="auto" w:fill="F2F2F2" w:themeFill="background1" w:themeFillShade="F2"/>
          </w:tcPr>
          <w:p w14:paraId="74CFCA8D" w14:textId="304DD61F"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Descrição da solução como um todo, inclusive das exigências relacionadas à manutenção e à assistência técnica, quando for o caso (inciso VII do § 1° do art. 18 da Lei 14.133/21)</w:t>
            </w:r>
            <w:r w:rsidR="00E776F1">
              <w:rPr>
                <w:rFonts w:ascii="Times New Roman" w:eastAsia="Times New Roman" w:hAnsi="Times New Roman" w:cs="Times New Roman"/>
                <w:color w:val="000000"/>
                <w:sz w:val="20"/>
                <w:szCs w:val="20"/>
                <w:lang w:eastAsia="pt-BR"/>
              </w:rPr>
              <w:t>:</w:t>
            </w:r>
          </w:p>
        </w:tc>
      </w:tr>
      <w:tr w:rsidR="008F76F3" w:rsidRPr="00A00198" w14:paraId="03FF8AC2" w14:textId="77777777" w:rsidTr="00566D7F">
        <w:trPr>
          <w:trHeight w:val="53"/>
        </w:trPr>
        <w:tc>
          <w:tcPr>
            <w:tcW w:w="9209" w:type="dxa"/>
          </w:tcPr>
          <w:p w14:paraId="2474ECE1" w14:textId="77777777" w:rsidR="00BD6B87" w:rsidRPr="00BD6B87" w:rsidRDefault="00BD6B87" w:rsidP="00BD6B87">
            <w:pPr>
              <w:spacing w:after="0" w:line="276" w:lineRule="auto"/>
              <w:ind w:firstLine="596"/>
              <w:rPr>
                <w:rFonts w:ascii="Times New Roman" w:hAnsi="Times New Roman" w:cs="Times New Roman"/>
                <w:sz w:val="20"/>
                <w:szCs w:val="20"/>
              </w:rPr>
            </w:pPr>
            <w:r w:rsidRPr="00BD6B87">
              <w:rPr>
                <w:rFonts w:ascii="Times New Roman" w:hAnsi="Times New Roman" w:cs="Times New Roman"/>
                <w:sz w:val="20"/>
                <w:szCs w:val="20"/>
              </w:rPr>
              <w:t xml:space="preserve">A solução consiste na eventual aquisição de até 2 (dois) monitores cardíacos </w:t>
            </w:r>
            <w:proofErr w:type="spellStart"/>
            <w:r w:rsidRPr="00BD6B87">
              <w:rPr>
                <w:rFonts w:ascii="Times New Roman" w:hAnsi="Times New Roman" w:cs="Times New Roman"/>
                <w:sz w:val="20"/>
                <w:szCs w:val="20"/>
              </w:rPr>
              <w:t>multiparamétricos</w:t>
            </w:r>
            <w:proofErr w:type="spellEnd"/>
            <w:r w:rsidRPr="00BD6B87">
              <w:rPr>
                <w:rFonts w:ascii="Times New Roman" w:hAnsi="Times New Roman" w:cs="Times New Roman"/>
                <w:sz w:val="20"/>
                <w:szCs w:val="20"/>
              </w:rPr>
              <w:t>, novos e de primeiro uso, destinados ao acompanhamento contínuo dos sinais vitais dos pacientes atendidos pela Secretaria Municipal de Saúde, Assistência Social e Habitação. Encontra-se planejada a aquisição inicial de uma unidade para utilização prioritária na Unidade Básica de Saúde, permanecendo a segunda registrada para possível aquisição posterior, inclusive para utilização na ambulância municipal durante atendimentos, remoções ou transportes de urgência e emergência.</w:t>
            </w:r>
          </w:p>
          <w:p w14:paraId="34B02EEF" w14:textId="77777777" w:rsidR="00BD6B87" w:rsidRPr="00BD6B87" w:rsidRDefault="00BD6B87" w:rsidP="00BD6B87">
            <w:pPr>
              <w:spacing w:after="0" w:line="276" w:lineRule="auto"/>
              <w:ind w:firstLine="596"/>
              <w:rPr>
                <w:rFonts w:ascii="Times New Roman" w:hAnsi="Times New Roman" w:cs="Times New Roman"/>
                <w:sz w:val="20"/>
                <w:szCs w:val="20"/>
              </w:rPr>
            </w:pPr>
            <w:r w:rsidRPr="00BD6B87">
              <w:rPr>
                <w:rFonts w:ascii="Times New Roman" w:hAnsi="Times New Roman" w:cs="Times New Roman"/>
                <w:sz w:val="20"/>
                <w:szCs w:val="20"/>
              </w:rPr>
              <w:t>A seleção do fornecedor será realizada mediante Pregão Eletrônico, com adoção do Sistema de Registro de Preços. As unidades poderão ser adquiridas em momentos distintos, conforme a necessidade administrativa e a disponibilidade orçamentária e financeira, mediante emissão da respectiva Nota de Empenho e Ordem de Compra, sem obrigação de aquisição integral do quantitativo registrado.</w:t>
            </w:r>
          </w:p>
          <w:p w14:paraId="66054D54" w14:textId="77777777" w:rsidR="00BD6B87" w:rsidRPr="00BD6B87" w:rsidRDefault="00BD6B87" w:rsidP="00BD6B87">
            <w:pPr>
              <w:spacing w:after="0" w:line="276" w:lineRule="auto"/>
              <w:ind w:firstLine="596"/>
              <w:rPr>
                <w:rFonts w:ascii="Times New Roman" w:hAnsi="Times New Roman" w:cs="Times New Roman"/>
                <w:sz w:val="20"/>
                <w:szCs w:val="20"/>
              </w:rPr>
            </w:pPr>
            <w:r w:rsidRPr="00BD6B87">
              <w:rPr>
                <w:rFonts w:ascii="Times New Roman" w:hAnsi="Times New Roman" w:cs="Times New Roman"/>
                <w:sz w:val="20"/>
                <w:szCs w:val="20"/>
              </w:rPr>
              <w:t>Cada monitor deverá possuir características de portabilidade, segurança e estabilidade operacional compatíveis com o uso em ambiente clínico e durante o transporte assistido de pacientes. O fornecimento deverá compreender o equipamento completo, acompanhado de cabos, sensores, bateria, fonte de alimentação, acessórios, manuais em língua portuguesa e demais componentes necessários ao seu funcionamento, incluindo transporte, entrega, configuração inicial, testes operacionais e orientação aos profissionais indicados pela Administração.</w:t>
            </w:r>
          </w:p>
          <w:p w14:paraId="74748CCB" w14:textId="77777777" w:rsidR="00BD6B87" w:rsidRPr="00BD6B87" w:rsidRDefault="00BD6B87" w:rsidP="00BD6B87">
            <w:pPr>
              <w:spacing w:after="0" w:line="276" w:lineRule="auto"/>
              <w:ind w:firstLine="596"/>
              <w:rPr>
                <w:rFonts w:ascii="Times New Roman" w:hAnsi="Times New Roman" w:cs="Times New Roman"/>
                <w:sz w:val="20"/>
                <w:szCs w:val="20"/>
              </w:rPr>
            </w:pPr>
            <w:r w:rsidRPr="00BD6B87">
              <w:rPr>
                <w:rFonts w:ascii="Times New Roman" w:hAnsi="Times New Roman" w:cs="Times New Roman"/>
                <w:sz w:val="20"/>
                <w:szCs w:val="20"/>
              </w:rPr>
              <w:t>Os equipamentos deverão possuir regularização sanitária válida perante a Agência Nacional de Vigilância Sanitária – Anvisa e atender às normas técnicas aplicáveis aos equipamentos eletromédicos. A contratada deverá assegurar garantia mínima de 12 (doze) meses, contada do recebimento definitivo de cada unidade, abrangendo mão de obra, reparos, peças, componentes, acessórios e, quando necessário, a substituição do equipamento, sem custos adicionais. A assistência técnica poderá ser prestada pela própria contratada ou por rede autorizada localizada no Estado do Rio Grande do Sul, ou mediante estrutura com capacidade logística equivalente para cumprir os prazos estabelecidos.</w:t>
            </w:r>
          </w:p>
          <w:p w14:paraId="364A3C8F" w14:textId="77777777" w:rsidR="00BD6B87" w:rsidRPr="00BD6B87" w:rsidRDefault="00BD6B87" w:rsidP="00BD6B87">
            <w:pPr>
              <w:spacing w:after="0" w:line="276" w:lineRule="auto"/>
              <w:ind w:firstLine="596"/>
              <w:rPr>
                <w:rFonts w:ascii="Times New Roman" w:hAnsi="Times New Roman" w:cs="Times New Roman"/>
                <w:sz w:val="20"/>
                <w:szCs w:val="20"/>
              </w:rPr>
            </w:pPr>
            <w:r w:rsidRPr="00BD6B87">
              <w:rPr>
                <w:rFonts w:ascii="Times New Roman" w:hAnsi="Times New Roman" w:cs="Times New Roman"/>
                <w:sz w:val="20"/>
                <w:szCs w:val="20"/>
              </w:rPr>
              <w:t>O recebimento provisório compreenderá a conferência da embalagem, da identificação, da quantidade, dos acessórios e da documentação. O recebimento definitivo dependerá da comprovação da conformidade técnica e sanitária, da realização dos testes e da entrega de todos os componentes e documentos exigidos, sem prejuízo da responsabilidade por vícios ocultos. A gestão e a fiscalização serão exercidas por servidores formalmente designados, responsáveis pelo acompanhamento da entrega, pelo registro das ocorrências e pela exigência de correções ou substituições.</w:t>
            </w:r>
          </w:p>
          <w:p w14:paraId="7EF1CB5E" w14:textId="1991360A" w:rsidR="00BD6B87" w:rsidRDefault="00BD6B87" w:rsidP="00BD6B87">
            <w:pPr>
              <w:spacing w:after="0" w:line="276" w:lineRule="auto"/>
              <w:ind w:firstLine="596"/>
              <w:rPr>
                <w:rFonts w:ascii="Times New Roman" w:hAnsi="Times New Roman" w:cs="Times New Roman"/>
                <w:sz w:val="20"/>
                <w:szCs w:val="20"/>
              </w:rPr>
            </w:pPr>
            <w:r w:rsidRPr="00BD6B87">
              <w:rPr>
                <w:rFonts w:ascii="Times New Roman" w:hAnsi="Times New Roman" w:cs="Times New Roman"/>
                <w:sz w:val="20"/>
                <w:szCs w:val="20"/>
              </w:rPr>
              <w:t xml:space="preserve">Os principais riscos da contratação estão relacionados à entrega de equipamento incompatível com as especificações, atraso no fornecimento, ausência de acessórios indispensáveis, falhas de funcionamento, insuficiência da bateria, indisponibilidade de assistência técnica e demora no atendimento durante a garantia. Tais riscos deverão ser mitigados mediante especificações objetivas, análise da documentação técnica, testes de funcionamento, recebimento condicionado à conformidade integral, exigência de garantia e assistência técnica, definição de prazos para reparo ou substituição e acompanhamento permanente pela gestão e pela fiscalização. </w:t>
            </w:r>
          </w:p>
          <w:p w14:paraId="59C55FF8" w14:textId="0604BDCB" w:rsidR="008F76F3" w:rsidRPr="00E9194F" w:rsidRDefault="00BD6B87" w:rsidP="00BD6B87">
            <w:pPr>
              <w:spacing w:after="0" w:line="276" w:lineRule="auto"/>
              <w:ind w:firstLine="596"/>
              <w:rPr>
                <w:rFonts w:ascii="Times New Roman" w:hAnsi="Times New Roman" w:cs="Times New Roman"/>
                <w:sz w:val="20"/>
                <w:szCs w:val="20"/>
              </w:rPr>
            </w:pPr>
            <w:r w:rsidRPr="00BD6B87">
              <w:rPr>
                <w:rFonts w:ascii="Times New Roman" w:hAnsi="Times New Roman" w:cs="Times New Roman"/>
                <w:sz w:val="20"/>
                <w:szCs w:val="20"/>
              </w:rPr>
              <w:t>Assim estruturada, a solução mostra-se adequada, proporcional e suficiente para atender à necessidade identificada, contribuindo para a segurança dos pacientes, a qualificação dos atendimentos de urgência e emergência e a efetiva tutela do interesse público.</w:t>
            </w:r>
          </w:p>
        </w:tc>
      </w:tr>
    </w:tbl>
    <w:p w14:paraId="7D7AE9E6" w14:textId="77777777" w:rsidR="008F76F3" w:rsidRPr="00A00198" w:rsidRDefault="008F76F3" w:rsidP="00715CA4">
      <w:pPr>
        <w:spacing w:after="0" w:line="276" w:lineRule="auto"/>
        <w:rPr>
          <w:rFonts w:ascii="Times New Roman" w:hAnsi="Times New Roman" w:cs="Times New Roman"/>
          <w:b/>
          <w:sz w:val="20"/>
          <w:szCs w:val="20"/>
        </w:rPr>
      </w:pPr>
    </w:p>
    <w:tbl>
      <w:tblPr>
        <w:tblStyle w:val="Tabelacomgrade"/>
        <w:tblW w:w="9209" w:type="dxa"/>
        <w:tblLook w:val="04A0" w:firstRow="1" w:lastRow="0" w:firstColumn="1" w:lastColumn="0" w:noHBand="0" w:noVBand="1"/>
      </w:tblPr>
      <w:tblGrid>
        <w:gridCol w:w="9209"/>
      </w:tblGrid>
      <w:tr w:rsidR="008F76F3" w:rsidRPr="00A00198" w14:paraId="1EC6909D" w14:textId="77777777" w:rsidTr="00C3667F">
        <w:tc>
          <w:tcPr>
            <w:tcW w:w="9209" w:type="dxa"/>
          </w:tcPr>
          <w:p w14:paraId="6F6C09F3" w14:textId="1856C08C" w:rsidR="008F76F3" w:rsidRPr="00A00198" w:rsidRDefault="008F76F3" w:rsidP="00715CA4">
            <w:pPr>
              <w:spacing w:after="0" w:line="276" w:lineRule="auto"/>
              <w:ind w:firstLine="0"/>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8 – JUSTIFICATIVA PARA PARCELAMENTO</w:t>
            </w:r>
            <w:r w:rsidR="00FC4923">
              <w:rPr>
                <w:rFonts w:ascii="Times New Roman" w:eastAsia="Times New Roman" w:hAnsi="Times New Roman" w:cs="Times New Roman"/>
                <w:b/>
                <w:bCs/>
                <w:color w:val="000000"/>
                <w:sz w:val="20"/>
                <w:szCs w:val="20"/>
                <w:lang w:eastAsia="pt-BR"/>
              </w:rPr>
              <w:t>:</w:t>
            </w:r>
          </w:p>
        </w:tc>
      </w:tr>
      <w:tr w:rsidR="008F76F3" w:rsidRPr="00A00198" w14:paraId="09D7985E" w14:textId="77777777" w:rsidTr="00C3667F">
        <w:tc>
          <w:tcPr>
            <w:tcW w:w="9209" w:type="dxa"/>
            <w:shd w:val="clear" w:color="auto" w:fill="F2F2F2" w:themeFill="background1" w:themeFillShade="F2"/>
          </w:tcPr>
          <w:p w14:paraId="42A688B6" w14:textId="0B3D3D77"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Justificativas para o parcelamento ou não da contratação (inciso VIII do § 1° do art. 18 da Lei 14.133/21)</w:t>
            </w:r>
            <w:r w:rsidR="00E776F1">
              <w:rPr>
                <w:rFonts w:ascii="Times New Roman" w:eastAsia="Times New Roman" w:hAnsi="Times New Roman" w:cs="Times New Roman"/>
                <w:color w:val="000000"/>
                <w:sz w:val="20"/>
                <w:szCs w:val="20"/>
                <w:lang w:eastAsia="pt-BR"/>
              </w:rPr>
              <w:t>:</w:t>
            </w:r>
          </w:p>
        </w:tc>
      </w:tr>
      <w:tr w:rsidR="008F76F3" w:rsidRPr="00A00198" w14:paraId="3E75C34B" w14:textId="77777777" w:rsidTr="00646BC8">
        <w:trPr>
          <w:trHeight w:val="43"/>
        </w:trPr>
        <w:tc>
          <w:tcPr>
            <w:tcW w:w="9209" w:type="dxa"/>
          </w:tcPr>
          <w:p w14:paraId="734D168B" w14:textId="77777777" w:rsidR="00C66370" w:rsidRPr="00C66370" w:rsidRDefault="00C66370" w:rsidP="00C66370">
            <w:pPr>
              <w:spacing w:after="0" w:line="276" w:lineRule="auto"/>
              <w:ind w:firstLine="593"/>
              <w:rPr>
                <w:rFonts w:ascii="Times New Roman" w:hAnsi="Times New Roman" w:cs="Times New Roman"/>
                <w:sz w:val="20"/>
                <w:szCs w:val="20"/>
              </w:rPr>
            </w:pPr>
            <w:r w:rsidRPr="00C66370">
              <w:rPr>
                <w:rFonts w:ascii="Times New Roman" w:hAnsi="Times New Roman" w:cs="Times New Roman"/>
                <w:sz w:val="20"/>
                <w:szCs w:val="20"/>
              </w:rPr>
              <w:t>Nos termos do art. 40, § 2º, da Lei Federal nº 14.133/2021, a aplicação do princípio do parcelamento nas compras deverá considerar a viabilidade da divisão do objeto, o aproveitamento das particularidades do mercado, a ampliação da competição e a necessidade de evitar a concentração de mercado. Por outro lado, conforme o § 3º do mesmo artigo, o parcelamento não deverá ser adotado quando a economia de escala, a redução dos custos de gestão ou a maior vantagem para a Administração recomendarem a contratação conjunta dos elementos que compõem a solução.</w:t>
            </w:r>
          </w:p>
          <w:p w14:paraId="5486079B" w14:textId="554296F9" w:rsidR="00C66370" w:rsidRPr="00C66370" w:rsidRDefault="00C66370" w:rsidP="00C66370">
            <w:pPr>
              <w:spacing w:after="0" w:line="276" w:lineRule="auto"/>
              <w:ind w:firstLine="593"/>
              <w:rPr>
                <w:rFonts w:ascii="Times New Roman" w:hAnsi="Times New Roman" w:cs="Times New Roman"/>
                <w:sz w:val="20"/>
                <w:szCs w:val="20"/>
              </w:rPr>
            </w:pPr>
            <w:r w:rsidRPr="00C66370">
              <w:rPr>
                <w:rFonts w:ascii="Times New Roman" w:hAnsi="Times New Roman" w:cs="Times New Roman"/>
                <w:sz w:val="20"/>
                <w:szCs w:val="20"/>
              </w:rPr>
              <w:t xml:space="preserve">No presente caso, </w:t>
            </w:r>
            <w:r w:rsidRPr="00C75072">
              <w:rPr>
                <w:rFonts w:ascii="Times New Roman" w:hAnsi="Times New Roman" w:cs="Times New Roman"/>
                <w:b/>
                <w:bCs/>
                <w:sz w:val="20"/>
                <w:szCs w:val="20"/>
              </w:rPr>
              <w:t>será adotado o parcelamento da contratação em item único</w:t>
            </w:r>
            <w:r w:rsidRPr="00C66370">
              <w:rPr>
                <w:rFonts w:ascii="Times New Roman" w:hAnsi="Times New Roman" w:cs="Times New Roman"/>
                <w:sz w:val="20"/>
                <w:szCs w:val="20"/>
              </w:rPr>
              <w:t xml:space="preserve">, com quantitativo máximo de 2 (duas) unidades de monitores cardíacos </w:t>
            </w:r>
            <w:proofErr w:type="spellStart"/>
            <w:r w:rsidRPr="00C66370">
              <w:rPr>
                <w:rFonts w:ascii="Times New Roman" w:hAnsi="Times New Roman" w:cs="Times New Roman"/>
                <w:sz w:val="20"/>
                <w:szCs w:val="20"/>
              </w:rPr>
              <w:t>multiparamétricos</w:t>
            </w:r>
            <w:proofErr w:type="spellEnd"/>
            <w:r w:rsidRPr="00C66370">
              <w:rPr>
                <w:rFonts w:ascii="Times New Roman" w:hAnsi="Times New Roman" w:cs="Times New Roman"/>
                <w:sz w:val="20"/>
                <w:szCs w:val="20"/>
              </w:rPr>
              <w:t xml:space="preserve"> completos e de especificações idênticas. A primeira unidade destina-se ao atendimento da necessidade imediata da Unidade Básica de Saúde, enquanto a segunda permanecerá registrada para eventual aquisição posterior, caso seja demonstrada necessidade assistencial adicional durante a vigência da Ata de Registro de Preços.</w:t>
            </w:r>
            <w:r w:rsidR="00566D7F">
              <w:rPr>
                <w:rFonts w:ascii="Times New Roman" w:hAnsi="Times New Roman" w:cs="Times New Roman"/>
                <w:sz w:val="20"/>
                <w:szCs w:val="20"/>
              </w:rPr>
              <w:t xml:space="preserve"> </w:t>
            </w:r>
            <w:r w:rsidRPr="00C66370">
              <w:rPr>
                <w:rFonts w:ascii="Times New Roman" w:hAnsi="Times New Roman" w:cs="Times New Roman"/>
                <w:sz w:val="20"/>
                <w:szCs w:val="20"/>
              </w:rPr>
              <w:t>As aquisições poderão ocorrer de forma conjunta ou parcelada, mediante uma ou mais Ordens de Compra, podendo cada solicitação abranger 1 (uma) ou 2 (duas) unidades, observado o quantitativo máximo registrado. A existência da Ata de Registro de Preços não obrigará a Administração a adquirir integralmente as duas unidades, ficando cada aquisição condicionada à permanência da necessidade, à conveniência administrativa e à disponibilidade orçamentária e financeira.</w:t>
            </w:r>
          </w:p>
          <w:p w14:paraId="5A6153ED" w14:textId="0F8DAA8F" w:rsidR="00C66370" w:rsidRPr="00C66370" w:rsidRDefault="00C66370" w:rsidP="00C66370">
            <w:pPr>
              <w:spacing w:after="0" w:line="276" w:lineRule="auto"/>
              <w:ind w:firstLine="593"/>
              <w:rPr>
                <w:rFonts w:ascii="Times New Roman" w:hAnsi="Times New Roman" w:cs="Times New Roman"/>
                <w:sz w:val="20"/>
                <w:szCs w:val="20"/>
              </w:rPr>
            </w:pPr>
            <w:r w:rsidRPr="00C66370">
              <w:rPr>
                <w:rFonts w:ascii="Times New Roman" w:hAnsi="Times New Roman" w:cs="Times New Roman"/>
                <w:sz w:val="20"/>
                <w:szCs w:val="20"/>
              </w:rPr>
              <w:t>Cada monitor solicitado deverá ser entregue como solução completa, acompanhado de cabos, sensores, bateria, fonte de alimentação, manuais, acessórios e demais componentes indispensáveis ao funcionamento das funcionalidades exigidas. Não será admitido o fracionamento físico de cada equipamento nem a entrega incompleta dos respectivos componentes essenciais.</w:t>
            </w:r>
            <w:r>
              <w:rPr>
                <w:rFonts w:ascii="Times New Roman" w:hAnsi="Times New Roman" w:cs="Times New Roman"/>
                <w:sz w:val="20"/>
                <w:szCs w:val="20"/>
              </w:rPr>
              <w:t xml:space="preserve"> </w:t>
            </w:r>
            <w:r w:rsidRPr="00C66370">
              <w:rPr>
                <w:rFonts w:ascii="Times New Roman" w:hAnsi="Times New Roman" w:cs="Times New Roman"/>
                <w:sz w:val="20"/>
                <w:szCs w:val="20"/>
              </w:rPr>
              <w:t>A subdivisão do equipamento e de seus acessórios em itens distintos não se mostra técnica ou economicamente vantajosa, pois poderá resultar na aquisição de componentes incompatíveis, dificultar a identificação das responsabilidades por falhas e comprometer o adequado funcionamento da solução. Também poderá elevar os custos de gestão, recebimento e fiscalização, além de fragmentar entre diferentes fornecedores as obrigações relacionadas à garantia e à assistência técnica.</w:t>
            </w:r>
          </w:p>
          <w:p w14:paraId="2EFD175B" w14:textId="0C1E4098" w:rsidR="00646BC8" w:rsidRPr="00646BC8" w:rsidRDefault="00C66370" w:rsidP="00566D7F">
            <w:pPr>
              <w:spacing w:after="0" w:line="276" w:lineRule="auto"/>
              <w:ind w:firstLine="593"/>
              <w:rPr>
                <w:rFonts w:ascii="Times New Roman" w:hAnsi="Times New Roman" w:cs="Times New Roman"/>
                <w:sz w:val="20"/>
                <w:szCs w:val="20"/>
              </w:rPr>
            </w:pPr>
            <w:r w:rsidRPr="00C66370">
              <w:rPr>
                <w:rFonts w:ascii="Times New Roman" w:hAnsi="Times New Roman" w:cs="Times New Roman"/>
                <w:sz w:val="20"/>
                <w:szCs w:val="20"/>
              </w:rPr>
              <w:t>Dessa forma, o parcelamento quantitativo e temporal do fornecimento, mantida a estruturação em item único, mostra-se adequado à natureza da contratação, pois possibilita a aquisição das unidades em momentos distintos, preserva a compatibilidade dos componentes, concentra a responsabilidade da contratada e assegura maior eficiência na execução da garantia, da assistência técnica, da gestão e da fiscalização.</w:t>
            </w:r>
          </w:p>
        </w:tc>
      </w:tr>
    </w:tbl>
    <w:p w14:paraId="46D1E7CB" w14:textId="77777777" w:rsidR="008F76F3" w:rsidRPr="00A00198" w:rsidRDefault="008F76F3" w:rsidP="00715CA4">
      <w:pPr>
        <w:spacing w:after="0" w:line="276" w:lineRule="auto"/>
        <w:rPr>
          <w:rFonts w:ascii="Times New Roman" w:hAnsi="Times New Roman" w:cs="Times New Roman"/>
          <w:b/>
          <w:bCs/>
          <w:sz w:val="20"/>
          <w:szCs w:val="20"/>
        </w:rPr>
      </w:pPr>
    </w:p>
    <w:tbl>
      <w:tblPr>
        <w:tblStyle w:val="Tabelacomgrade"/>
        <w:tblW w:w="9209" w:type="dxa"/>
        <w:tblLook w:val="04A0" w:firstRow="1" w:lastRow="0" w:firstColumn="1" w:lastColumn="0" w:noHBand="0" w:noVBand="1"/>
      </w:tblPr>
      <w:tblGrid>
        <w:gridCol w:w="9209"/>
      </w:tblGrid>
      <w:tr w:rsidR="008F76F3" w:rsidRPr="00A00198" w14:paraId="4EBDFB55" w14:textId="77777777" w:rsidTr="00C3667F">
        <w:tc>
          <w:tcPr>
            <w:tcW w:w="9209" w:type="dxa"/>
          </w:tcPr>
          <w:p w14:paraId="7DB61E86" w14:textId="35701549" w:rsidR="008F76F3" w:rsidRPr="00A00198" w:rsidRDefault="008F76F3" w:rsidP="00715CA4">
            <w:pPr>
              <w:spacing w:after="0" w:line="276" w:lineRule="auto"/>
              <w:ind w:firstLine="0"/>
              <w:rPr>
                <w:rFonts w:ascii="Times New Roman" w:hAnsi="Times New Roman" w:cs="Times New Roman"/>
                <w:b/>
                <w:sz w:val="20"/>
                <w:szCs w:val="20"/>
              </w:rPr>
            </w:pPr>
            <w:r w:rsidRPr="00A00198">
              <w:rPr>
                <w:rFonts w:ascii="Times New Roman" w:hAnsi="Times New Roman" w:cs="Times New Roman"/>
                <w:b/>
                <w:sz w:val="20"/>
                <w:szCs w:val="20"/>
              </w:rPr>
              <w:t>9 - DEMONSTRATIVO DOS RESULTADOS PRETENDIDOS</w:t>
            </w:r>
            <w:r w:rsidR="00FC4923">
              <w:rPr>
                <w:rFonts w:ascii="Times New Roman" w:hAnsi="Times New Roman" w:cs="Times New Roman"/>
                <w:b/>
                <w:sz w:val="20"/>
                <w:szCs w:val="20"/>
              </w:rPr>
              <w:t>:</w:t>
            </w:r>
          </w:p>
        </w:tc>
      </w:tr>
      <w:tr w:rsidR="008F76F3" w:rsidRPr="00A00198" w14:paraId="197EBD89" w14:textId="77777777" w:rsidTr="00C3667F">
        <w:tc>
          <w:tcPr>
            <w:tcW w:w="9209" w:type="dxa"/>
            <w:shd w:val="clear" w:color="auto" w:fill="F2F2F2" w:themeFill="background1" w:themeFillShade="F2"/>
          </w:tcPr>
          <w:p w14:paraId="695FC112" w14:textId="08A850CC"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hAnsi="Times New Roman" w:cs="Times New Roman"/>
                <w:sz w:val="20"/>
                <w:szCs w:val="20"/>
              </w:rPr>
              <w:t>Demonstrativo dos resultados pretendidos em termos de economicidade e de melhor aproveitamento dos recursos humanos, materiais e financeiros disponíveis (</w:t>
            </w:r>
            <w:r w:rsidRPr="00A00198">
              <w:rPr>
                <w:rFonts w:ascii="Times New Roman" w:eastAsia="Times New Roman" w:hAnsi="Times New Roman" w:cs="Times New Roman"/>
                <w:color w:val="000000"/>
                <w:sz w:val="20"/>
                <w:szCs w:val="20"/>
                <w:lang w:eastAsia="pt-BR"/>
              </w:rPr>
              <w:t>inciso IX do § 1° do art. 18 da Lei 14.133/21)</w:t>
            </w:r>
            <w:r w:rsidR="00E776F1">
              <w:rPr>
                <w:rFonts w:ascii="Times New Roman" w:eastAsia="Times New Roman" w:hAnsi="Times New Roman" w:cs="Times New Roman"/>
                <w:color w:val="000000"/>
                <w:sz w:val="20"/>
                <w:szCs w:val="20"/>
                <w:lang w:eastAsia="pt-BR"/>
              </w:rPr>
              <w:t>:</w:t>
            </w:r>
          </w:p>
        </w:tc>
      </w:tr>
      <w:tr w:rsidR="008F76F3" w:rsidRPr="00A00198" w14:paraId="01B06BA0" w14:textId="77777777" w:rsidTr="00C3667F">
        <w:tc>
          <w:tcPr>
            <w:tcW w:w="9209" w:type="dxa"/>
          </w:tcPr>
          <w:p w14:paraId="7E305F3C" w14:textId="77777777" w:rsidR="008045C9" w:rsidRPr="008045C9" w:rsidRDefault="008045C9" w:rsidP="008045C9">
            <w:pPr>
              <w:spacing w:after="0" w:line="276" w:lineRule="auto"/>
              <w:ind w:firstLine="597"/>
              <w:rPr>
                <w:rFonts w:ascii="Times New Roman" w:hAnsi="Times New Roman" w:cs="Times New Roman"/>
                <w:sz w:val="20"/>
                <w:szCs w:val="20"/>
              </w:rPr>
            </w:pPr>
            <w:r w:rsidRPr="008045C9">
              <w:rPr>
                <w:rFonts w:ascii="Times New Roman" w:hAnsi="Times New Roman" w:cs="Times New Roman"/>
                <w:sz w:val="20"/>
                <w:szCs w:val="20"/>
              </w:rPr>
              <w:t xml:space="preserve">A aquisição dos monitores cardíacos </w:t>
            </w:r>
            <w:proofErr w:type="spellStart"/>
            <w:r w:rsidRPr="008045C9">
              <w:rPr>
                <w:rFonts w:ascii="Times New Roman" w:hAnsi="Times New Roman" w:cs="Times New Roman"/>
                <w:sz w:val="20"/>
                <w:szCs w:val="20"/>
              </w:rPr>
              <w:t>multiparamétricos</w:t>
            </w:r>
            <w:proofErr w:type="spellEnd"/>
            <w:r w:rsidRPr="008045C9">
              <w:rPr>
                <w:rFonts w:ascii="Times New Roman" w:hAnsi="Times New Roman" w:cs="Times New Roman"/>
                <w:sz w:val="20"/>
                <w:szCs w:val="20"/>
              </w:rPr>
              <w:t xml:space="preserve"> tem por objetivo qualificar a estrutura assistencial da rede municipal de saúde, especialmente nos atendimentos realizados na Unidade Básica de Saúde e nas situações de urgência e emergência que demandem observação, estabilização, remoção ou transporte assistido em ambulância. Espera-se que a disponibilidade dos equipamentos amplie as condições técnicas para o acompanhamento contínuo dos sinais vitais, fornecendo informações objetivas aos profissionais e contribuindo para a adoção tempestiva das condutas assistenciais cabíveis, sem substituir a avaliação clínica e a responsabilidade profissional.</w:t>
            </w:r>
          </w:p>
          <w:p w14:paraId="20C277A3" w14:textId="77777777" w:rsidR="008045C9" w:rsidRPr="008045C9" w:rsidRDefault="008045C9" w:rsidP="008045C9">
            <w:pPr>
              <w:spacing w:after="0" w:line="276" w:lineRule="auto"/>
              <w:ind w:firstLine="597"/>
              <w:rPr>
                <w:rFonts w:ascii="Times New Roman" w:hAnsi="Times New Roman" w:cs="Times New Roman"/>
                <w:sz w:val="20"/>
                <w:szCs w:val="20"/>
              </w:rPr>
            </w:pPr>
            <w:r w:rsidRPr="008045C9">
              <w:rPr>
                <w:rFonts w:ascii="Times New Roman" w:hAnsi="Times New Roman" w:cs="Times New Roman"/>
                <w:sz w:val="20"/>
                <w:szCs w:val="20"/>
              </w:rPr>
              <w:t>Sob o aspecto da economicidade, pretende-se registrar quantitativo proporcional às necessidades atuais e potencialmente verificáveis durante a vigência da Ata de Registro de Preços, sem obrigar a Administração à aquisição integral das 2 (duas) unidades. A primeira unidade atenderá à necessidade imediata da Unidade Básica de Saúde, enquanto a segunda somente será adquirida caso sobrevenha necessidade devidamente demonstrada e exista disponibilidade orçamentária e financeira. A escolha da proposta deverá considerar o menor preço associado à conformidade técnica, à durabilidade, à garantia, à assistência técnica e aos custos de utilização ao longo da vida útil.</w:t>
            </w:r>
          </w:p>
          <w:p w14:paraId="5F745EFC" w14:textId="77777777" w:rsidR="008045C9" w:rsidRPr="008045C9" w:rsidRDefault="008045C9" w:rsidP="008045C9">
            <w:pPr>
              <w:spacing w:after="0" w:line="276" w:lineRule="auto"/>
              <w:ind w:firstLine="597"/>
              <w:rPr>
                <w:rFonts w:ascii="Times New Roman" w:hAnsi="Times New Roman" w:cs="Times New Roman"/>
                <w:sz w:val="20"/>
                <w:szCs w:val="20"/>
              </w:rPr>
            </w:pPr>
            <w:r w:rsidRPr="008045C9">
              <w:rPr>
                <w:rFonts w:ascii="Times New Roman" w:hAnsi="Times New Roman" w:cs="Times New Roman"/>
                <w:sz w:val="20"/>
                <w:szCs w:val="20"/>
              </w:rPr>
              <w:t>Caso sejam adquiridos os dois equipamentos, espera-se assegurar disponibilidade simultânea na Unidade Básica de Saúde e na ambulância municipal, reduzir a movimentação frequente dos monitores entre os ambientes, preservar a continuidade do atendimento durante os transportes assistidos e diminuir o risco de indisponibilidade decorrente de utilização simultânea, higienização, recarga, falha ou manutenção de uma das unidades. Cada equipamento deverá possuir controle individual de localização, utilização, número de série, garantia, ocorrências e atendimentos técnicos.</w:t>
            </w:r>
          </w:p>
          <w:p w14:paraId="020B6B0A" w14:textId="76AF4DF2" w:rsidR="008045C9" w:rsidRPr="008045C9" w:rsidRDefault="008045C9" w:rsidP="008045C9">
            <w:pPr>
              <w:spacing w:after="0" w:line="276" w:lineRule="auto"/>
              <w:ind w:firstLine="597"/>
              <w:rPr>
                <w:rFonts w:ascii="Times New Roman" w:hAnsi="Times New Roman" w:cs="Times New Roman"/>
                <w:sz w:val="20"/>
                <w:szCs w:val="20"/>
              </w:rPr>
            </w:pPr>
            <w:r w:rsidRPr="008045C9">
              <w:rPr>
                <w:rFonts w:ascii="Times New Roman" w:hAnsi="Times New Roman" w:cs="Times New Roman"/>
                <w:sz w:val="20"/>
                <w:szCs w:val="20"/>
              </w:rPr>
              <w:t>Quanto ao aproveitamento dos recursos humanos, os equipamentos deverão proporcionar maior suporte às equipes responsáveis pelo acolhimento, observação, estabilização e transporte dos pacientes, facilitando o acompanhamento dos parâmetros clínicos e a organização das atividades assistenciais. A orientação operacional prevista na contratação deverá assegurar aos servidores indicados conhecimentos suficientes para operação, configuração, conservação, higienização e transporte seguro dos monitores.</w:t>
            </w:r>
            <w:r w:rsidR="00566D7F">
              <w:rPr>
                <w:rFonts w:ascii="Times New Roman" w:hAnsi="Times New Roman" w:cs="Times New Roman"/>
                <w:sz w:val="20"/>
                <w:szCs w:val="20"/>
              </w:rPr>
              <w:t xml:space="preserve"> </w:t>
            </w:r>
            <w:r w:rsidRPr="008045C9">
              <w:rPr>
                <w:rFonts w:ascii="Times New Roman" w:hAnsi="Times New Roman" w:cs="Times New Roman"/>
                <w:sz w:val="20"/>
                <w:szCs w:val="20"/>
              </w:rPr>
              <w:t>Em relação aos recursos materiais e financeiros, pretende-se incorporar ao patrimônio municipal equipamentos novos, regularizados, portáteis e acompanhados de todos os cabos, sensores, acessórios e componentes necessários à utilização. A contratação deverá contemplar entrega, configuração inicial, testes, orientação operacional, garantia e assistência técnica, evitando despesas complementares não planejadas e reduzindo períodos de indisponibilidade.</w:t>
            </w:r>
          </w:p>
          <w:p w14:paraId="2E39FD1F" w14:textId="3A6AC687" w:rsidR="00E9194F" w:rsidRPr="00E9194F" w:rsidRDefault="008045C9" w:rsidP="00AF02A1">
            <w:pPr>
              <w:spacing w:after="0" w:line="276" w:lineRule="auto"/>
              <w:ind w:firstLine="597"/>
              <w:rPr>
                <w:rFonts w:ascii="Times New Roman" w:hAnsi="Times New Roman" w:cs="Times New Roman"/>
                <w:sz w:val="20"/>
                <w:szCs w:val="20"/>
              </w:rPr>
            </w:pPr>
            <w:r w:rsidRPr="008045C9">
              <w:rPr>
                <w:rFonts w:ascii="Times New Roman" w:hAnsi="Times New Roman" w:cs="Times New Roman"/>
                <w:sz w:val="20"/>
                <w:szCs w:val="20"/>
              </w:rPr>
              <w:t>A gestão e a fiscalização acompanharão o cumprimento dos prazos, a conformidade dos equipamentos e acessórios, a regularização sanitária, os testes de funcionamento, a orientação dos profissionais e as obrigações de garantia e assistência técnica. Os resultados serão considerados alcançados quando as unidades efetivamente adquiridas estiverem recebidas, testadas, incorporadas ao patrimônio e disponíveis para uso regular, demonstrando adequada aplicação dos recursos públicos e melhoria das condições assistenciais da rede municipal.</w:t>
            </w:r>
          </w:p>
        </w:tc>
      </w:tr>
    </w:tbl>
    <w:p w14:paraId="5284EC27" w14:textId="77777777" w:rsidR="008F76F3" w:rsidRPr="00A00198" w:rsidRDefault="008F76F3" w:rsidP="00715CA4">
      <w:pPr>
        <w:spacing w:after="0" w:line="276" w:lineRule="auto"/>
        <w:rPr>
          <w:rFonts w:ascii="Times New Roman" w:eastAsia="Times New Roman" w:hAnsi="Times New Roman" w:cs="Times New Roman"/>
          <w:i/>
          <w:sz w:val="20"/>
          <w:szCs w:val="20"/>
          <w:lang w:eastAsia="pt-BR"/>
        </w:rPr>
      </w:pPr>
      <w:r w:rsidRPr="00A00198">
        <w:rPr>
          <w:rFonts w:ascii="Times New Roman" w:eastAsia="Times New Roman" w:hAnsi="Times New Roman" w:cs="Times New Roman"/>
          <w:i/>
          <w:sz w:val="20"/>
          <w:szCs w:val="20"/>
          <w:lang w:eastAsia="pt-BR"/>
        </w:rPr>
        <w:t xml:space="preserve"> </w:t>
      </w:r>
    </w:p>
    <w:tbl>
      <w:tblPr>
        <w:tblStyle w:val="Tabelacomgrade"/>
        <w:tblW w:w="9209" w:type="dxa"/>
        <w:tblLook w:val="04A0" w:firstRow="1" w:lastRow="0" w:firstColumn="1" w:lastColumn="0" w:noHBand="0" w:noVBand="1"/>
      </w:tblPr>
      <w:tblGrid>
        <w:gridCol w:w="9209"/>
      </w:tblGrid>
      <w:tr w:rsidR="008F76F3" w:rsidRPr="00A00198" w14:paraId="3675C491" w14:textId="77777777" w:rsidTr="00C3667F">
        <w:tc>
          <w:tcPr>
            <w:tcW w:w="9209" w:type="dxa"/>
          </w:tcPr>
          <w:p w14:paraId="506464A4" w14:textId="75056735" w:rsidR="008F76F3" w:rsidRPr="00A00198" w:rsidRDefault="008F76F3" w:rsidP="00715CA4">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10 – PROVIDÊNCIAS PRÉVIAS AO CONTRATO</w:t>
            </w:r>
            <w:r w:rsidR="00FC4923">
              <w:rPr>
                <w:rFonts w:ascii="Times New Roman" w:eastAsia="Times New Roman" w:hAnsi="Times New Roman" w:cs="Times New Roman"/>
                <w:b/>
                <w:bCs/>
                <w:color w:val="000000"/>
                <w:sz w:val="20"/>
                <w:szCs w:val="20"/>
                <w:lang w:eastAsia="pt-BR"/>
              </w:rPr>
              <w:t>:</w:t>
            </w:r>
          </w:p>
        </w:tc>
      </w:tr>
      <w:tr w:rsidR="008F76F3" w:rsidRPr="00A00198" w14:paraId="0577C84C" w14:textId="77777777" w:rsidTr="00C3667F">
        <w:tc>
          <w:tcPr>
            <w:tcW w:w="9209" w:type="dxa"/>
            <w:shd w:val="clear" w:color="auto" w:fill="F2F2F2" w:themeFill="background1" w:themeFillShade="F2"/>
          </w:tcPr>
          <w:p w14:paraId="5F02B21C" w14:textId="77777777" w:rsidR="008F76F3" w:rsidRPr="00EA6D11"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EA6D11">
              <w:rPr>
                <w:rFonts w:ascii="Times New Roman" w:eastAsia="Times New Roman" w:hAnsi="Times New Roman" w:cs="Times New Roman"/>
                <w:bCs/>
                <w:color w:val="000000"/>
                <w:sz w:val="20"/>
                <w:szCs w:val="20"/>
                <w:lang w:eastAsia="pt-BR"/>
              </w:rPr>
              <w:t xml:space="preserve">Fundamentação: </w:t>
            </w:r>
            <w:bookmarkStart w:id="2" w:name="_Hlk190197186"/>
            <w:r w:rsidRPr="00EA6D11">
              <w:rPr>
                <w:rFonts w:ascii="Times New Roman" w:eastAsia="Times New Roman" w:hAnsi="Times New Roman" w:cs="Times New Roman"/>
                <w:color w:val="000000"/>
                <w:sz w:val="20"/>
                <w:szCs w:val="20"/>
                <w:lang w:eastAsia="pt-BR"/>
              </w:rPr>
              <w:t>Providências a serem adotadas pela administração previamente à celebração do contrato, inclusive quanto à capacitação de servidores ou de empregados para fiscalização e gestão contratual</w:t>
            </w:r>
            <w:bookmarkEnd w:id="2"/>
            <w:r w:rsidRPr="00EA6D11">
              <w:rPr>
                <w:rFonts w:ascii="Times New Roman" w:eastAsia="Times New Roman" w:hAnsi="Times New Roman" w:cs="Times New Roman"/>
                <w:color w:val="000000"/>
                <w:sz w:val="20"/>
                <w:szCs w:val="20"/>
                <w:lang w:eastAsia="pt-BR"/>
              </w:rPr>
              <w:t xml:space="preserve"> (inciso X do § 1° do art. 18 da Lei 14.133/21); </w:t>
            </w:r>
          </w:p>
        </w:tc>
      </w:tr>
      <w:tr w:rsidR="008F76F3" w:rsidRPr="00A00198" w14:paraId="788C998C" w14:textId="77777777" w:rsidTr="00C3667F">
        <w:tc>
          <w:tcPr>
            <w:tcW w:w="9209" w:type="dxa"/>
          </w:tcPr>
          <w:p w14:paraId="1F6FAFA5" w14:textId="77777777" w:rsidR="001879F6" w:rsidRPr="001879F6" w:rsidRDefault="001879F6" w:rsidP="001879F6">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 xml:space="preserve">Para assegurar a regular contratação, o adequado recebimento e a posterior utilização dos monitores cardíacos </w:t>
            </w:r>
            <w:proofErr w:type="spellStart"/>
            <w:r w:rsidRPr="001879F6">
              <w:rPr>
                <w:rFonts w:ascii="Times New Roman" w:eastAsia="Times New Roman" w:hAnsi="Times New Roman" w:cs="Times New Roman"/>
                <w:sz w:val="20"/>
                <w:szCs w:val="20"/>
                <w:lang w:eastAsia="pt-BR"/>
              </w:rPr>
              <w:t>multiparamétricos</w:t>
            </w:r>
            <w:proofErr w:type="spellEnd"/>
            <w:r w:rsidRPr="001879F6">
              <w:rPr>
                <w:rFonts w:ascii="Times New Roman" w:eastAsia="Times New Roman" w:hAnsi="Times New Roman" w:cs="Times New Roman"/>
                <w:sz w:val="20"/>
                <w:szCs w:val="20"/>
                <w:lang w:eastAsia="pt-BR"/>
              </w:rPr>
              <w:t>, a Administração Municipal deverá adotar previamente providências administrativas, técnicas e operacionais destinadas a garantir a conformidade do procedimento, a segurança assistencial e a efetividade da solução.</w:t>
            </w:r>
          </w:p>
          <w:p w14:paraId="1AB21F24" w14:textId="77777777" w:rsidR="001879F6" w:rsidRPr="001879F6" w:rsidRDefault="001879F6" w:rsidP="001879F6">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1) Consolidação dos instrumentos da contratação: Com fundamento neste Estudo Técnico Preliminar, deverão ser concluídos o Termo de Referência, o edital, a minuta da Ata de Registro de Preços e os demais documentos da fase preparatória, contendo a descrição objetiva dos equipamentos, os parâmetros monitorados, os acessórios obrigatórios, as condições de entrega, os critérios de recebimento, os testes de funcionamento, a garantia, a assistência técnica, os prazos para correção ou substituição e as demais obrigações necessárias à adequada execução do objeto.</w:t>
            </w:r>
          </w:p>
          <w:p w14:paraId="3E616585" w14:textId="77777777" w:rsidR="001879F6" w:rsidRPr="001879F6" w:rsidRDefault="001879F6" w:rsidP="001879F6">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 xml:space="preserve">2) Publicidade e transparência do procedimento: Após a conclusão da fase preparatória e a aprovação do instrumento convocatório, o edital e seus anexos deverão ser divulgados e mantidos integralmente no Portal Nacional de Contratações Públicas – PNCP, em observância ao art. 54 da Lei Federal nº 14.133/2021. O procedimento também deverá ser registrado no sistema </w:t>
            </w:r>
            <w:proofErr w:type="spellStart"/>
            <w:r w:rsidRPr="001879F6">
              <w:rPr>
                <w:rFonts w:ascii="Times New Roman" w:eastAsia="Times New Roman" w:hAnsi="Times New Roman" w:cs="Times New Roman"/>
                <w:sz w:val="20"/>
                <w:szCs w:val="20"/>
                <w:lang w:eastAsia="pt-BR"/>
              </w:rPr>
              <w:t>LicitaCon</w:t>
            </w:r>
            <w:proofErr w:type="spellEnd"/>
            <w:r w:rsidRPr="001879F6">
              <w:rPr>
                <w:rFonts w:ascii="Times New Roman" w:eastAsia="Times New Roman" w:hAnsi="Times New Roman" w:cs="Times New Roman"/>
                <w:sz w:val="20"/>
                <w:szCs w:val="20"/>
                <w:lang w:eastAsia="pt-BR"/>
              </w:rPr>
              <w:t>-RS, conforme as normas e os leiautes estabelecidos pelo Tribunal de Contas do Estado do Rio Grande do Sul, bem como divulgado no sítio eletrônico oficial do Município e em jornal diário de grande circulação.</w:t>
            </w:r>
          </w:p>
          <w:p w14:paraId="3980770F" w14:textId="77777777" w:rsidR="001879F6" w:rsidRPr="001879F6" w:rsidRDefault="001879F6" w:rsidP="001879F6">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A publicidade deverá abranger os atos relevantes da licitação, assegurando acesso ao edital, aos anexos, aos esclarecimentos, às impugnações, às decisões, ao resultado, à Ata de Registro de Preços e aos demais documentos sujeitos à divulgação, garantindo transparência, competitividade, controle social e rastreabilidade dos atos administrativos.</w:t>
            </w:r>
          </w:p>
          <w:p w14:paraId="106448D4" w14:textId="77777777" w:rsidR="001879F6" w:rsidRPr="001879F6" w:rsidRDefault="001879F6" w:rsidP="001879F6">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3) Definição do local e das condições de recebimento: A Secretaria Municipal de Saúde, Assistência Social e Habitação deverá indicar previamente o local de entrega de cada unidade solicitada e assegurar a disponibilidade de servidores para acompanhar o recebimento, a conferência dos componentes, a configuração inicial e os testes operacionais. Também deverá verificar a existência de condições adequadas para armazenamento, carregamento das baterias, higienização, conservação e utilização segura dos equipamentos na Unidade Básica de Saúde e, caso adquirida a segunda unidade, na ambulância municipal ou em outro serviço definido pela Administração.</w:t>
            </w:r>
          </w:p>
          <w:p w14:paraId="724AA057" w14:textId="77777777" w:rsidR="001879F6" w:rsidRPr="001879F6" w:rsidRDefault="001879F6" w:rsidP="001879F6">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4) Designação da gestão e da fiscalização: A autoridade competente deverá designar formalmente o GESTOR, o FISCAL titular e o respectivo substituto, observadas a segregação de funções, a compatibilidade das atribuições e a capacidade técnica dos servidores indicados. Caberá à equipe designada acompanhar cada aquisição decorrente da Ata, conferir a documentação, verificar a regularização sanitária, fiscalizar o cumprimento da garantia, registrar ocorrências e adotar as providências necessárias diante de falhas ou desconformidades.</w:t>
            </w:r>
          </w:p>
          <w:p w14:paraId="33F613B4" w14:textId="77777777" w:rsidR="001879F6" w:rsidRPr="001879F6" w:rsidRDefault="001879F6" w:rsidP="001879F6">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5) Orientação dos servidores responsáveis: Antes da utilização regular de cada equipamento, deverão ser indicados os profissionais que receberão a orientação operacional fornecida pela CONTRATADA, abrangendo o funcionamento básico, a configuração dos parâmetros, a utilização dos sensores e acessórios, o reconhecimento dos alarmes, o carregamento da bateria, os procedimentos de limpeza, os cuidados de transporte e as medidas de conservação. A orientação deverá ser registrada e não substituirá as capacitações clínicas próprias das atribuições dos profissionais de saúde.</w:t>
            </w:r>
          </w:p>
          <w:p w14:paraId="025EC207" w14:textId="77777777" w:rsidR="001879F6" w:rsidRPr="001879F6" w:rsidRDefault="001879F6" w:rsidP="001879F6">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6) Planejamento do recebimento e dos testes: A Administração deverá estabelecer procedimento de conferência individual de cada monitor, permitindo verificar o fabricante, o modelo, o número de série, os acessórios, os manuais, os documentos sanitários, o certificado de garantia e a correspondência com a proposta apresentada. O recebimento definitivo de cada unidade deverá ser precedido de teste de funcionamento e da confirmação de que os parâmetros, alarmes, conexões e recursos exigidos estão operacionais.</w:t>
            </w:r>
          </w:p>
          <w:p w14:paraId="08462DA9" w14:textId="77777777" w:rsidR="001879F6" w:rsidRPr="001879F6" w:rsidRDefault="001879F6" w:rsidP="001879F6">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7) Organização dos registros de controle: Deverão ser definidos os procedimentos para o registro patrimonial individual dos equipamentos, com identificação dos respectivos números de série, responsáveis pela carga, localização, movimentações, manutenções, chamados de assistência técnica e substituições de componentes. Os registros deverão permitir o controle individual da utilização, das ocorrências, da garantia e do histórico de manutenção durante toda a vida útil de cada unidade.</w:t>
            </w:r>
          </w:p>
          <w:p w14:paraId="075258D5" w14:textId="77777777" w:rsidR="001879F6" w:rsidRPr="001879F6" w:rsidRDefault="001879F6" w:rsidP="001879F6">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8) Verificação das condições do fornecedor: Antes da emissão de cada Ordem de Compra ou instrumento equivalente, deverão ser verificadas a manutenção das condições de habilitação da CONTRATADA, sua regularidade jurídica, fiscal, social e trabalhista, a validade da regularização sanitária do equipamento ofertado e a disponibilidade da assistência técnica prevista.</w:t>
            </w:r>
          </w:p>
          <w:p w14:paraId="7D26A2D5" w14:textId="77777777" w:rsidR="001879F6" w:rsidRPr="001879F6" w:rsidRDefault="001879F6" w:rsidP="001879F6">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9) Adequação orçamentária e patrimonial: Cada aquisição deverá ser precedida da indicação da dotação orçamentária, da confirmação da disponibilidade financeira e da emissão do respectivo empenho. A existência da Ata de Registro de Preços não obrigará a Administração a adquirir integralmente as 2 (duas) unidades registradas. Após o recebimento definitivo, cada monitor adquirido deverá ser incorporado individualmente ao patrimônio municipal, com classificação, tombamento e registro compatíveis com sua natureza de material permanente.</w:t>
            </w:r>
          </w:p>
          <w:p w14:paraId="5F4BC334" w14:textId="400ABAE9" w:rsidR="007E6D7D" w:rsidRPr="001879F6" w:rsidRDefault="001879F6" w:rsidP="00AF02A1">
            <w:pPr>
              <w:spacing w:after="0" w:line="276" w:lineRule="auto"/>
              <w:ind w:firstLine="598"/>
              <w:rPr>
                <w:rFonts w:ascii="Times New Roman" w:eastAsia="Times New Roman" w:hAnsi="Times New Roman" w:cs="Times New Roman"/>
                <w:sz w:val="20"/>
                <w:szCs w:val="20"/>
                <w:lang w:eastAsia="pt-BR"/>
              </w:rPr>
            </w:pPr>
            <w:r w:rsidRPr="001879F6">
              <w:rPr>
                <w:rFonts w:ascii="Times New Roman" w:eastAsia="Times New Roman" w:hAnsi="Times New Roman" w:cs="Times New Roman"/>
                <w:sz w:val="20"/>
                <w:szCs w:val="20"/>
                <w:lang w:eastAsia="pt-BR"/>
              </w:rPr>
              <w:t>A adoção dessas providências permitirá que a contratação seja planejada, divulgada e executada de forma organizada, transparente, segura e controlada, reduzindo os riscos de falhas na instrução, restrição à competitividade, recebimento de equipamentos inadequados, uso incorreto ou indisponibilidade operacional. Também assegurará o adequado controle das aquisições realizadas durante a vigência da Ata, sem gerar obrigação de aquisição da totalidade do quantitativo registrado.</w:t>
            </w:r>
          </w:p>
        </w:tc>
      </w:tr>
    </w:tbl>
    <w:p w14:paraId="44EB9322" w14:textId="77777777" w:rsidR="008F76F3" w:rsidRPr="00A00198" w:rsidRDefault="008F76F3" w:rsidP="00715CA4">
      <w:pPr>
        <w:spacing w:after="0" w:line="276" w:lineRule="auto"/>
        <w:rPr>
          <w:rFonts w:ascii="Times New Roman" w:hAnsi="Times New Roman" w:cs="Times New Roman"/>
          <w:color w:val="FF0000"/>
          <w:sz w:val="20"/>
          <w:szCs w:val="20"/>
        </w:rPr>
      </w:pPr>
    </w:p>
    <w:tbl>
      <w:tblPr>
        <w:tblStyle w:val="Tabelacomgrade"/>
        <w:tblW w:w="9209" w:type="dxa"/>
        <w:tblLook w:val="04A0" w:firstRow="1" w:lastRow="0" w:firstColumn="1" w:lastColumn="0" w:noHBand="0" w:noVBand="1"/>
      </w:tblPr>
      <w:tblGrid>
        <w:gridCol w:w="9209"/>
      </w:tblGrid>
      <w:tr w:rsidR="008F76F3" w:rsidRPr="00A00198" w14:paraId="515B6EF4" w14:textId="77777777" w:rsidTr="00C3667F">
        <w:tc>
          <w:tcPr>
            <w:tcW w:w="9209" w:type="dxa"/>
          </w:tcPr>
          <w:p w14:paraId="1C78622F" w14:textId="654AB795" w:rsidR="008F76F3" w:rsidRPr="00A00198" w:rsidRDefault="008F76F3" w:rsidP="00715CA4">
            <w:pPr>
              <w:shd w:val="clear" w:color="auto" w:fill="FFFFFF"/>
              <w:spacing w:after="0" w:line="276" w:lineRule="auto"/>
              <w:ind w:firstLine="0"/>
              <w:textAlignment w:val="baseline"/>
              <w:rPr>
                <w:rFonts w:ascii="Times New Roman" w:eastAsia="Times New Roman" w:hAnsi="Times New Roman" w:cs="Times New Roman"/>
                <w:b/>
                <w:bCs/>
                <w:color w:val="000000"/>
                <w:sz w:val="20"/>
                <w:szCs w:val="20"/>
                <w:lang w:eastAsia="pt-BR"/>
              </w:rPr>
            </w:pPr>
            <w:r w:rsidRPr="00A00198">
              <w:rPr>
                <w:rFonts w:ascii="Times New Roman" w:eastAsia="Times New Roman" w:hAnsi="Times New Roman" w:cs="Times New Roman"/>
                <w:b/>
                <w:bCs/>
                <w:color w:val="000000"/>
                <w:sz w:val="20"/>
                <w:szCs w:val="20"/>
                <w:lang w:eastAsia="pt-BR"/>
              </w:rPr>
              <w:t>11 – CONTRATAÇÕES CORRELATAS</w:t>
            </w:r>
            <w:r w:rsidR="00AF02A1">
              <w:rPr>
                <w:rFonts w:ascii="Times New Roman" w:eastAsia="Times New Roman" w:hAnsi="Times New Roman" w:cs="Times New Roman"/>
                <w:b/>
                <w:bCs/>
                <w:color w:val="000000"/>
                <w:sz w:val="20"/>
                <w:szCs w:val="20"/>
                <w:lang w:eastAsia="pt-BR"/>
              </w:rPr>
              <w:t xml:space="preserve"> E/OU </w:t>
            </w:r>
            <w:r w:rsidRPr="00A00198">
              <w:rPr>
                <w:rFonts w:ascii="Times New Roman" w:eastAsia="Times New Roman" w:hAnsi="Times New Roman" w:cs="Times New Roman"/>
                <w:b/>
                <w:bCs/>
                <w:color w:val="000000"/>
                <w:sz w:val="20"/>
                <w:szCs w:val="20"/>
                <w:lang w:eastAsia="pt-BR"/>
              </w:rPr>
              <w:t>INTERDEPENDENTES</w:t>
            </w:r>
            <w:r w:rsidR="00FC4923">
              <w:rPr>
                <w:rFonts w:ascii="Times New Roman" w:eastAsia="Times New Roman" w:hAnsi="Times New Roman" w:cs="Times New Roman"/>
                <w:b/>
                <w:bCs/>
                <w:color w:val="000000"/>
                <w:sz w:val="20"/>
                <w:szCs w:val="20"/>
                <w:lang w:eastAsia="pt-BR"/>
              </w:rPr>
              <w:t>:</w:t>
            </w:r>
          </w:p>
        </w:tc>
      </w:tr>
      <w:tr w:rsidR="008F76F3" w:rsidRPr="00A00198" w14:paraId="455DD9E4" w14:textId="77777777" w:rsidTr="00C3667F">
        <w:tc>
          <w:tcPr>
            <w:tcW w:w="9209" w:type="dxa"/>
            <w:shd w:val="clear" w:color="auto" w:fill="F2F2F2" w:themeFill="background1" w:themeFillShade="F2"/>
          </w:tcPr>
          <w:p w14:paraId="3BBC643A" w14:textId="77777777"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eastAsia="Times New Roman" w:hAnsi="Times New Roman" w:cs="Times New Roman"/>
                <w:color w:val="000000"/>
                <w:sz w:val="20"/>
                <w:szCs w:val="20"/>
                <w:lang w:eastAsia="pt-BR"/>
              </w:rPr>
              <w:t>Contratações correlatas e/ou interdependentes (inciso XI do § 1° do art. 18 da Lei 14.133/21);</w:t>
            </w:r>
          </w:p>
        </w:tc>
      </w:tr>
      <w:tr w:rsidR="00E57D09" w:rsidRPr="00E57D09" w14:paraId="1A83E025" w14:textId="77777777" w:rsidTr="00C3667F">
        <w:tc>
          <w:tcPr>
            <w:tcW w:w="9209" w:type="dxa"/>
          </w:tcPr>
          <w:p w14:paraId="12AF9E55" w14:textId="6525104D" w:rsidR="00EB5800" w:rsidRPr="00EB5800" w:rsidRDefault="00EB5800" w:rsidP="00EB5800">
            <w:pPr>
              <w:spacing w:after="0" w:line="276" w:lineRule="auto"/>
              <w:ind w:firstLine="596"/>
              <w:rPr>
                <w:rFonts w:ascii="Times New Roman" w:hAnsi="Times New Roman" w:cs="Times New Roman"/>
                <w:sz w:val="20"/>
                <w:szCs w:val="20"/>
              </w:rPr>
            </w:pPr>
            <w:r w:rsidRPr="00EB5800">
              <w:rPr>
                <w:rFonts w:ascii="Times New Roman" w:hAnsi="Times New Roman" w:cs="Times New Roman"/>
                <w:sz w:val="20"/>
                <w:szCs w:val="20"/>
              </w:rPr>
              <w:t>Não foram identificadas contratações interdependentes cuja execução prévia seja indispensável à aquisição e à utilização inicial do</w:t>
            </w:r>
            <w:r w:rsidR="001879F6">
              <w:rPr>
                <w:rFonts w:ascii="Times New Roman" w:hAnsi="Times New Roman" w:cs="Times New Roman"/>
                <w:sz w:val="20"/>
                <w:szCs w:val="20"/>
              </w:rPr>
              <w:t>s</w:t>
            </w:r>
            <w:r w:rsidRPr="00EB5800">
              <w:rPr>
                <w:rFonts w:ascii="Times New Roman" w:hAnsi="Times New Roman" w:cs="Times New Roman"/>
                <w:sz w:val="20"/>
                <w:szCs w:val="20"/>
              </w:rPr>
              <w:t xml:space="preserve"> monitor</w:t>
            </w:r>
            <w:r w:rsidR="001879F6">
              <w:rPr>
                <w:rFonts w:ascii="Times New Roman" w:hAnsi="Times New Roman" w:cs="Times New Roman"/>
                <w:sz w:val="20"/>
                <w:szCs w:val="20"/>
              </w:rPr>
              <w:t>es</w:t>
            </w:r>
            <w:r w:rsidRPr="00EB5800">
              <w:rPr>
                <w:rFonts w:ascii="Times New Roman" w:hAnsi="Times New Roman" w:cs="Times New Roman"/>
                <w:sz w:val="20"/>
                <w:szCs w:val="20"/>
              </w:rPr>
              <w:t xml:space="preserve"> </w:t>
            </w:r>
            <w:proofErr w:type="spellStart"/>
            <w:r w:rsidRPr="00EB5800">
              <w:rPr>
                <w:rFonts w:ascii="Times New Roman" w:hAnsi="Times New Roman" w:cs="Times New Roman"/>
                <w:sz w:val="20"/>
                <w:szCs w:val="20"/>
              </w:rPr>
              <w:t>multiparamétrico</w:t>
            </w:r>
            <w:r w:rsidR="001879F6">
              <w:rPr>
                <w:rFonts w:ascii="Times New Roman" w:hAnsi="Times New Roman" w:cs="Times New Roman"/>
                <w:sz w:val="20"/>
                <w:szCs w:val="20"/>
              </w:rPr>
              <w:t>s</w:t>
            </w:r>
            <w:proofErr w:type="spellEnd"/>
            <w:r w:rsidRPr="00EB5800">
              <w:rPr>
                <w:rFonts w:ascii="Times New Roman" w:hAnsi="Times New Roman" w:cs="Times New Roman"/>
                <w:sz w:val="20"/>
                <w:szCs w:val="20"/>
              </w:rPr>
              <w:t xml:space="preserve">. </w:t>
            </w:r>
            <w:r w:rsidR="001879F6">
              <w:rPr>
                <w:rFonts w:ascii="Times New Roman" w:hAnsi="Times New Roman" w:cs="Times New Roman"/>
                <w:sz w:val="20"/>
                <w:szCs w:val="20"/>
              </w:rPr>
              <w:t>O</w:t>
            </w:r>
            <w:r w:rsidR="001879F6" w:rsidRPr="001879F6">
              <w:rPr>
                <w:rFonts w:ascii="Times New Roman" w:hAnsi="Times New Roman" w:cs="Times New Roman"/>
                <w:sz w:val="20"/>
                <w:szCs w:val="20"/>
              </w:rPr>
              <w:t>s equipamentos deverão ser fornecidos como soluç</w:t>
            </w:r>
            <w:r w:rsidR="001879F6">
              <w:rPr>
                <w:rFonts w:ascii="Times New Roman" w:hAnsi="Times New Roman" w:cs="Times New Roman"/>
                <w:sz w:val="20"/>
                <w:szCs w:val="20"/>
              </w:rPr>
              <w:t>ão</w:t>
            </w:r>
            <w:r w:rsidR="001879F6" w:rsidRPr="001879F6">
              <w:rPr>
                <w:rFonts w:ascii="Times New Roman" w:hAnsi="Times New Roman" w:cs="Times New Roman"/>
                <w:sz w:val="20"/>
                <w:szCs w:val="20"/>
              </w:rPr>
              <w:t xml:space="preserve"> completa</w:t>
            </w:r>
            <w:r w:rsidR="001879F6">
              <w:rPr>
                <w:rFonts w:ascii="Times New Roman" w:hAnsi="Times New Roman" w:cs="Times New Roman"/>
                <w:sz w:val="20"/>
                <w:szCs w:val="20"/>
              </w:rPr>
              <w:t xml:space="preserve"> e </w:t>
            </w:r>
            <w:r w:rsidRPr="00EB5800">
              <w:rPr>
                <w:rFonts w:ascii="Times New Roman" w:hAnsi="Times New Roman" w:cs="Times New Roman"/>
                <w:sz w:val="20"/>
                <w:szCs w:val="20"/>
              </w:rPr>
              <w:t>apt</w:t>
            </w:r>
            <w:r w:rsidR="001879F6">
              <w:rPr>
                <w:rFonts w:ascii="Times New Roman" w:hAnsi="Times New Roman" w:cs="Times New Roman"/>
                <w:sz w:val="20"/>
                <w:szCs w:val="20"/>
              </w:rPr>
              <w:t>os</w:t>
            </w:r>
            <w:r w:rsidRPr="00EB5800">
              <w:rPr>
                <w:rFonts w:ascii="Times New Roman" w:hAnsi="Times New Roman" w:cs="Times New Roman"/>
                <w:sz w:val="20"/>
                <w:szCs w:val="20"/>
              </w:rPr>
              <w:t xml:space="preserve"> ao funcionamento, acompanhado</w:t>
            </w:r>
            <w:r w:rsidR="00566D7F">
              <w:rPr>
                <w:rFonts w:ascii="Times New Roman" w:hAnsi="Times New Roman" w:cs="Times New Roman"/>
                <w:sz w:val="20"/>
                <w:szCs w:val="20"/>
              </w:rPr>
              <w:t>s</w:t>
            </w:r>
            <w:r w:rsidRPr="00EB5800">
              <w:rPr>
                <w:rFonts w:ascii="Times New Roman" w:hAnsi="Times New Roman" w:cs="Times New Roman"/>
                <w:sz w:val="20"/>
                <w:szCs w:val="20"/>
              </w:rPr>
              <w:t xml:space="preserve"> de todos os cabos, sensores, acessórios, bateria, fonte de alimentação, manuais, configuração inicial, testes operacionais, garantia e assistência técnica previstos no Termo de Referência.</w:t>
            </w:r>
          </w:p>
          <w:p w14:paraId="3C7CCAFB" w14:textId="50BE765B" w:rsidR="008F76F3" w:rsidRPr="00FE5E88" w:rsidRDefault="00EB5800" w:rsidP="00715CA4">
            <w:pPr>
              <w:spacing w:after="0" w:line="276" w:lineRule="auto"/>
              <w:ind w:firstLine="596"/>
              <w:rPr>
                <w:rFonts w:ascii="Times New Roman" w:hAnsi="Times New Roman" w:cs="Times New Roman"/>
                <w:sz w:val="20"/>
                <w:szCs w:val="20"/>
              </w:rPr>
            </w:pPr>
            <w:r w:rsidRPr="00EB5800">
              <w:rPr>
                <w:rFonts w:ascii="Times New Roman" w:hAnsi="Times New Roman" w:cs="Times New Roman"/>
                <w:sz w:val="20"/>
                <w:szCs w:val="20"/>
              </w:rPr>
              <w:t>Consideram-se correlatas, contudo, eventuais contratações futuras destinadas à reposição de acessórios e componentes sujeitos a desgaste, tais como eletrodos, sensores, manguitos, cabos e baterias, bem como serviços de manutenção preventiva e corretiva, calibração ou verificação técnica após o término da garantia. Também guardam relação indireta com a solução a manutenção da ambulância municipal e a disponibilidade de infraestrutura elétrica adequada na Unidade Básica de Saúde, sem que tais atividades constituam condição prévia para a presente aquisição.</w:t>
            </w:r>
            <w:r>
              <w:rPr>
                <w:rFonts w:ascii="Times New Roman" w:hAnsi="Times New Roman" w:cs="Times New Roman"/>
                <w:sz w:val="20"/>
                <w:szCs w:val="20"/>
              </w:rPr>
              <w:t xml:space="preserve"> </w:t>
            </w:r>
            <w:r w:rsidRPr="00EB5800">
              <w:rPr>
                <w:rFonts w:ascii="Times New Roman" w:hAnsi="Times New Roman" w:cs="Times New Roman"/>
                <w:sz w:val="20"/>
                <w:szCs w:val="20"/>
              </w:rPr>
              <w:t>A Administração deverá acompanhar o ciclo de vida do equipamento e planejar, quando necessário, as aquisições e os serviços complementares destinados a preservar sua segurança, precisão e disponibilidade operacional.</w:t>
            </w:r>
          </w:p>
        </w:tc>
      </w:tr>
    </w:tbl>
    <w:p w14:paraId="503AA091" w14:textId="77777777" w:rsidR="008F76F3" w:rsidRPr="00A00198" w:rsidRDefault="008F76F3" w:rsidP="00715CA4">
      <w:pPr>
        <w:spacing w:after="0" w:line="276" w:lineRule="auto"/>
        <w:rPr>
          <w:rFonts w:ascii="Times New Roman" w:eastAsia="Times New Roman" w:hAnsi="Times New Roman" w:cs="Times New Roman"/>
          <w:color w:val="000000"/>
          <w:sz w:val="20"/>
          <w:szCs w:val="20"/>
          <w:lang w:eastAsia="pt-BR"/>
        </w:rPr>
      </w:pPr>
    </w:p>
    <w:tbl>
      <w:tblPr>
        <w:tblStyle w:val="Tabelacomgrade"/>
        <w:tblW w:w="9209" w:type="dxa"/>
        <w:tblLook w:val="04A0" w:firstRow="1" w:lastRow="0" w:firstColumn="1" w:lastColumn="0" w:noHBand="0" w:noVBand="1"/>
      </w:tblPr>
      <w:tblGrid>
        <w:gridCol w:w="9209"/>
      </w:tblGrid>
      <w:tr w:rsidR="008F76F3" w:rsidRPr="00A00198" w14:paraId="3D90EBFB" w14:textId="77777777" w:rsidTr="000F458C">
        <w:tc>
          <w:tcPr>
            <w:tcW w:w="9209" w:type="dxa"/>
          </w:tcPr>
          <w:p w14:paraId="742EAC32" w14:textId="277ABFCD" w:rsidR="008F76F3" w:rsidRPr="00A00198" w:rsidRDefault="008F76F3" w:rsidP="00715CA4">
            <w:pPr>
              <w:spacing w:after="0" w:line="276" w:lineRule="auto"/>
              <w:ind w:firstLine="0"/>
              <w:rPr>
                <w:rFonts w:ascii="Times New Roman" w:eastAsia="Times New Roman" w:hAnsi="Times New Roman" w:cs="Times New Roman"/>
                <w:b/>
                <w:color w:val="000000"/>
                <w:sz w:val="20"/>
                <w:szCs w:val="20"/>
                <w:lang w:eastAsia="pt-BR"/>
              </w:rPr>
            </w:pPr>
            <w:r w:rsidRPr="00A00198">
              <w:rPr>
                <w:rFonts w:ascii="Times New Roman" w:eastAsia="Times New Roman" w:hAnsi="Times New Roman" w:cs="Times New Roman"/>
                <w:b/>
                <w:bCs/>
                <w:color w:val="000000"/>
                <w:sz w:val="20"/>
                <w:szCs w:val="20"/>
                <w:lang w:eastAsia="pt-BR"/>
              </w:rPr>
              <w:t>12 – IMPACTOS AMBIENTAIS</w:t>
            </w:r>
            <w:r w:rsidR="00FC4923">
              <w:rPr>
                <w:rFonts w:ascii="Times New Roman" w:eastAsia="Times New Roman" w:hAnsi="Times New Roman" w:cs="Times New Roman"/>
                <w:b/>
                <w:bCs/>
                <w:color w:val="000000"/>
                <w:sz w:val="20"/>
                <w:szCs w:val="20"/>
                <w:lang w:eastAsia="pt-BR"/>
              </w:rPr>
              <w:t>:</w:t>
            </w:r>
          </w:p>
        </w:tc>
      </w:tr>
      <w:tr w:rsidR="008F76F3" w:rsidRPr="00A00198" w14:paraId="22D5FB8B" w14:textId="77777777" w:rsidTr="000F458C">
        <w:tc>
          <w:tcPr>
            <w:tcW w:w="9209" w:type="dxa"/>
            <w:shd w:val="clear" w:color="auto" w:fill="F2F2F2" w:themeFill="background1" w:themeFillShade="F2"/>
          </w:tcPr>
          <w:p w14:paraId="7BB9D2B9" w14:textId="3A87AFF2"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hAnsi="Times New Roman" w:cs="Times New Roman"/>
                <w:sz w:val="20"/>
                <w:szCs w:val="20"/>
              </w:rPr>
              <w:t>Descrição de possíveis impactos ambientais e respectivas medidas mitigadoras, incluídos requisitos de baixo consumo de energia e de outros recursos, bem como logística reversa para desfazimento e reciclagem de bens e refugos, quando aplicável (</w:t>
            </w:r>
            <w:r w:rsidRPr="00A00198">
              <w:rPr>
                <w:rFonts w:ascii="Times New Roman" w:eastAsia="Times New Roman" w:hAnsi="Times New Roman" w:cs="Times New Roman"/>
                <w:color w:val="000000"/>
                <w:sz w:val="20"/>
                <w:szCs w:val="20"/>
                <w:lang w:eastAsia="pt-BR"/>
              </w:rPr>
              <w:t>inciso XII do § 1° do art. 18 da Lei 14.133/21)</w:t>
            </w:r>
            <w:r w:rsidR="00B62DC3">
              <w:rPr>
                <w:rFonts w:ascii="Times New Roman" w:eastAsia="Times New Roman" w:hAnsi="Times New Roman" w:cs="Times New Roman"/>
                <w:color w:val="000000"/>
                <w:sz w:val="20"/>
                <w:szCs w:val="20"/>
                <w:lang w:eastAsia="pt-BR"/>
              </w:rPr>
              <w:t>:</w:t>
            </w:r>
          </w:p>
        </w:tc>
      </w:tr>
      <w:tr w:rsidR="008F76F3" w:rsidRPr="00A00198" w14:paraId="0DDD108A" w14:textId="77777777" w:rsidTr="000F458C">
        <w:tc>
          <w:tcPr>
            <w:tcW w:w="9209" w:type="dxa"/>
          </w:tcPr>
          <w:p w14:paraId="4C0568BC" w14:textId="1E92F5F2" w:rsidR="001879F6" w:rsidRPr="001879F6" w:rsidRDefault="001879F6" w:rsidP="001879F6">
            <w:pPr>
              <w:spacing w:after="0" w:line="276" w:lineRule="auto"/>
              <w:ind w:firstLine="596"/>
              <w:rPr>
                <w:rFonts w:ascii="Times New Roman" w:hAnsi="Times New Roman" w:cs="Times New Roman"/>
                <w:sz w:val="20"/>
                <w:szCs w:val="20"/>
              </w:rPr>
            </w:pPr>
            <w:r w:rsidRPr="001879F6">
              <w:rPr>
                <w:rFonts w:ascii="Times New Roman" w:hAnsi="Times New Roman" w:cs="Times New Roman"/>
                <w:sz w:val="20"/>
                <w:szCs w:val="20"/>
              </w:rPr>
              <w:t xml:space="preserve">A aquisição dos monitores </w:t>
            </w:r>
            <w:proofErr w:type="spellStart"/>
            <w:r w:rsidRPr="001879F6">
              <w:rPr>
                <w:rFonts w:ascii="Times New Roman" w:hAnsi="Times New Roman" w:cs="Times New Roman"/>
                <w:sz w:val="20"/>
                <w:szCs w:val="20"/>
              </w:rPr>
              <w:t>multiparamétricos</w:t>
            </w:r>
            <w:proofErr w:type="spellEnd"/>
            <w:r w:rsidRPr="001879F6">
              <w:rPr>
                <w:rFonts w:ascii="Times New Roman" w:hAnsi="Times New Roman" w:cs="Times New Roman"/>
                <w:sz w:val="20"/>
                <w:szCs w:val="20"/>
              </w:rPr>
              <w:t xml:space="preserve"> apresenta impactos ambientais associados ao ciclo de vida dos equipamentos, compreendendo sua fabricação, embalagem, transporte, utilização, manutenção e destinação final. Embora </w:t>
            </w:r>
            <w:r w:rsidR="00BD6B87">
              <w:rPr>
                <w:rFonts w:ascii="Times New Roman" w:hAnsi="Times New Roman" w:cs="Times New Roman"/>
                <w:sz w:val="20"/>
                <w:szCs w:val="20"/>
              </w:rPr>
              <w:t xml:space="preserve">os equipamentos </w:t>
            </w:r>
            <w:r w:rsidRPr="001879F6">
              <w:rPr>
                <w:rFonts w:ascii="Times New Roman" w:hAnsi="Times New Roman" w:cs="Times New Roman"/>
                <w:sz w:val="20"/>
                <w:szCs w:val="20"/>
              </w:rPr>
              <w:t>não represente</w:t>
            </w:r>
            <w:r w:rsidR="00BD6B87">
              <w:rPr>
                <w:rFonts w:ascii="Times New Roman" w:hAnsi="Times New Roman" w:cs="Times New Roman"/>
                <w:sz w:val="20"/>
                <w:szCs w:val="20"/>
              </w:rPr>
              <w:t>m</w:t>
            </w:r>
            <w:r w:rsidRPr="001879F6">
              <w:rPr>
                <w:rFonts w:ascii="Times New Roman" w:hAnsi="Times New Roman" w:cs="Times New Roman"/>
                <w:sz w:val="20"/>
                <w:szCs w:val="20"/>
              </w:rPr>
              <w:t xml:space="preserve"> impacto ambiental expressivo para o Município, </w:t>
            </w:r>
            <w:r w:rsidR="00BD6B87">
              <w:rPr>
                <w:rFonts w:ascii="Times New Roman" w:hAnsi="Times New Roman" w:cs="Times New Roman"/>
                <w:sz w:val="20"/>
                <w:szCs w:val="20"/>
              </w:rPr>
              <w:t xml:space="preserve">estes </w:t>
            </w:r>
            <w:r w:rsidRPr="001879F6">
              <w:rPr>
                <w:rFonts w:ascii="Times New Roman" w:hAnsi="Times New Roman" w:cs="Times New Roman"/>
                <w:sz w:val="20"/>
                <w:szCs w:val="20"/>
              </w:rPr>
              <w:t>são compostos por materiais plásticos, metálicos e eletrônicos, além de cabos, sensores, placas, baterias recarregáveis e outros componentes que demandam consumo de recursos naturais e energia em sua produção e que, ao final da vida útil, não poderão ser descartados juntamente com os resíduos sólidos urbanos comuns.</w:t>
            </w:r>
          </w:p>
          <w:p w14:paraId="068FDC60" w14:textId="77777777" w:rsidR="001879F6" w:rsidRPr="001879F6" w:rsidRDefault="001879F6" w:rsidP="001879F6">
            <w:pPr>
              <w:spacing w:after="0" w:line="276" w:lineRule="auto"/>
              <w:ind w:firstLine="596"/>
              <w:rPr>
                <w:rFonts w:ascii="Times New Roman" w:hAnsi="Times New Roman" w:cs="Times New Roman"/>
                <w:sz w:val="20"/>
                <w:szCs w:val="20"/>
              </w:rPr>
            </w:pPr>
            <w:r w:rsidRPr="001879F6">
              <w:rPr>
                <w:rFonts w:ascii="Times New Roman" w:hAnsi="Times New Roman" w:cs="Times New Roman"/>
                <w:sz w:val="20"/>
                <w:szCs w:val="20"/>
              </w:rPr>
              <w:t>Durante a utilização, os principais impactos estarão relacionados ao consumo de energia elétrica para funcionamento e recarga das baterias, bem como à substituição periódica de acessórios, sensores, cabos, baterias e componentes sujeitos a desgaste. Para sua mitigação, deverão ser priorizados equipamentos com consumo energético compatível com sua finalidade, baterias recarregáveis de adequada durabilidade, disponibilidade de peças de reposição e possibilidade de manutenção, evitando-se a substituição prematura dos bens. A garantia e a assistência técnica também contribuirão para prolongar sua vida útil e reduzir a geração desnecessária de resíduos eletroeletrônicos.</w:t>
            </w:r>
          </w:p>
          <w:p w14:paraId="58060DD0" w14:textId="77777777" w:rsidR="001879F6" w:rsidRPr="001879F6" w:rsidRDefault="001879F6" w:rsidP="001879F6">
            <w:pPr>
              <w:spacing w:after="0" w:line="276" w:lineRule="auto"/>
              <w:ind w:firstLine="596"/>
              <w:rPr>
                <w:rFonts w:ascii="Times New Roman" w:hAnsi="Times New Roman" w:cs="Times New Roman"/>
                <w:sz w:val="20"/>
                <w:szCs w:val="20"/>
              </w:rPr>
            </w:pPr>
            <w:r w:rsidRPr="001879F6">
              <w:rPr>
                <w:rFonts w:ascii="Times New Roman" w:hAnsi="Times New Roman" w:cs="Times New Roman"/>
                <w:sz w:val="20"/>
                <w:szCs w:val="20"/>
              </w:rPr>
              <w:t>As embalagens utilizadas no fornecimento poderão gerar resíduos de papelão, plástico, isopor e outros materiais de proteção. Como as unidades poderão ser adquiridas e entregues em momentos distintos, cada equipamento deverá ser acondicionado em embalagem dimensionada de forma suficiente para assegurar sua integridade, evitando-se, sempre que tecnicamente possível, o emprego excessivo de materiais. Após a entrega, as embalagens deverão ser separadas e encaminhadas aos procedimentos de reutilização, reciclagem ou destinação ambientalmente adequada adotados pelo Município.</w:t>
            </w:r>
          </w:p>
          <w:p w14:paraId="464EA403" w14:textId="77777777" w:rsidR="00566D7F" w:rsidRDefault="001879F6" w:rsidP="001879F6">
            <w:pPr>
              <w:spacing w:after="0" w:line="276" w:lineRule="auto"/>
              <w:ind w:firstLine="596"/>
              <w:rPr>
                <w:rFonts w:ascii="Times New Roman" w:hAnsi="Times New Roman" w:cs="Times New Roman"/>
                <w:sz w:val="20"/>
                <w:szCs w:val="20"/>
              </w:rPr>
            </w:pPr>
            <w:r w:rsidRPr="001879F6">
              <w:rPr>
                <w:rFonts w:ascii="Times New Roman" w:hAnsi="Times New Roman" w:cs="Times New Roman"/>
                <w:sz w:val="20"/>
                <w:szCs w:val="20"/>
              </w:rPr>
              <w:t>A utilização e a conservação adequadas serão essenciais para evitar danos, falhas precoces e descarte antecipado. Os profissionais responsáveis deverão observar as orientações do fabricante quanto à operação, recarga da bateria, limpeza, desinfecção, armazenamento e transporte dos equipamentos. Os acessórios descartáveis eventualmente utilizados deverão ser segregados e destinados de acordo com sua natureza, especialmente quando tiverem contato com pacientes ou apresentarem risco biológico, observando-se os procedimentos municipais aplicáveis ao gerenciamento dos resíduos dos serviços de saúde.</w:t>
            </w:r>
            <w:r w:rsidR="00566D7F">
              <w:rPr>
                <w:rFonts w:ascii="Times New Roman" w:hAnsi="Times New Roman" w:cs="Times New Roman"/>
                <w:sz w:val="20"/>
                <w:szCs w:val="20"/>
              </w:rPr>
              <w:t xml:space="preserve"> </w:t>
            </w:r>
          </w:p>
          <w:p w14:paraId="4D8420CF" w14:textId="125E4A22" w:rsidR="001879F6" w:rsidRPr="001879F6" w:rsidRDefault="001879F6" w:rsidP="001879F6">
            <w:pPr>
              <w:spacing w:after="0" w:line="276" w:lineRule="auto"/>
              <w:ind w:firstLine="596"/>
              <w:rPr>
                <w:rFonts w:ascii="Times New Roman" w:hAnsi="Times New Roman" w:cs="Times New Roman"/>
                <w:sz w:val="20"/>
                <w:szCs w:val="20"/>
              </w:rPr>
            </w:pPr>
            <w:r w:rsidRPr="001879F6">
              <w:rPr>
                <w:rFonts w:ascii="Times New Roman" w:hAnsi="Times New Roman" w:cs="Times New Roman"/>
                <w:sz w:val="20"/>
                <w:szCs w:val="20"/>
              </w:rPr>
              <w:t>Ao final da vida útil, cada monitor deverá ser submetido à avaliação técnica e patrimonial para verificar a possibilidade de manutenção, recuperação, reaproveitamento, transferência ou desfazimento. Quando não houver possibilidade de reutilização, seus componentes eletrônicos, cabos, placas, sensores e baterias deverão receber destinação ambientalmente adequada, vedado o descarte em lixo comum.</w:t>
            </w:r>
          </w:p>
          <w:p w14:paraId="4694E75F" w14:textId="3D04D477" w:rsidR="001879F6" w:rsidRPr="001879F6" w:rsidRDefault="001879F6" w:rsidP="001879F6">
            <w:pPr>
              <w:spacing w:after="0" w:line="276" w:lineRule="auto"/>
              <w:ind w:firstLine="596"/>
              <w:rPr>
                <w:rFonts w:ascii="Times New Roman" w:hAnsi="Times New Roman" w:cs="Times New Roman"/>
                <w:sz w:val="20"/>
                <w:szCs w:val="20"/>
              </w:rPr>
            </w:pPr>
            <w:r w:rsidRPr="001879F6">
              <w:rPr>
                <w:rFonts w:ascii="Times New Roman" w:hAnsi="Times New Roman" w:cs="Times New Roman"/>
                <w:sz w:val="20"/>
                <w:szCs w:val="20"/>
              </w:rPr>
              <w:t>A Administração deverá observar a Política Nacional de Resíduos Sólidos, inclusive quanto à responsabilidade compartilhada pelo ciclo de vida dos produtos e aos sistemas de logística reversa aplicáveis a pilhas, baterias, produtos eletroeletrônicos e seus componentes.</w:t>
            </w:r>
            <w:r w:rsidR="00566D7F">
              <w:rPr>
                <w:rFonts w:ascii="Times New Roman" w:hAnsi="Times New Roman" w:cs="Times New Roman"/>
                <w:sz w:val="20"/>
                <w:szCs w:val="20"/>
              </w:rPr>
              <w:t xml:space="preserve"> </w:t>
            </w:r>
            <w:r w:rsidRPr="001879F6">
              <w:rPr>
                <w:rFonts w:ascii="Times New Roman" w:hAnsi="Times New Roman" w:cs="Times New Roman"/>
                <w:sz w:val="20"/>
                <w:szCs w:val="20"/>
              </w:rPr>
              <w:t>Quando houver sistema de logística reversa disponibilizado pelo fabricante, importador, distribuidor ou fornecedor, a Administração deverá priorizar a devolução dos componentes inservíveis por esse mecanismo. Na ausência dessa possibilidade, os resíduos deverão ser encaminhados a empresa, entidade ou ponto de recebimento devidamente habilitado, mantendo-se os registros necessários para comprovar a destinação ambientalmente adequada e a regular baixa patrimonial.</w:t>
            </w:r>
          </w:p>
          <w:p w14:paraId="061FD28D" w14:textId="4C631B39" w:rsidR="00B62DC3" w:rsidRPr="00115AD4" w:rsidRDefault="001879F6" w:rsidP="00715CA4">
            <w:pPr>
              <w:spacing w:after="0" w:line="276" w:lineRule="auto"/>
              <w:ind w:firstLine="596"/>
              <w:rPr>
                <w:rFonts w:ascii="Times New Roman" w:hAnsi="Times New Roman" w:cs="Times New Roman"/>
                <w:sz w:val="20"/>
                <w:szCs w:val="20"/>
              </w:rPr>
            </w:pPr>
            <w:r w:rsidRPr="001879F6">
              <w:rPr>
                <w:rFonts w:ascii="Times New Roman" w:hAnsi="Times New Roman" w:cs="Times New Roman"/>
                <w:sz w:val="20"/>
                <w:szCs w:val="20"/>
              </w:rPr>
              <w:t>Dessa forma, os impactos ambientais identificados poderão ser adequadamente controlados por meio da aquisição de equipamentos duráveis e reparáveis, do uso racional de energia, da correta operação e manutenção, da redução e segregação das embalagens e da destinação adequada dos componentes ao final de sua vida útil. Essas medidas deverão observar a Lei Federal nº 12.305/2010, a Lei Federal nº 14.133/2021, a Lei Municipal nº 1.984/2008 e as demais normas ambientais, sanitárias e patrimoniais aplicáveis, promovendo a sustentabilidade da contratação sem impor exigências desproporcionais ou restritivas à competitividade.</w:t>
            </w:r>
          </w:p>
        </w:tc>
      </w:tr>
    </w:tbl>
    <w:p w14:paraId="74D04324" w14:textId="77777777" w:rsidR="008F76F3" w:rsidRPr="00A00198" w:rsidRDefault="008F76F3" w:rsidP="00715CA4">
      <w:pPr>
        <w:spacing w:after="0" w:line="276" w:lineRule="auto"/>
        <w:rPr>
          <w:rFonts w:ascii="Times New Roman" w:eastAsia="Times New Roman" w:hAnsi="Times New Roman" w:cs="Times New Roman"/>
          <w:color w:val="000000"/>
          <w:sz w:val="20"/>
          <w:szCs w:val="20"/>
          <w:lang w:eastAsia="pt-BR"/>
        </w:rPr>
      </w:pPr>
    </w:p>
    <w:tbl>
      <w:tblPr>
        <w:tblStyle w:val="Tabelacomgrade"/>
        <w:tblW w:w="9209" w:type="dxa"/>
        <w:tblLook w:val="04A0" w:firstRow="1" w:lastRow="0" w:firstColumn="1" w:lastColumn="0" w:noHBand="0" w:noVBand="1"/>
      </w:tblPr>
      <w:tblGrid>
        <w:gridCol w:w="9209"/>
      </w:tblGrid>
      <w:tr w:rsidR="008F76F3" w:rsidRPr="00A00198" w14:paraId="1DAC76C7" w14:textId="77777777" w:rsidTr="000F458C">
        <w:tc>
          <w:tcPr>
            <w:tcW w:w="9209" w:type="dxa"/>
          </w:tcPr>
          <w:p w14:paraId="74ACA114" w14:textId="630CFBDB" w:rsidR="008F76F3" w:rsidRPr="00A00198" w:rsidRDefault="008F76F3" w:rsidP="00715CA4">
            <w:pPr>
              <w:spacing w:after="0" w:line="276" w:lineRule="auto"/>
              <w:ind w:firstLine="0"/>
              <w:rPr>
                <w:rFonts w:ascii="Times New Roman" w:hAnsi="Times New Roman" w:cs="Times New Roman"/>
                <w:b/>
                <w:sz w:val="20"/>
                <w:szCs w:val="20"/>
              </w:rPr>
            </w:pPr>
            <w:r w:rsidRPr="00A00198">
              <w:rPr>
                <w:rFonts w:ascii="Times New Roman" w:eastAsia="Times New Roman" w:hAnsi="Times New Roman" w:cs="Times New Roman"/>
                <w:b/>
                <w:bCs/>
                <w:color w:val="000000"/>
                <w:sz w:val="20"/>
                <w:szCs w:val="20"/>
                <w:lang w:eastAsia="pt-BR"/>
              </w:rPr>
              <w:t>13 – VIABILIDADE DA CONTRATAÇÃO</w:t>
            </w:r>
            <w:r w:rsidR="00FC4923">
              <w:rPr>
                <w:rFonts w:ascii="Times New Roman" w:eastAsia="Times New Roman" w:hAnsi="Times New Roman" w:cs="Times New Roman"/>
                <w:b/>
                <w:bCs/>
                <w:color w:val="000000"/>
                <w:sz w:val="20"/>
                <w:szCs w:val="20"/>
                <w:lang w:eastAsia="pt-BR"/>
              </w:rPr>
              <w:t>:</w:t>
            </w:r>
          </w:p>
        </w:tc>
      </w:tr>
      <w:tr w:rsidR="008F76F3" w:rsidRPr="00A00198" w14:paraId="72CA4F45" w14:textId="77777777" w:rsidTr="000F458C">
        <w:tc>
          <w:tcPr>
            <w:tcW w:w="9209" w:type="dxa"/>
            <w:shd w:val="clear" w:color="auto" w:fill="F2F2F2" w:themeFill="background1" w:themeFillShade="F2"/>
          </w:tcPr>
          <w:p w14:paraId="7C55632A" w14:textId="77777777" w:rsidR="008F76F3" w:rsidRPr="00A00198" w:rsidRDefault="008F76F3" w:rsidP="00715CA4">
            <w:pPr>
              <w:spacing w:after="0" w:line="276" w:lineRule="auto"/>
              <w:ind w:firstLine="0"/>
              <w:rPr>
                <w:rFonts w:ascii="Times New Roman" w:eastAsia="Times New Roman" w:hAnsi="Times New Roman" w:cs="Times New Roman"/>
                <w:color w:val="000000"/>
                <w:sz w:val="20"/>
                <w:szCs w:val="20"/>
                <w:lang w:eastAsia="pt-BR"/>
              </w:rPr>
            </w:pPr>
            <w:r w:rsidRPr="00A00198">
              <w:rPr>
                <w:rFonts w:ascii="Times New Roman" w:eastAsia="Times New Roman" w:hAnsi="Times New Roman" w:cs="Times New Roman"/>
                <w:bCs/>
                <w:color w:val="000000"/>
                <w:sz w:val="20"/>
                <w:szCs w:val="20"/>
                <w:lang w:eastAsia="pt-BR"/>
              </w:rPr>
              <w:t xml:space="preserve">Fundamentação: </w:t>
            </w:r>
            <w:r w:rsidRPr="00A00198">
              <w:rPr>
                <w:rFonts w:ascii="Times New Roman" w:hAnsi="Times New Roman" w:cs="Times New Roman"/>
                <w:sz w:val="20"/>
                <w:szCs w:val="20"/>
              </w:rPr>
              <w:t>Posicionamento conclusivo sobre a adequação da contratação para o atendimento da necessidade a que se destina</w:t>
            </w:r>
            <w:r w:rsidRPr="00A00198">
              <w:rPr>
                <w:rFonts w:ascii="Times New Roman" w:eastAsia="Times New Roman" w:hAnsi="Times New Roman" w:cs="Times New Roman"/>
                <w:color w:val="000000"/>
                <w:sz w:val="20"/>
                <w:szCs w:val="20"/>
                <w:lang w:eastAsia="pt-BR"/>
              </w:rPr>
              <w:t xml:space="preserve"> (inciso XIII do § 1° do art. 18 da Lei 14.133/21); </w:t>
            </w:r>
          </w:p>
        </w:tc>
      </w:tr>
      <w:tr w:rsidR="008F76F3" w:rsidRPr="00A00198" w14:paraId="56CC54A4" w14:textId="77777777" w:rsidTr="000F458C">
        <w:tc>
          <w:tcPr>
            <w:tcW w:w="9209" w:type="dxa"/>
          </w:tcPr>
          <w:p w14:paraId="1ED78B7C" w14:textId="77777777" w:rsidR="001879F6" w:rsidRPr="001879F6" w:rsidRDefault="001879F6" w:rsidP="001879F6">
            <w:pPr>
              <w:spacing w:after="0" w:line="276" w:lineRule="auto"/>
              <w:ind w:firstLine="594"/>
              <w:rPr>
                <w:rFonts w:ascii="Times New Roman" w:hAnsi="Times New Roman" w:cs="Times New Roman"/>
                <w:sz w:val="20"/>
                <w:szCs w:val="20"/>
              </w:rPr>
            </w:pPr>
            <w:r w:rsidRPr="001879F6">
              <w:rPr>
                <w:rFonts w:ascii="Times New Roman" w:hAnsi="Times New Roman" w:cs="Times New Roman"/>
                <w:sz w:val="20"/>
                <w:szCs w:val="20"/>
              </w:rPr>
              <w:t xml:space="preserve">Com base nas análises técnica, operacional, econômica, orçamentária, ambiental e mercadológica desenvolvidas neste Estudo Técnico Preliminar, conclui-se que o registro de preços para eventual aquisição de até 2 (dois) monitores cardíacos </w:t>
            </w:r>
            <w:proofErr w:type="spellStart"/>
            <w:r w:rsidRPr="001879F6">
              <w:rPr>
                <w:rFonts w:ascii="Times New Roman" w:hAnsi="Times New Roman" w:cs="Times New Roman"/>
                <w:sz w:val="20"/>
                <w:szCs w:val="20"/>
              </w:rPr>
              <w:t>multiparamétricos</w:t>
            </w:r>
            <w:proofErr w:type="spellEnd"/>
            <w:r w:rsidRPr="001879F6">
              <w:rPr>
                <w:rFonts w:ascii="Times New Roman" w:hAnsi="Times New Roman" w:cs="Times New Roman"/>
                <w:sz w:val="20"/>
                <w:szCs w:val="20"/>
              </w:rPr>
              <w:t xml:space="preserve"> é adequado ao atendimento da necessidade identificada pela Secretaria Municipal de Saúde, Assistência Social e Habitação. O quantitativo mostra-se proporcional à estrutura assistencial existente, considerando a necessidade imediata de uma unidade para a Unidade Básica de Saúde e a possibilidade de aquisição posterior da segunda unidade, caso seja demonstrada necessidade adicional durante a vigência da Ata de Registro de Preços.</w:t>
            </w:r>
          </w:p>
          <w:p w14:paraId="4E0EE98A" w14:textId="77777777" w:rsidR="001879F6" w:rsidRPr="001879F6" w:rsidRDefault="001879F6" w:rsidP="001879F6">
            <w:pPr>
              <w:spacing w:after="0" w:line="276" w:lineRule="auto"/>
              <w:ind w:firstLine="594"/>
              <w:rPr>
                <w:rFonts w:ascii="Times New Roman" w:hAnsi="Times New Roman" w:cs="Times New Roman"/>
                <w:sz w:val="20"/>
                <w:szCs w:val="20"/>
              </w:rPr>
            </w:pPr>
            <w:r w:rsidRPr="001879F6">
              <w:rPr>
                <w:rFonts w:ascii="Times New Roman" w:hAnsi="Times New Roman" w:cs="Times New Roman"/>
                <w:sz w:val="20"/>
                <w:szCs w:val="20"/>
              </w:rPr>
              <w:t>A aquisição de equipamentos próprios apresenta-se como a solução mais apropriada, por assegurar disponibilidade contínua, autonomia operacional e incorporação dos bens ao patrimônio municipal. Caso sejam adquiridas as duas unidades, será possível manter disponibilidade simultânea na Unidade Básica de Saúde e na ambulância municipal, reduzindo a movimentação dos equipamentos e o risco de indisponibilidade durante transportes ou atendimentos concomitantes.</w:t>
            </w:r>
          </w:p>
          <w:p w14:paraId="1496ED73" w14:textId="4A017A3B" w:rsidR="001879F6" w:rsidRPr="001879F6" w:rsidRDefault="001879F6" w:rsidP="001879F6">
            <w:pPr>
              <w:spacing w:after="0" w:line="276" w:lineRule="auto"/>
              <w:ind w:firstLine="594"/>
              <w:rPr>
                <w:rFonts w:ascii="Times New Roman" w:hAnsi="Times New Roman" w:cs="Times New Roman"/>
                <w:sz w:val="20"/>
                <w:szCs w:val="20"/>
              </w:rPr>
            </w:pPr>
            <w:r w:rsidRPr="001879F6">
              <w:rPr>
                <w:rFonts w:ascii="Times New Roman" w:hAnsi="Times New Roman" w:cs="Times New Roman"/>
                <w:sz w:val="20"/>
                <w:szCs w:val="20"/>
              </w:rPr>
              <w:t>O levantamento de mercado demonstrou a existência de fornecedores e modelos capazes de atender aos requisitos de portabilidade, autonomia, segurança e monitoramento clínico definidos pela Administração, sendo possível estabelecer especificações objetivas sem restrição injustificada à competitividade.</w:t>
            </w:r>
            <w:r w:rsidR="00BD6B87">
              <w:rPr>
                <w:rFonts w:ascii="Times New Roman" w:hAnsi="Times New Roman" w:cs="Times New Roman"/>
                <w:sz w:val="20"/>
                <w:szCs w:val="20"/>
              </w:rPr>
              <w:t xml:space="preserve"> </w:t>
            </w:r>
            <w:r w:rsidRPr="001879F6">
              <w:rPr>
                <w:rFonts w:ascii="Times New Roman" w:hAnsi="Times New Roman" w:cs="Times New Roman"/>
                <w:sz w:val="20"/>
                <w:szCs w:val="20"/>
              </w:rPr>
              <w:t>A contratação encontra-se alinhada ao Plano de Contratações Anual e possui estimativa de valor fundamentada em referências obtidas de contratações públicas similares, permitindo verificar a compatibilidade do orçamento com os preços praticados no mercado. Cada aquisição deverá ser precedida da confirmação da necessidade, da disponibilidade orçamentária e financeira, da emissão do respectivo empenho e do cumprimento das demais exigências aplicáveis.</w:t>
            </w:r>
          </w:p>
          <w:p w14:paraId="7D200D45" w14:textId="77777777" w:rsidR="001879F6" w:rsidRPr="001879F6" w:rsidRDefault="001879F6" w:rsidP="001879F6">
            <w:pPr>
              <w:spacing w:after="0" w:line="276" w:lineRule="auto"/>
              <w:ind w:firstLine="594"/>
              <w:rPr>
                <w:rFonts w:ascii="Times New Roman" w:hAnsi="Times New Roman" w:cs="Times New Roman"/>
                <w:sz w:val="20"/>
                <w:szCs w:val="20"/>
              </w:rPr>
            </w:pPr>
            <w:r w:rsidRPr="001879F6">
              <w:rPr>
                <w:rFonts w:ascii="Times New Roman" w:hAnsi="Times New Roman" w:cs="Times New Roman"/>
                <w:sz w:val="20"/>
                <w:szCs w:val="20"/>
              </w:rPr>
              <w:t>A adoção do Pregão Eletrônico, com utilização do Sistema de Registro de Preços, mostra-se compatível com a natureza comum do objeto e com a possibilidade de aquisição das unidades em momentos distintos. A existência da Ata de Registro de Preços não obrigará a Administração a adquirir integralmente o quantitativo registrado, ficando a segunda unidade condicionada à efetiva demonstração da necessidade e da vantajosidade da aquisição.</w:t>
            </w:r>
          </w:p>
          <w:p w14:paraId="56500493" w14:textId="180E9BAF" w:rsidR="00BD7104" w:rsidRPr="00A00198" w:rsidRDefault="000351DB" w:rsidP="00715CA4">
            <w:pPr>
              <w:spacing w:after="0" w:line="276" w:lineRule="auto"/>
              <w:ind w:firstLine="594"/>
              <w:rPr>
                <w:rFonts w:ascii="Times New Roman" w:hAnsi="Times New Roman" w:cs="Times New Roman"/>
                <w:sz w:val="20"/>
                <w:szCs w:val="20"/>
              </w:rPr>
            </w:pPr>
            <w:r w:rsidRPr="000351DB">
              <w:rPr>
                <w:rFonts w:ascii="Times New Roman" w:hAnsi="Times New Roman" w:cs="Times New Roman"/>
                <w:sz w:val="20"/>
                <w:szCs w:val="20"/>
              </w:rPr>
              <w:t xml:space="preserve">Diante do exposto, </w:t>
            </w:r>
            <w:r w:rsidRPr="000351DB">
              <w:rPr>
                <w:rFonts w:ascii="Times New Roman" w:hAnsi="Times New Roman" w:cs="Times New Roman"/>
                <w:b/>
                <w:bCs/>
                <w:sz w:val="20"/>
                <w:szCs w:val="20"/>
              </w:rPr>
              <w:t>DECLARA-SE VIÁVEL</w:t>
            </w:r>
            <w:r w:rsidRPr="000351DB">
              <w:rPr>
                <w:rFonts w:ascii="Times New Roman" w:hAnsi="Times New Roman" w:cs="Times New Roman"/>
                <w:sz w:val="20"/>
                <w:szCs w:val="20"/>
              </w:rPr>
              <w:t xml:space="preserve"> a contratação proposta, por se mostrar tecnicamente adequada, economicamente justificável, operacionalmente exequível e compatível com o planejamento da Administração, contribuindo para a segurança dos pacientes, a qualificação dos atendimentos realizados na Unidade Básica de Saúde e o suporte às remoções em ambulância, especialmente nas situações de urgência e emergência, com atendimento eficiente e proporcional ao interesse público.</w:t>
            </w:r>
          </w:p>
        </w:tc>
      </w:tr>
    </w:tbl>
    <w:p w14:paraId="030010B0" w14:textId="77777777" w:rsidR="00715CA4" w:rsidRDefault="00715CA4" w:rsidP="00715CA4">
      <w:pPr>
        <w:spacing w:after="0" w:line="276" w:lineRule="auto"/>
        <w:jc w:val="center"/>
        <w:rPr>
          <w:rFonts w:ascii="Times New Roman" w:hAnsi="Times New Roman" w:cs="Times New Roman"/>
          <w:sz w:val="20"/>
          <w:szCs w:val="20"/>
        </w:rPr>
      </w:pPr>
    </w:p>
    <w:p w14:paraId="0429229B" w14:textId="06FC8567" w:rsidR="00715CA4" w:rsidRPr="00715CA4" w:rsidRDefault="00715CA4" w:rsidP="00715CA4">
      <w:pPr>
        <w:spacing w:after="0" w:line="276" w:lineRule="auto"/>
        <w:ind w:firstLine="0"/>
        <w:rPr>
          <w:rFonts w:ascii="Times New Roman" w:hAnsi="Times New Roman" w:cs="Times New Roman"/>
          <w:b/>
          <w:bCs/>
          <w:sz w:val="20"/>
          <w:szCs w:val="20"/>
        </w:rPr>
      </w:pPr>
      <w:r w:rsidRPr="00715CA4">
        <w:rPr>
          <w:rFonts w:ascii="Times New Roman" w:hAnsi="Times New Roman" w:cs="Times New Roman"/>
          <w:b/>
          <w:bCs/>
          <w:sz w:val="20"/>
          <w:szCs w:val="20"/>
        </w:rPr>
        <w:t>RESPONSÁVE</w:t>
      </w:r>
      <w:r w:rsidR="0020369C">
        <w:rPr>
          <w:rFonts w:ascii="Times New Roman" w:hAnsi="Times New Roman" w:cs="Times New Roman"/>
          <w:b/>
          <w:bCs/>
          <w:sz w:val="20"/>
          <w:szCs w:val="20"/>
        </w:rPr>
        <w:t>IS</w:t>
      </w:r>
      <w:r w:rsidRPr="00715CA4">
        <w:rPr>
          <w:rFonts w:ascii="Times New Roman" w:hAnsi="Times New Roman" w:cs="Times New Roman"/>
          <w:b/>
          <w:bCs/>
          <w:sz w:val="20"/>
          <w:szCs w:val="20"/>
        </w:rPr>
        <w:t xml:space="preserve"> PELA REDAÇÃO DO ETP:</w:t>
      </w:r>
    </w:p>
    <w:p w14:paraId="79C5DA67" w14:textId="1EB3F934" w:rsidR="00715CA4" w:rsidRDefault="00715CA4" w:rsidP="00715CA4">
      <w:pPr>
        <w:spacing w:after="0" w:line="276" w:lineRule="auto"/>
        <w:ind w:firstLine="0"/>
        <w:rPr>
          <w:rFonts w:ascii="Times New Roman" w:hAnsi="Times New Roman" w:cs="Times New Roman"/>
          <w:sz w:val="20"/>
          <w:szCs w:val="20"/>
        </w:rPr>
      </w:pPr>
      <w:r>
        <w:rPr>
          <w:rFonts w:ascii="Times New Roman" w:hAnsi="Times New Roman" w:cs="Times New Roman"/>
          <w:sz w:val="20"/>
          <w:szCs w:val="20"/>
        </w:rPr>
        <w:t xml:space="preserve">Frederico da Silva Pacheco – Assessor do Departamento de Administração, Fazenda e Planejamento </w:t>
      </w:r>
    </w:p>
    <w:p w14:paraId="447925ED" w14:textId="19891094" w:rsidR="0020369C" w:rsidRDefault="0020369C" w:rsidP="00715CA4">
      <w:pPr>
        <w:spacing w:after="0" w:line="276" w:lineRule="auto"/>
        <w:ind w:firstLine="0"/>
        <w:rPr>
          <w:rFonts w:ascii="Times New Roman" w:hAnsi="Times New Roman" w:cs="Times New Roman"/>
          <w:sz w:val="20"/>
          <w:szCs w:val="20"/>
        </w:rPr>
      </w:pPr>
      <w:r>
        <w:rPr>
          <w:rFonts w:ascii="Times New Roman" w:hAnsi="Times New Roman" w:cs="Times New Roman"/>
          <w:sz w:val="20"/>
          <w:szCs w:val="20"/>
        </w:rPr>
        <w:t xml:space="preserve">Ernani Roque </w:t>
      </w:r>
      <w:proofErr w:type="spellStart"/>
      <w:r>
        <w:rPr>
          <w:rFonts w:ascii="Times New Roman" w:hAnsi="Times New Roman" w:cs="Times New Roman"/>
          <w:sz w:val="20"/>
          <w:szCs w:val="20"/>
        </w:rPr>
        <w:t>Stalter</w:t>
      </w:r>
      <w:proofErr w:type="spellEnd"/>
      <w:r>
        <w:rPr>
          <w:rFonts w:ascii="Times New Roman" w:hAnsi="Times New Roman" w:cs="Times New Roman"/>
          <w:sz w:val="20"/>
          <w:szCs w:val="20"/>
        </w:rPr>
        <w:t xml:space="preserve"> – Fiscal</w:t>
      </w:r>
    </w:p>
    <w:p w14:paraId="331034A4" w14:textId="77777777" w:rsidR="000F458C" w:rsidRDefault="000F458C" w:rsidP="00715CA4">
      <w:pPr>
        <w:spacing w:after="0" w:line="276" w:lineRule="auto"/>
        <w:jc w:val="center"/>
        <w:rPr>
          <w:rFonts w:ascii="Times New Roman" w:hAnsi="Times New Roman" w:cs="Times New Roman"/>
          <w:sz w:val="20"/>
          <w:szCs w:val="20"/>
        </w:rPr>
      </w:pPr>
    </w:p>
    <w:p w14:paraId="6097F678" w14:textId="4DA6DD8C" w:rsidR="000F458C" w:rsidRDefault="00117BBF" w:rsidP="00715CA4">
      <w:pPr>
        <w:spacing w:after="0" w:line="276" w:lineRule="auto"/>
        <w:jc w:val="center"/>
        <w:rPr>
          <w:rFonts w:ascii="Times New Roman" w:hAnsi="Times New Roman" w:cs="Times New Roman"/>
          <w:sz w:val="20"/>
          <w:szCs w:val="20"/>
        </w:rPr>
      </w:pPr>
      <w:r w:rsidRPr="00A00198">
        <w:rPr>
          <w:rFonts w:ascii="Times New Roman" w:hAnsi="Times New Roman" w:cs="Times New Roman"/>
          <w:sz w:val="20"/>
          <w:szCs w:val="20"/>
        </w:rPr>
        <w:t>Paverama/RS</w:t>
      </w:r>
      <w:r w:rsidR="008F76F3" w:rsidRPr="00A00198">
        <w:rPr>
          <w:rFonts w:ascii="Times New Roman" w:hAnsi="Times New Roman" w:cs="Times New Roman"/>
          <w:sz w:val="20"/>
          <w:szCs w:val="20"/>
        </w:rPr>
        <w:t xml:space="preserve">, </w:t>
      </w:r>
      <w:r w:rsidR="0020369C">
        <w:rPr>
          <w:rFonts w:ascii="Times New Roman" w:hAnsi="Times New Roman" w:cs="Times New Roman"/>
          <w:sz w:val="20"/>
          <w:szCs w:val="20"/>
        </w:rPr>
        <w:t>30</w:t>
      </w:r>
      <w:r w:rsidR="008F76F3" w:rsidRPr="00A00198">
        <w:rPr>
          <w:rFonts w:ascii="Times New Roman" w:hAnsi="Times New Roman" w:cs="Times New Roman"/>
          <w:sz w:val="20"/>
          <w:szCs w:val="20"/>
        </w:rPr>
        <w:t xml:space="preserve"> de </w:t>
      </w:r>
      <w:r w:rsidR="00E4720C">
        <w:rPr>
          <w:rFonts w:ascii="Times New Roman" w:hAnsi="Times New Roman" w:cs="Times New Roman"/>
          <w:sz w:val="20"/>
          <w:szCs w:val="20"/>
        </w:rPr>
        <w:t>julho</w:t>
      </w:r>
      <w:r w:rsidR="00A92FB1">
        <w:rPr>
          <w:rFonts w:ascii="Times New Roman" w:hAnsi="Times New Roman" w:cs="Times New Roman"/>
          <w:sz w:val="20"/>
          <w:szCs w:val="20"/>
        </w:rPr>
        <w:t xml:space="preserve"> </w:t>
      </w:r>
      <w:r w:rsidR="008F76F3" w:rsidRPr="00A00198">
        <w:rPr>
          <w:rFonts w:ascii="Times New Roman" w:hAnsi="Times New Roman" w:cs="Times New Roman"/>
          <w:sz w:val="20"/>
          <w:szCs w:val="20"/>
        </w:rPr>
        <w:t>de 202</w:t>
      </w:r>
      <w:r w:rsidR="00715CA4">
        <w:rPr>
          <w:rFonts w:ascii="Times New Roman" w:hAnsi="Times New Roman" w:cs="Times New Roman"/>
          <w:sz w:val="20"/>
          <w:szCs w:val="20"/>
        </w:rPr>
        <w:t>6</w:t>
      </w:r>
      <w:r w:rsidR="008F76F3" w:rsidRPr="00A00198">
        <w:rPr>
          <w:rFonts w:ascii="Times New Roman" w:hAnsi="Times New Roman" w:cs="Times New Roman"/>
          <w:sz w:val="20"/>
          <w:szCs w:val="20"/>
        </w:rPr>
        <w:t>.</w:t>
      </w:r>
    </w:p>
    <w:p w14:paraId="0B57C833" w14:textId="77777777" w:rsidR="00BD6B87" w:rsidRDefault="00BD6B87" w:rsidP="00715CA4">
      <w:pPr>
        <w:spacing w:after="0" w:line="276" w:lineRule="auto"/>
        <w:jc w:val="center"/>
        <w:rPr>
          <w:rFonts w:ascii="Times New Roman" w:hAnsi="Times New Roman" w:cs="Times New Roman"/>
          <w:sz w:val="20"/>
          <w:szCs w:val="20"/>
        </w:rPr>
      </w:pPr>
    </w:p>
    <w:p w14:paraId="1E0A64BF" w14:textId="77777777" w:rsidR="00715CA4" w:rsidRDefault="00715CA4" w:rsidP="00715CA4">
      <w:pPr>
        <w:spacing w:after="0" w:line="276" w:lineRule="auto"/>
        <w:jc w:val="center"/>
        <w:rPr>
          <w:rFonts w:ascii="Times New Roman" w:hAnsi="Times New Roman" w:cs="Times New Roman"/>
          <w:sz w:val="20"/>
          <w:szCs w:val="20"/>
        </w:rPr>
      </w:pPr>
    </w:p>
    <w:p w14:paraId="456382C6" w14:textId="77777777" w:rsidR="00715CA4" w:rsidRDefault="00715CA4" w:rsidP="00715CA4">
      <w:pPr>
        <w:spacing w:after="0" w:line="276" w:lineRule="auto"/>
        <w:jc w:val="center"/>
        <w:rPr>
          <w:rFonts w:ascii="Times New Roman" w:hAnsi="Times New Roman" w:cs="Times New Roman"/>
          <w:sz w:val="20"/>
          <w:szCs w:val="20"/>
        </w:rPr>
      </w:pPr>
    </w:p>
    <w:p w14:paraId="5EC4194B" w14:textId="77777777" w:rsidR="0020369C" w:rsidRDefault="0020369C" w:rsidP="00715CA4">
      <w:pPr>
        <w:spacing w:after="0" w:line="276" w:lineRule="auto"/>
        <w:ind w:firstLine="0"/>
        <w:jc w:val="center"/>
        <w:rPr>
          <w:rFonts w:ascii="Times New Roman" w:hAnsi="Times New Roman" w:cs="Times New Roman"/>
          <w:b/>
          <w:bCs/>
          <w:sz w:val="20"/>
          <w:szCs w:val="20"/>
        </w:rPr>
        <w:sectPr w:rsidR="0020369C" w:rsidSect="00566D7F">
          <w:headerReference w:type="default" r:id="rId8"/>
          <w:footerReference w:type="default" r:id="rId9"/>
          <w:headerReference w:type="first" r:id="rId10"/>
          <w:footerReference w:type="first" r:id="rId11"/>
          <w:pgSz w:w="11906" w:h="16838" w:code="9"/>
          <w:pgMar w:top="1843" w:right="1134" w:bottom="1134" w:left="1701" w:header="113" w:footer="284" w:gutter="0"/>
          <w:cols w:space="708"/>
          <w:titlePg/>
          <w:docGrid w:linePitch="360"/>
        </w:sectPr>
      </w:pPr>
    </w:p>
    <w:p w14:paraId="06C0185D" w14:textId="232894A9" w:rsidR="00715CA4" w:rsidRPr="00715CA4" w:rsidRDefault="00715CA4" w:rsidP="00715CA4">
      <w:pPr>
        <w:spacing w:after="0" w:line="276" w:lineRule="auto"/>
        <w:ind w:firstLine="0"/>
        <w:jc w:val="center"/>
        <w:rPr>
          <w:rFonts w:ascii="Times New Roman" w:hAnsi="Times New Roman" w:cs="Times New Roman"/>
          <w:b/>
          <w:bCs/>
          <w:sz w:val="20"/>
          <w:szCs w:val="20"/>
        </w:rPr>
      </w:pPr>
      <w:r w:rsidRPr="00715CA4">
        <w:rPr>
          <w:rFonts w:ascii="Times New Roman" w:hAnsi="Times New Roman" w:cs="Times New Roman"/>
          <w:b/>
          <w:bCs/>
          <w:sz w:val="20"/>
          <w:szCs w:val="20"/>
        </w:rPr>
        <w:t>FREDERICO DA SILVA PACHECO</w:t>
      </w:r>
    </w:p>
    <w:p w14:paraId="6DF6CD19" w14:textId="5BA719AA" w:rsidR="0020369C" w:rsidRDefault="00715CA4" w:rsidP="00715CA4">
      <w:pPr>
        <w:spacing w:after="0" w:line="276" w:lineRule="auto"/>
        <w:ind w:firstLine="0"/>
        <w:jc w:val="center"/>
        <w:rPr>
          <w:rFonts w:ascii="Times New Roman" w:hAnsi="Times New Roman" w:cs="Times New Roman"/>
          <w:b/>
          <w:bCs/>
          <w:sz w:val="20"/>
          <w:szCs w:val="20"/>
        </w:rPr>
      </w:pPr>
      <w:r w:rsidRPr="00715CA4">
        <w:rPr>
          <w:rFonts w:ascii="Times New Roman" w:hAnsi="Times New Roman" w:cs="Times New Roman"/>
          <w:b/>
          <w:bCs/>
          <w:sz w:val="20"/>
          <w:szCs w:val="20"/>
        </w:rPr>
        <w:t>Assessor do Departamento de Administração, Fazenda e Planejamento</w:t>
      </w:r>
    </w:p>
    <w:p w14:paraId="66DE915B" w14:textId="1EF8AD26" w:rsidR="0020369C" w:rsidRDefault="0020369C" w:rsidP="00715CA4">
      <w:pPr>
        <w:spacing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ERNANI ROQUE STALTER</w:t>
      </w:r>
    </w:p>
    <w:p w14:paraId="28ABB719" w14:textId="42D0A929" w:rsidR="0020369C" w:rsidRPr="00715CA4" w:rsidRDefault="0020369C" w:rsidP="00715CA4">
      <w:pPr>
        <w:spacing w:after="0" w:line="276" w:lineRule="auto"/>
        <w:ind w:firstLine="0"/>
        <w:jc w:val="center"/>
        <w:rPr>
          <w:rFonts w:ascii="Times New Roman" w:hAnsi="Times New Roman" w:cs="Times New Roman"/>
          <w:b/>
          <w:bCs/>
          <w:sz w:val="20"/>
          <w:szCs w:val="20"/>
        </w:rPr>
      </w:pPr>
      <w:r>
        <w:rPr>
          <w:rFonts w:ascii="Times New Roman" w:hAnsi="Times New Roman" w:cs="Times New Roman"/>
          <w:b/>
          <w:bCs/>
          <w:sz w:val="20"/>
          <w:szCs w:val="20"/>
        </w:rPr>
        <w:t>Fiscal</w:t>
      </w:r>
    </w:p>
    <w:p w14:paraId="240B2C16" w14:textId="77777777" w:rsidR="0020369C" w:rsidRDefault="0020369C" w:rsidP="00715CA4">
      <w:pPr>
        <w:spacing w:after="0" w:line="276" w:lineRule="auto"/>
        <w:jc w:val="center"/>
        <w:rPr>
          <w:rFonts w:ascii="Times New Roman" w:hAnsi="Times New Roman" w:cs="Times New Roman"/>
          <w:sz w:val="20"/>
          <w:szCs w:val="20"/>
        </w:rPr>
        <w:sectPr w:rsidR="0020369C" w:rsidSect="0020369C">
          <w:type w:val="continuous"/>
          <w:pgSz w:w="11906" w:h="16838" w:code="9"/>
          <w:pgMar w:top="1843" w:right="1134" w:bottom="1134" w:left="1701" w:header="113" w:footer="284" w:gutter="0"/>
          <w:cols w:num="2" w:space="708"/>
          <w:titlePg/>
          <w:docGrid w:linePitch="360"/>
        </w:sectPr>
      </w:pPr>
    </w:p>
    <w:p w14:paraId="3A90CDFF" w14:textId="77777777" w:rsidR="00810D15" w:rsidRDefault="00810D15" w:rsidP="00715CA4">
      <w:pPr>
        <w:spacing w:after="0" w:line="276" w:lineRule="auto"/>
        <w:jc w:val="right"/>
        <w:rPr>
          <w:rFonts w:ascii="Times New Roman" w:hAnsi="Times New Roman" w:cs="Times New Roman"/>
          <w:sz w:val="20"/>
          <w:szCs w:val="20"/>
        </w:rPr>
      </w:pPr>
    </w:p>
    <w:p w14:paraId="77984902" w14:textId="41A7F9B6" w:rsidR="00430906" w:rsidRDefault="00430906" w:rsidP="00715CA4">
      <w:pPr>
        <w:spacing w:line="276" w:lineRule="auto"/>
        <w:rPr>
          <w:rFonts w:ascii="Times New Roman" w:hAnsi="Times New Roman" w:cs="Times New Roman"/>
          <w:sz w:val="20"/>
          <w:szCs w:val="20"/>
        </w:rPr>
      </w:pPr>
      <w:r w:rsidRPr="004C117C">
        <w:rPr>
          <w:rFonts w:ascii="Times New Roman" w:hAnsi="Times New Roman" w:cs="Times New Roman"/>
          <w:sz w:val="20"/>
          <w:szCs w:val="20"/>
        </w:rPr>
        <w:t>Realizadas as tarefas pertinentes ao ETP, encaminho o documento solicitando ciência e aprovação para posterior elaboração do Termo de Referência.</w:t>
      </w:r>
    </w:p>
    <w:p w14:paraId="41618BD8" w14:textId="77777777" w:rsidR="00BD6B87" w:rsidRPr="00BD6B87" w:rsidRDefault="00BD6B87" w:rsidP="00715CA4">
      <w:pPr>
        <w:spacing w:line="276" w:lineRule="auto"/>
        <w:rPr>
          <w:rFonts w:ascii="Times New Roman" w:hAnsi="Times New Roman" w:cs="Times New Roman"/>
          <w:sz w:val="20"/>
          <w:szCs w:val="20"/>
        </w:rPr>
      </w:pPr>
    </w:p>
    <w:tbl>
      <w:tblPr>
        <w:tblStyle w:val="Tabelacomgrade"/>
        <w:tblW w:w="9209" w:type="dxa"/>
        <w:tblLook w:val="04A0" w:firstRow="1" w:lastRow="0" w:firstColumn="1" w:lastColumn="0" w:noHBand="0" w:noVBand="1"/>
      </w:tblPr>
      <w:tblGrid>
        <w:gridCol w:w="9209"/>
      </w:tblGrid>
      <w:tr w:rsidR="00430906" w14:paraId="54B2663D" w14:textId="77777777" w:rsidTr="00883842">
        <w:tc>
          <w:tcPr>
            <w:tcW w:w="9209" w:type="dxa"/>
          </w:tcPr>
          <w:p w14:paraId="74677CE4" w14:textId="77777777" w:rsidR="00430906" w:rsidRPr="00430906" w:rsidRDefault="00430906" w:rsidP="00BD6B87">
            <w:pPr>
              <w:spacing w:after="0" w:line="360" w:lineRule="auto"/>
              <w:ind w:firstLine="0"/>
              <w:jc w:val="center"/>
              <w:rPr>
                <w:rFonts w:ascii="Times New Roman" w:hAnsi="Times New Roman" w:cs="Times New Roman"/>
                <w:b/>
                <w:sz w:val="20"/>
                <w:szCs w:val="20"/>
              </w:rPr>
            </w:pPr>
          </w:p>
          <w:p w14:paraId="412F304A" w14:textId="28F94A13" w:rsidR="00430906" w:rsidRDefault="001C4A53" w:rsidP="00BD6B87">
            <w:pPr>
              <w:spacing w:after="0" w:line="360" w:lineRule="auto"/>
              <w:ind w:firstLine="0"/>
              <w:jc w:val="center"/>
              <w:rPr>
                <w:rFonts w:ascii="Times New Roman" w:hAnsi="Times New Roman" w:cs="Times New Roman"/>
                <w:b/>
                <w:sz w:val="20"/>
                <w:szCs w:val="20"/>
              </w:rPr>
            </w:pPr>
            <w:r w:rsidRPr="001C4A53">
              <w:rPr>
                <w:rFonts w:ascii="Times New Roman" w:hAnsi="Times New Roman" w:cs="Times New Roman"/>
                <w:b/>
                <w:sz w:val="20"/>
                <w:szCs w:val="20"/>
              </w:rPr>
              <w:t>SECRET</w:t>
            </w:r>
            <w:r>
              <w:rPr>
                <w:rFonts w:ascii="Times New Roman" w:hAnsi="Times New Roman" w:cs="Times New Roman"/>
                <w:b/>
                <w:sz w:val="20"/>
                <w:szCs w:val="20"/>
              </w:rPr>
              <w:t>A</w:t>
            </w:r>
            <w:r w:rsidRPr="001C4A53">
              <w:rPr>
                <w:rFonts w:ascii="Times New Roman" w:hAnsi="Times New Roman" w:cs="Times New Roman"/>
                <w:b/>
                <w:sz w:val="20"/>
                <w:szCs w:val="20"/>
              </w:rPr>
              <w:t>RIA MUNICIPAL DE SAÚDE, ASSISTÊNCIA SOCIAL E HABITAÇÃO</w:t>
            </w:r>
            <w:r>
              <w:rPr>
                <w:rFonts w:ascii="Times New Roman" w:hAnsi="Times New Roman" w:cs="Times New Roman"/>
                <w:b/>
                <w:sz w:val="20"/>
                <w:szCs w:val="20"/>
              </w:rPr>
              <w:t>:</w:t>
            </w:r>
          </w:p>
          <w:p w14:paraId="4A5C4B4B" w14:textId="77777777" w:rsidR="00430906" w:rsidRPr="00883842" w:rsidRDefault="00430906" w:rsidP="00BD6B87">
            <w:pPr>
              <w:spacing w:after="0" w:line="360" w:lineRule="auto"/>
              <w:ind w:firstLine="314"/>
              <w:rPr>
                <w:rFonts w:ascii="Times New Roman" w:hAnsi="Times New Roman" w:cs="Times New Roman"/>
                <w:bCs/>
                <w:sz w:val="20"/>
                <w:szCs w:val="20"/>
              </w:rPr>
            </w:pPr>
            <w:r w:rsidRPr="00883842">
              <w:rPr>
                <w:rFonts w:ascii="Times New Roman" w:hAnsi="Times New Roman" w:cs="Times New Roman"/>
                <w:bCs/>
                <w:sz w:val="20"/>
                <w:szCs w:val="20"/>
              </w:rPr>
              <w:t>Parecer conclusivo de ciência e aprovação:</w:t>
            </w:r>
          </w:p>
          <w:p w14:paraId="2E93DEE6" w14:textId="3FD6F84D" w:rsidR="00883842" w:rsidRPr="00883842" w:rsidRDefault="00430906" w:rsidP="00BD6B87">
            <w:pPr>
              <w:spacing w:after="0" w:line="360" w:lineRule="auto"/>
              <w:ind w:firstLine="314"/>
              <w:rPr>
                <w:rFonts w:ascii="Times New Roman" w:hAnsi="Times New Roman" w:cs="Times New Roman"/>
                <w:bCs/>
                <w:sz w:val="20"/>
                <w:szCs w:val="20"/>
              </w:rPr>
            </w:pPr>
            <w:r w:rsidRPr="00883842">
              <w:rPr>
                <w:rFonts w:ascii="Times New Roman" w:hAnsi="Times New Roman" w:cs="Times New Roman"/>
                <w:bCs/>
                <w:sz w:val="20"/>
                <w:szCs w:val="20"/>
              </w:rPr>
              <w:t>(</w:t>
            </w:r>
            <w:r w:rsidR="00715CA4">
              <w:rPr>
                <w:rFonts w:ascii="Times New Roman" w:hAnsi="Times New Roman" w:cs="Times New Roman"/>
                <w:bCs/>
                <w:sz w:val="20"/>
                <w:szCs w:val="20"/>
              </w:rPr>
              <w:t>X</w:t>
            </w:r>
            <w:r w:rsidRPr="00883842">
              <w:rPr>
                <w:rFonts w:ascii="Times New Roman" w:hAnsi="Times New Roman" w:cs="Times New Roman"/>
                <w:bCs/>
                <w:sz w:val="20"/>
                <w:szCs w:val="20"/>
              </w:rPr>
              <w:t>) Defiro</w:t>
            </w:r>
            <w:r w:rsidR="00267657" w:rsidRPr="00883842">
              <w:rPr>
                <w:rFonts w:ascii="Times New Roman" w:hAnsi="Times New Roman" w:cs="Times New Roman"/>
                <w:bCs/>
                <w:sz w:val="20"/>
                <w:szCs w:val="20"/>
              </w:rPr>
              <w:t>. Aprovo o Estudo Técnico Preliminar (ETP), por seus próprios fundamentos</w:t>
            </w:r>
            <w:r w:rsidRPr="00883842">
              <w:rPr>
                <w:rFonts w:ascii="Times New Roman" w:hAnsi="Times New Roman" w:cs="Times New Roman"/>
                <w:bCs/>
                <w:sz w:val="20"/>
                <w:szCs w:val="20"/>
              </w:rPr>
              <w:t>; ou</w:t>
            </w:r>
          </w:p>
          <w:p w14:paraId="372FFC7D" w14:textId="7D7AAC5E" w:rsidR="000F458C" w:rsidRDefault="00430906" w:rsidP="00BD6B87">
            <w:pPr>
              <w:spacing w:after="0" w:line="360" w:lineRule="auto"/>
              <w:ind w:firstLine="314"/>
              <w:rPr>
                <w:rFonts w:ascii="Times New Roman" w:hAnsi="Times New Roman" w:cs="Times New Roman"/>
                <w:bCs/>
                <w:sz w:val="20"/>
                <w:szCs w:val="20"/>
              </w:rPr>
            </w:pPr>
            <w:proofErr w:type="gramStart"/>
            <w:r w:rsidRPr="00883842">
              <w:rPr>
                <w:rFonts w:ascii="Times New Roman" w:hAnsi="Times New Roman" w:cs="Times New Roman"/>
                <w:bCs/>
                <w:sz w:val="20"/>
                <w:szCs w:val="20"/>
              </w:rPr>
              <w:t xml:space="preserve">(  </w:t>
            </w:r>
            <w:proofErr w:type="gramEnd"/>
            <w:r w:rsidRPr="00883842">
              <w:rPr>
                <w:rFonts w:ascii="Times New Roman" w:hAnsi="Times New Roman" w:cs="Times New Roman"/>
                <w:bCs/>
                <w:sz w:val="20"/>
                <w:szCs w:val="20"/>
              </w:rPr>
              <w:t xml:space="preserve">  )</w:t>
            </w:r>
            <w:r w:rsidR="00267657" w:rsidRPr="00883842">
              <w:rPr>
                <w:rFonts w:ascii="Times New Roman" w:hAnsi="Times New Roman" w:cs="Times New Roman"/>
                <w:bCs/>
                <w:sz w:val="20"/>
                <w:szCs w:val="20"/>
              </w:rPr>
              <w:t xml:space="preserve"> </w:t>
            </w:r>
            <w:r w:rsidRPr="00883842">
              <w:rPr>
                <w:rFonts w:ascii="Times New Roman" w:hAnsi="Times New Roman" w:cs="Times New Roman"/>
                <w:bCs/>
                <w:sz w:val="20"/>
                <w:szCs w:val="20"/>
              </w:rPr>
              <w:t xml:space="preserve"> Indefiro</w:t>
            </w:r>
            <w:r w:rsidR="00267657" w:rsidRPr="00883842">
              <w:rPr>
                <w:rFonts w:ascii="Times New Roman" w:hAnsi="Times New Roman" w:cs="Times New Roman"/>
                <w:bCs/>
                <w:sz w:val="20"/>
                <w:szCs w:val="20"/>
              </w:rPr>
              <w:t>:</w:t>
            </w:r>
            <w:r w:rsidR="00455F0C">
              <w:rPr>
                <w:rFonts w:ascii="Times New Roman" w:hAnsi="Times New Roman" w:cs="Times New Roman"/>
                <w:bCs/>
                <w:sz w:val="20"/>
                <w:szCs w:val="20"/>
              </w:rPr>
              <w:t xml:space="preserve"> </w:t>
            </w:r>
            <w:r w:rsidR="00267657" w:rsidRPr="00883842">
              <w:rPr>
                <w:rFonts w:ascii="Times New Roman" w:hAnsi="Times New Roman" w:cs="Times New Roman"/>
                <w:bCs/>
                <w:sz w:val="20"/>
                <w:szCs w:val="20"/>
              </w:rPr>
              <w:t>___________________________________________________________</w:t>
            </w:r>
            <w:r w:rsidR="00D73A89" w:rsidRPr="00883842">
              <w:rPr>
                <w:rFonts w:ascii="Times New Roman" w:hAnsi="Times New Roman" w:cs="Times New Roman"/>
                <w:bCs/>
                <w:sz w:val="20"/>
                <w:szCs w:val="20"/>
              </w:rPr>
              <w:t>___________</w:t>
            </w:r>
            <w:r w:rsidR="00267657" w:rsidRPr="00883842">
              <w:rPr>
                <w:rFonts w:ascii="Times New Roman" w:hAnsi="Times New Roman" w:cs="Times New Roman"/>
                <w:bCs/>
                <w:sz w:val="20"/>
                <w:szCs w:val="20"/>
              </w:rPr>
              <w:t>_</w:t>
            </w:r>
            <w:r w:rsidRPr="00883842">
              <w:rPr>
                <w:rFonts w:ascii="Times New Roman" w:hAnsi="Times New Roman" w:cs="Times New Roman"/>
                <w:bCs/>
                <w:sz w:val="20"/>
                <w:szCs w:val="20"/>
              </w:rPr>
              <w:t xml:space="preserve">. </w:t>
            </w:r>
          </w:p>
          <w:p w14:paraId="6129938B" w14:textId="77777777" w:rsidR="00715CA4" w:rsidRPr="00715CA4" w:rsidRDefault="00715CA4" w:rsidP="00BD6B87">
            <w:pPr>
              <w:spacing w:after="0" w:line="360" w:lineRule="auto"/>
              <w:ind w:firstLine="314"/>
              <w:rPr>
                <w:rFonts w:ascii="Times New Roman" w:hAnsi="Times New Roman" w:cs="Times New Roman"/>
                <w:bCs/>
                <w:sz w:val="20"/>
                <w:szCs w:val="20"/>
              </w:rPr>
            </w:pPr>
          </w:p>
          <w:p w14:paraId="2A85054F" w14:textId="1FA4072D" w:rsidR="00430906" w:rsidRPr="00883842" w:rsidRDefault="00430906" w:rsidP="00BD6B87">
            <w:pPr>
              <w:spacing w:after="0" w:line="360" w:lineRule="auto"/>
              <w:ind w:firstLine="0"/>
              <w:jc w:val="center"/>
              <w:rPr>
                <w:rFonts w:ascii="Times New Roman" w:hAnsi="Times New Roman" w:cs="Times New Roman"/>
                <w:bCs/>
                <w:sz w:val="20"/>
                <w:szCs w:val="20"/>
              </w:rPr>
            </w:pPr>
            <w:r w:rsidRPr="00883842">
              <w:rPr>
                <w:rFonts w:ascii="Times New Roman" w:hAnsi="Times New Roman" w:cs="Times New Roman"/>
                <w:bCs/>
                <w:sz w:val="20"/>
                <w:szCs w:val="20"/>
              </w:rPr>
              <w:t xml:space="preserve">Paverama/RS, </w:t>
            </w:r>
            <w:r w:rsidR="001879F6">
              <w:rPr>
                <w:rFonts w:ascii="Times New Roman" w:hAnsi="Times New Roman" w:cs="Times New Roman"/>
                <w:bCs/>
                <w:sz w:val="20"/>
                <w:szCs w:val="20"/>
              </w:rPr>
              <w:t>30</w:t>
            </w:r>
            <w:r w:rsidRPr="00883842">
              <w:rPr>
                <w:rFonts w:ascii="Times New Roman" w:hAnsi="Times New Roman" w:cs="Times New Roman"/>
                <w:bCs/>
                <w:sz w:val="20"/>
                <w:szCs w:val="20"/>
              </w:rPr>
              <w:t xml:space="preserve"> de </w:t>
            </w:r>
            <w:r w:rsidR="00E4720C">
              <w:rPr>
                <w:rFonts w:ascii="Times New Roman" w:hAnsi="Times New Roman" w:cs="Times New Roman"/>
                <w:bCs/>
                <w:sz w:val="20"/>
                <w:szCs w:val="20"/>
              </w:rPr>
              <w:t>julho</w:t>
            </w:r>
            <w:r w:rsidRPr="00883842">
              <w:rPr>
                <w:rFonts w:ascii="Times New Roman" w:hAnsi="Times New Roman" w:cs="Times New Roman"/>
                <w:bCs/>
                <w:sz w:val="20"/>
                <w:szCs w:val="20"/>
              </w:rPr>
              <w:t xml:space="preserve"> de </w:t>
            </w:r>
            <w:r w:rsidR="00883842" w:rsidRPr="00883842">
              <w:rPr>
                <w:rFonts w:ascii="Times New Roman" w:hAnsi="Times New Roman" w:cs="Times New Roman"/>
                <w:bCs/>
                <w:sz w:val="20"/>
                <w:szCs w:val="20"/>
              </w:rPr>
              <w:t>202</w:t>
            </w:r>
            <w:r w:rsidR="00715CA4">
              <w:rPr>
                <w:rFonts w:ascii="Times New Roman" w:hAnsi="Times New Roman" w:cs="Times New Roman"/>
                <w:bCs/>
                <w:sz w:val="20"/>
                <w:szCs w:val="20"/>
              </w:rPr>
              <w:t>6</w:t>
            </w:r>
            <w:r w:rsidR="00883842" w:rsidRPr="00883842">
              <w:rPr>
                <w:rFonts w:ascii="Times New Roman" w:hAnsi="Times New Roman" w:cs="Times New Roman"/>
                <w:bCs/>
                <w:sz w:val="20"/>
                <w:szCs w:val="20"/>
              </w:rPr>
              <w:t>.</w:t>
            </w:r>
          </w:p>
          <w:p w14:paraId="5FE7EB46" w14:textId="4E02CBD6" w:rsidR="000F458C" w:rsidRDefault="000F458C" w:rsidP="00BD6B87">
            <w:pPr>
              <w:spacing w:after="0" w:line="360" w:lineRule="auto"/>
              <w:ind w:firstLine="0"/>
              <w:jc w:val="center"/>
              <w:rPr>
                <w:rFonts w:ascii="Times New Roman" w:hAnsi="Times New Roman" w:cs="Times New Roman"/>
                <w:b/>
                <w:sz w:val="20"/>
                <w:szCs w:val="20"/>
              </w:rPr>
            </w:pPr>
          </w:p>
          <w:p w14:paraId="01B71122" w14:textId="77777777" w:rsidR="001879F6" w:rsidRDefault="001879F6" w:rsidP="00BD6B87">
            <w:pPr>
              <w:spacing w:after="0" w:line="360" w:lineRule="auto"/>
              <w:ind w:firstLine="0"/>
              <w:jc w:val="center"/>
              <w:rPr>
                <w:rFonts w:ascii="Times New Roman" w:hAnsi="Times New Roman" w:cs="Times New Roman"/>
                <w:b/>
                <w:sz w:val="20"/>
                <w:szCs w:val="20"/>
              </w:rPr>
            </w:pPr>
          </w:p>
          <w:p w14:paraId="55EDBC13" w14:textId="77777777" w:rsidR="00715CA4" w:rsidRDefault="00715CA4" w:rsidP="00BD6B87">
            <w:pPr>
              <w:spacing w:after="0" w:line="360" w:lineRule="auto"/>
              <w:ind w:firstLine="0"/>
              <w:jc w:val="center"/>
              <w:rPr>
                <w:rFonts w:ascii="Times New Roman" w:hAnsi="Times New Roman" w:cs="Times New Roman"/>
                <w:b/>
                <w:sz w:val="20"/>
                <w:szCs w:val="20"/>
              </w:rPr>
            </w:pPr>
          </w:p>
          <w:p w14:paraId="1A610F30" w14:textId="509B0AAD" w:rsidR="00430906" w:rsidRDefault="00715CA4" w:rsidP="00BD6B87">
            <w:pPr>
              <w:spacing w:after="0" w:line="360" w:lineRule="auto"/>
              <w:ind w:firstLine="0"/>
              <w:jc w:val="center"/>
              <w:rPr>
                <w:rFonts w:ascii="Times New Roman" w:hAnsi="Times New Roman" w:cs="Times New Roman"/>
                <w:b/>
                <w:sz w:val="20"/>
                <w:szCs w:val="20"/>
              </w:rPr>
            </w:pPr>
            <w:r>
              <w:rPr>
                <w:rFonts w:ascii="Times New Roman" w:hAnsi="Times New Roman" w:cs="Times New Roman"/>
                <w:b/>
                <w:sz w:val="20"/>
                <w:szCs w:val="20"/>
              </w:rPr>
              <w:t>MELISSA HARTMANN</w:t>
            </w:r>
          </w:p>
          <w:p w14:paraId="3E4769CB" w14:textId="1D13BEF3" w:rsidR="00430906" w:rsidRDefault="00715CA4" w:rsidP="00BD6B87">
            <w:pPr>
              <w:spacing w:after="0" w:line="360" w:lineRule="auto"/>
              <w:ind w:firstLine="0"/>
              <w:jc w:val="center"/>
              <w:rPr>
                <w:rFonts w:ascii="Times New Roman" w:hAnsi="Times New Roman" w:cs="Times New Roman"/>
                <w:b/>
                <w:sz w:val="20"/>
                <w:szCs w:val="20"/>
              </w:rPr>
            </w:pPr>
            <w:r>
              <w:rPr>
                <w:rFonts w:ascii="Times New Roman" w:hAnsi="Times New Roman" w:cs="Times New Roman"/>
                <w:b/>
                <w:sz w:val="20"/>
                <w:szCs w:val="20"/>
              </w:rPr>
              <w:t>Secretária Municipal de Saúde, Assistência Social e Habitação</w:t>
            </w:r>
          </w:p>
        </w:tc>
      </w:tr>
    </w:tbl>
    <w:p w14:paraId="19528256" w14:textId="77777777" w:rsidR="00117BBF" w:rsidRPr="00A00198" w:rsidRDefault="00117BBF" w:rsidP="00BD6B87">
      <w:pPr>
        <w:spacing w:after="0" w:line="360" w:lineRule="auto"/>
        <w:ind w:firstLine="0"/>
        <w:rPr>
          <w:rFonts w:ascii="Times New Roman" w:hAnsi="Times New Roman" w:cs="Times New Roman"/>
          <w:b/>
          <w:sz w:val="20"/>
          <w:szCs w:val="20"/>
        </w:rPr>
      </w:pPr>
    </w:p>
    <w:sectPr w:rsidR="00117BBF" w:rsidRPr="00A00198" w:rsidSect="0020369C">
      <w:type w:val="continuous"/>
      <w:pgSz w:w="11906" w:h="16838" w:code="9"/>
      <w:pgMar w:top="1843" w:right="1134" w:bottom="1134" w:left="1701" w:header="113"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3DAB0" w14:textId="77777777" w:rsidR="003A6C3F" w:rsidRDefault="003A6C3F" w:rsidP="009F2D5E">
      <w:pPr>
        <w:spacing w:after="0"/>
      </w:pPr>
      <w:r>
        <w:separator/>
      </w:r>
    </w:p>
  </w:endnote>
  <w:endnote w:type="continuationSeparator" w:id="0">
    <w:p w14:paraId="0E4EE472" w14:textId="77777777" w:rsidR="003A6C3F" w:rsidRDefault="003A6C3F" w:rsidP="009F2D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charset w:val="00"/>
    <w:family w:val="auto"/>
    <w:pitch w:val="default"/>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442349205"/>
      <w:docPartObj>
        <w:docPartGallery w:val="Page Numbers (Bottom of Page)"/>
        <w:docPartUnique/>
      </w:docPartObj>
    </w:sdtPr>
    <w:sdtEndPr/>
    <w:sdtContent>
      <w:sdt>
        <w:sdtPr>
          <w:rPr>
            <w:sz w:val="14"/>
            <w:szCs w:val="14"/>
          </w:rPr>
          <w:id w:val="-582686688"/>
          <w:docPartObj>
            <w:docPartGallery w:val="Page Numbers (Top of Page)"/>
            <w:docPartUnique/>
          </w:docPartObj>
        </w:sdtPr>
        <w:sdtEndPr/>
        <w:sdtContent>
          <w:p w14:paraId="4952FB71" w14:textId="79BFB997" w:rsidR="00D31344" w:rsidRPr="002E46A9" w:rsidRDefault="004655AD">
            <w:pPr>
              <w:pStyle w:val="Rodap"/>
              <w:jc w:val="right"/>
              <w:rPr>
                <w:sz w:val="14"/>
                <w:szCs w:val="14"/>
              </w:rPr>
            </w:pPr>
            <w:r>
              <w:rPr>
                <w:noProof/>
                <w:sz w:val="14"/>
                <w:szCs w:val="14"/>
              </w:rPr>
              <w:drawing>
                <wp:anchor distT="0" distB="0" distL="114300" distR="114300" simplePos="0" relativeHeight="251664384" behindDoc="1" locked="0" layoutInCell="1" allowOverlap="1" wp14:anchorId="7C5B6F92" wp14:editId="15ACD585">
                  <wp:simplePos x="0" y="0"/>
                  <wp:positionH relativeFrom="margin">
                    <wp:align>center</wp:align>
                  </wp:positionH>
                  <wp:positionV relativeFrom="paragraph">
                    <wp:posOffset>-303530</wp:posOffset>
                  </wp:positionV>
                  <wp:extent cx="3822700" cy="633341"/>
                  <wp:effectExtent l="0" t="0" r="6350" b="0"/>
                  <wp:wrapNone/>
                  <wp:docPr id="28996976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2700" cy="633341"/>
                          </a:xfrm>
                          <a:prstGeom prst="rect">
                            <a:avLst/>
                          </a:prstGeom>
                          <a:noFill/>
                        </pic:spPr>
                      </pic:pic>
                    </a:graphicData>
                  </a:graphic>
                  <wp14:sizeRelH relativeFrom="page">
                    <wp14:pctWidth>0</wp14:pctWidth>
                  </wp14:sizeRelH>
                  <wp14:sizeRelV relativeFrom="page">
                    <wp14:pctHeight>0</wp14:pctHeight>
                  </wp14:sizeRelV>
                </wp:anchor>
              </w:drawing>
            </w:r>
            <w:r w:rsidR="00D31344" w:rsidRPr="002E46A9">
              <w:rPr>
                <w:sz w:val="14"/>
                <w:szCs w:val="14"/>
              </w:rPr>
              <w:t xml:space="preserve">Página </w:t>
            </w:r>
            <w:r w:rsidR="00D31344" w:rsidRPr="002E46A9">
              <w:rPr>
                <w:b/>
                <w:bCs/>
                <w:sz w:val="14"/>
                <w:szCs w:val="14"/>
              </w:rPr>
              <w:fldChar w:fldCharType="begin"/>
            </w:r>
            <w:r w:rsidR="00D31344" w:rsidRPr="002E46A9">
              <w:rPr>
                <w:b/>
                <w:bCs/>
                <w:sz w:val="14"/>
                <w:szCs w:val="14"/>
              </w:rPr>
              <w:instrText>PAGE</w:instrText>
            </w:r>
            <w:r w:rsidR="00D31344" w:rsidRPr="002E46A9">
              <w:rPr>
                <w:b/>
                <w:bCs/>
                <w:sz w:val="14"/>
                <w:szCs w:val="14"/>
              </w:rPr>
              <w:fldChar w:fldCharType="separate"/>
            </w:r>
            <w:r w:rsidR="007F6824">
              <w:rPr>
                <w:b/>
                <w:bCs/>
                <w:noProof/>
                <w:sz w:val="14"/>
                <w:szCs w:val="14"/>
              </w:rPr>
              <w:t>10</w:t>
            </w:r>
            <w:r w:rsidR="00D31344" w:rsidRPr="002E46A9">
              <w:rPr>
                <w:b/>
                <w:bCs/>
                <w:sz w:val="14"/>
                <w:szCs w:val="14"/>
              </w:rPr>
              <w:fldChar w:fldCharType="end"/>
            </w:r>
            <w:r w:rsidR="00D31344" w:rsidRPr="002E46A9">
              <w:rPr>
                <w:sz w:val="14"/>
                <w:szCs w:val="14"/>
              </w:rPr>
              <w:t xml:space="preserve"> de </w:t>
            </w:r>
            <w:r w:rsidR="00D31344" w:rsidRPr="002E46A9">
              <w:rPr>
                <w:b/>
                <w:bCs/>
                <w:sz w:val="14"/>
                <w:szCs w:val="14"/>
              </w:rPr>
              <w:fldChar w:fldCharType="begin"/>
            </w:r>
            <w:r w:rsidR="00D31344" w:rsidRPr="002E46A9">
              <w:rPr>
                <w:b/>
                <w:bCs/>
                <w:sz w:val="14"/>
                <w:szCs w:val="14"/>
              </w:rPr>
              <w:instrText>NUMPAGES</w:instrText>
            </w:r>
            <w:r w:rsidR="00D31344" w:rsidRPr="002E46A9">
              <w:rPr>
                <w:b/>
                <w:bCs/>
                <w:sz w:val="14"/>
                <w:szCs w:val="14"/>
              </w:rPr>
              <w:fldChar w:fldCharType="separate"/>
            </w:r>
            <w:r w:rsidR="007F6824">
              <w:rPr>
                <w:b/>
                <w:bCs/>
                <w:noProof/>
                <w:sz w:val="14"/>
                <w:szCs w:val="14"/>
              </w:rPr>
              <w:t>10</w:t>
            </w:r>
            <w:r w:rsidR="00D31344" w:rsidRPr="002E46A9">
              <w:rPr>
                <w:b/>
                <w:bCs/>
                <w:sz w:val="14"/>
                <w:szCs w:val="14"/>
              </w:rPr>
              <w:fldChar w:fldCharType="end"/>
            </w:r>
          </w:p>
        </w:sdtContent>
      </w:sdt>
    </w:sdtContent>
  </w:sdt>
  <w:p w14:paraId="3D15040F" w14:textId="77777777" w:rsidR="00D31344" w:rsidRPr="00EC4156" w:rsidRDefault="00D31344" w:rsidP="00EC4156">
    <w:pPr>
      <w:pStyle w:val="Rodap"/>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026235190"/>
      <w:docPartObj>
        <w:docPartGallery w:val="Page Numbers (Top of Page)"/>
        <w:docPartUnique/>
      </w:docPartObj>
    </w:sdtPr>
    <w:sdtEndPr/>
    <w:sdtContent>
      <w:p w14:paraId="3F8E410B" w14:textId="40A9EDB5" w:rsidR="00D31344" w:rsidRDefault="00540360" w:rsidP="007B19F6">
        <w:pPr>
          <w:pStyle w:val="Rodap"/>
          <w:jc w:val="right"/>
          <w:rPr>
            <w:sz w:val="14"/>
            <w:szCs w:val="14"/>
          </w:rPr>
        </w:pPr>
        <w:r>
          <w:rPr>
            <w:noProof/>
            <w:sz w:val="14"/>
            <w:szCs w:val="14"/>
          </w:rPr>
          <w:drawing>
            <wp:anchor distT="0" distB="0" distL="114300" distR="114300" simplePos="0" relativeHeight="251665408" behindDoc="1" locked="0" layoutInCell="1" allowOverlap="1" wp14:anchorId="78E9AFBF" wp14:editId="2CC37104">
              <wp:simplePos x="0" y="0"/>
              <wp:positionH relativeFrom="margin">
                <wp:align>center</wp:align>
              </wp:positionH>
              <wp:positionV relativeFrom="paragraph">
                <wp:posOffset>-347980</wp:posOffset>
              </wp:positionV>
              <wp:extent cx="3694742" cy="612140"/>
              <wp:effectExtent l="0" t="0" r="1270" b="0"/>
              <wp:wrapNone/>
              <wp:docPr id="20188869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4742" cy="612140"/>
                      </a:xfrm>
                      <a:prstGeom prst="rect">
                        <a:avLst/>
                      </a:prstGeom>
                      <a:noFill/>
                    </pic:spPr>
                  </pic:pic>
                </a:graphicData>
              </a:graphic>
              <wp14:sizeRelH relativeFrom="page">
                <wp14:pctWidth>0</wp14:pctWidth>
              </wp14:sizeRelH>
              <wp14:sizeRelV relativeFrom="page">
                <wp14:pctHeight>0</wp14:pctHeight>
              </wp14:sizeRelV>
            </wp:anchor>
          </w:drawing>
        </w:r>
        <w:r w:rsidR="00D31344" w:rsidRPr="002E46A9">
          <w:rPr>
            <w:sz w:val="14"/>
            <w:szCs w:val="14"/>
          </w:rPr>
          <w:t xml:space="preserve">Página </w:t>
        </w:r>
        <w:r w:rsidR="00D31344" w:rsidRPr="002E46A9">
          <w:rPr>
            <w:b/>
            <w:bCs/>
            <w:sz w:val="14"/>
            <w:szCs w:val="14"/>
          </w:rPr>
          <w:fldChar w:fldCharType="begin"/>
        </w:r>
        <w:r w:rsidR="00D31344" w:rsidRPr="002E46A9">
          <w:rPr>
            <w:b/>
            <w:bCs/>
            <w:sz w:val="14"/>
            <w:szCs w:val="14"/>
          </w:rPr>
          <w:instrText>PAGE</w:instrText>
        </w:r>
        <w:r w:rsidR="00D31344" w:rsidRPr="002E46A9">
          <w:rPr>
            <w:b/>
            <w:bCs/>
            <w:sz w:val="14"/>
            <w:szCs w:val="14"/>
          </w:rPr>
          <w:fldChar w:fldCharType="separate"/>
        </w:r>
        <w:r w:rsidR="007F6824">
          <w:rPr>
            <w:b/>
            <w:bCs/>
            <w:noProof/>
            <w:sz w:val="14"/>
            <w:szCs w:val="14"/>
          </w:rPr>
          <w:t>1</w:t>
        </w:r>
        <w:r w:rsidR="00D31344" w:rsidRPr="002E46A9">
          <w:rPr>
            <w:b/>
            <w:bCs/>
            <w:sz w:val="14"/>
            <w:szCs w:val="14"/>
          </w:rPr>
          <w:fldChar w:fldCharType="end"/>
        </w:r>
        <w:r w:rsidR="00D31344" w:rsidRPr="002E46A9">
          <w:rPr>
            <w:sz w:val="14"/>
            <w:szCs w:val="14"/>
          </w:rPr>
          <w:t xml:space="preserve"> de </w:t>
        </w:r>
        <w:r w:rsidR="00D31344" w:rsidRPr="002E46A9">
          <w:rPr>
            <w:b/>
            <w:bCs/>
            <w:sz w:val="14"/>
            <w:szCs w:val="14"/>
          </w:rPr>
          <w:fldChar w:fldCharType="begin"/>
        </w:r>
        <w:r w:rsidR="00D31344" w:rsidRPr="002E46A9">
          <w:rPr>
            <w:b/>
            <w:bCs/>
            <w:sz w:val="14"/>
            <w:szCs w:val="14"/>
          </w:rPr>
          <w:instrText>NUMPAGES</w:instrText>
        </w:r>
        <w:r w:rsidR="00D31344" w:rsidRPr="002E46A9">
          <w:rPr>
            <w:b/>
            <w:bCs/>
            <w:sz w:val="14"/>
            <w:szCs w:val="14"/>
          </w:rPr>
          <w:fldChar w:fldCharType="separate"/>
        </w:r>
        <w:r w:rsidR="007F6824">
          <w:rPr>
            <w:b/>
            <w:bCs/>
            <w:noProof/>
            <w:sz w:val="14"/>
            <w:szCs w:val="14"/>
          </w:rPr>
          <w:t>10</w:t>
        </w:r>
        <w:r w:rsidR="00D31344" w:rsidRPr="002E46A9">
          <w:rPr>
            <w:b/>
            <w:bCs/>
            <w:sz w:val="14"/>
            <w:szCs w:val="14"/>
          </w:rPr>
          <w:fldChar w:fldCharType="end"/>
        </w:r>
      </w:p>
    </w:sdtContent>
  </w:sdt>
  <w:p w14:paraId="756ECB14" w14:textId="338FE7CF" w:rsidR="00D31344" w:rsidRDefault="00D313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00F5F" w14:textId="77777777" w:rsidR="003A6C3F" w:rsidRDefault="003A6C3F" w:rsidP="009F2D5E">
      <w:pPr>
        <w:spacing w:after="0"/>
      </w:pPr>
      <w:r>
        <w:separator/>
      </w:r>
    </w:p>
  </w:footnote>
  <w:footnote w:type="continuationSeparator" w:id="0">
    <w:p w14:paraId="394D7BFA" w14:textId="77777777" w:rsidR="003A6C3F" w:rsidRDefault="003A6C3F" w:rsidP="009F2D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404D" w14:textId="77777777" w:rsidR="00D31344" w:rsidRDefault="00D31344">
    <w:pPr>
      <w:pStyle w:val="Cabealho"/>
    </w:pPr>
  </w:p>
  <w:tbl>
    <w:tblPr>
      <w:tblStyle w:val="Tabelacomgrade"/>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38"/>
      <w:gridCol w:w="4961"/>
      <w:gridCol w:w="3402"/>
    </w:tblGrid>
    <w:tr w:rsidR="00D31344" w14:paraId="0013C613" w14:textId="77777777" w:rsidTr="005A641F">
      <w:trPr>
        <w:trHeight w:val="930"/>
      </w:trPr>
      <w:tc>
        <w:tcPr>
          <w:tcW w:w="1838" w:type="dxa"/>
          <w:vAlign w:val="center"/>
        </w:tcPr>
        <w:p w14:paraId="5656840B" w14:textId="7DA9D9AE" w:rsidR="00D31344" w:rsidRDefault="00D31344" w:rsidP="00D15024">
          <w:pPr>
            <w:pStyle w:val="Cabealho"/>
            <w:ind w:firstLine="0"/>
            <w:jc w:val="center"/>
          </w:pPr>
        </w:p>
      </w:tc>
      <w:tc>
        <w:tcPr>
          <w:tcW w:w="4961" w:type="dxa"/>
          <w:vAlign w:val="center"/>
        </w:tcPr>
        <w:p w14:paraId="62003A3B" w14:textId="474EC1E4" w:rsidR="00D31344" w:rsidRDefault="00D31344" w:rsidP="00D15024">
          <w:pPr>
            <w:pStyle w:val="Cabealho"/>
            <w:ind w:firstLine="0"/>
          </w:pPr>
          <w:r>
            <w:rPr>
              <w:noProof/>
              <w:lang w:eastAsia="pt-BR"/>
            </w:rPr>
            <w:drawing>
              <wp:anchor distT="0" distB="0" distL="114300" distR="114300" simplePos="0" relativeHeight="251663360" behindDoc="1" locked="0" layoutInCell="1" allowOverlap="1" wp14:anchorId="337114DB" wp14:editId="6C2678D9">
                <wp:simplePos x="0" y="0"/>
                <wp:positionH relativeFrom="column">
                  <wp:posOffset>-438150</wp:posOffset>
                </wp:positionH>
                <wp:positionV relativeFrom="paragraph">
                  <wp:posOffset>-78105</wp:posOffset>
                </wp:positionV>
                <wp:extent cx="4377055" cy="981710"/>
                <wp:effectExtent l="0" t="0" r="4445" b="8890"/>
                <wp:wrapNone/>
                <wp:docPr id="1539629673" name="Imagem 153962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vAlign w:val="center"/>
        </w:tcPr>
        <w:p w14:paraId="03E418B2" w14:textId="6BAB5066" w:rsidR="00D31344" w:rsidRDefault="00D31344" w:rsidP="005A641F">
          <w:pPr>
            <w:pStyle w:val="Cabealho"/>
            <w:ind w:firstLine="0"/>
            <w:jc w:val="center"/>
          </w:pPr>
        </w:p>
      </w:tc>
    </w:tr>
  </w:tbl>
  <w:p w14:paraId="0AD627A5" w14:textId="62B23590" w:rsidR="00D31344" w:rsidRDefault="00D31344" w:rsidP="00C47D4F">
    <w:pPr>
      <w:pStyle w:val="Cabealh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C3721" w14:textId="08FC45AB" w:rsidR="00D31344" w:rsidRDefault="00D31344">
    <w:pPr>
      <w:pStyle w:val="Cabealho"/>
    </w:pPr>
    <w:r>
      <w:rPr>
        <w:noProof/>
        <w:lang w:eastAsia="pt-BR"/>
      </w:rPr>
      <w:drawing>
        <wp:anchor distT="0" distB="0" distL="114300" distR="114300" simplePos="0" relativeHeight="251658240" behindDoc="1" locked="0" layoutInCell="1" allowOverlap="1" wp14:anchorId="6EBFB506" wp14:editId="797C4B29">
          <wp:simplePos x="0" y="0"/>
          <wp:positionH relativeFrom="column">
            <wp:posOffset>993140</wp:posOffset>
          </wp:positionH>
          <wp:positionV relativeFrom="paragraph">
            <wp:posOffset>4445</wp:posOffset>
          </wp:positionV>
          <wp:extent cx="4377055" cy="981710"/>
          <wp:effectExtent l="0" t="0" r="4445" b="8890"/>
          <wp:wrapNone/>
          <wp:docPr id="2037203541" name="Imagem 2037203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67936"/>
    <w:multiLevelType w:val="multilevel"/>
    <w:tmpl w:val="B4FE0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072176"/>
    <w:multiLevelType w:val="hybridMultilevel"/>
    <w:tmpl w:val="8130B570"/>
    <w:lvl w:ilvl="0" w:tplc="BF0CDFF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142A31D8"/>
    <w:multiLevelType w:val="hybridMultilevel"/>
    <w:tmpl w:val="4254DA86"/>
    <w:lvl w:ilvl="0" w:tplc="034CDD2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1A7650E2"/>
    <w:multiLevelType w:val="hybridMultilevel"/>
    <w:tmpl w:val="1A0E134C"/>
    <w:lvl w:ilvl="0" w:tplc="1FF4289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 w15:restartNumberingAfterBreak="0">
    <w:nsid w:val="1B443C24"/>
    <w:multiLevelType w:val="multilevel"/>
    <w:tmpl w:val="BEAE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A029D"/>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225E3ADB"/>
    <w:multiLevelType w:val="hybridMultilevel"/>
    <w:tmpl w:val="58169AC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7" w15:restartNumberingAfterBreak="0">
    <w:nsid w:val="249C308B"/>
    <w:multiLevelType w:val="hybridMultilevel"/>
    <w:tmpl w:val="28CA406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25642A1F"/>
    <w:multiLevelType w:val="hybridMultilevel"/>
    <w:tmpl w:val="06E031FA"/>
    <w:lvl w:ilvl="0" w:tplc="1D1E590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28DB1DD5"/>
    <w:multiLevelType w:val="hybridMultilevel"/>
    <w:tmpl w:val="7D661FE0"/>
    <w:lvl w:ilvl="0" w:tplc="585C26A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0" w15:restartNumberingAfterBreak="0">
    <w:nsid w:val="2DF00769"/>
    <w:multiLevelType w:val="hybridMultilevel"/>
    <w:tmpl w:val="0474491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1" w15:restartNumberingAfterBreak="0">
    <w:nsid w:val="2ED554C0"/>
    <w:multiLevelType w:val="multilevel"/>
    <w:tmpl w:val="5BE49278"/>
    <w:lvl w:ilvl="0">
      <w:start w:val="1"/>
      <w:numFmt w:val="decimal"/>
      <w:pStyle w:val="Ttulo1"/>
      <w:lvlText w:val="%1"/>
      <w:lvlJc w:val="left"/>
      <w:pPr>
        <w:ind w:left="432" w:hanging="432"/>
      </w:pPr>
      <w:rPr>
        <w:u w:val="words"/>
      </w:rPr>
    </w:lvl>
    <w:lvl w:ilvl="1">
      <w:start w:val="1"/>
      <w:numFmt w:val="decimal"/>
      <w:pStyle w:val="Ttulo2"/>
      <w:lvlText w:val="%1.%2"/>
      <w:lvlJc w:val="left"/>
      <w:pPr>
        <w:ind w:left="5822" w:hanging="576"/>
      </w:pPr>
      <w:rPr>
        <w:u w:val="words"/>
      </w:rPr>
    </w:lvl>
    <w:lvl w:ilvl="2">
      <w:start w:val="1"/>
      <w:numFmt w:val="decimal"/>
      <w:pStyle w:val="Ttulo3"/>
      <w:lvlText w:val="%1.%2.%3"/>
      <w:lvlJc w:val="left"/>
      <w:pPr>
        <w:ind w:left="720" w:hanging="720"/>
      </w:pPr>
    </w:lvl>
    <w:lvl w:ilvl="3">
      <w:start w:val="1"/>
      <w:numFmt w:val="decimal"/>
      <w:pStyle w:val="Ttulo4"/>
      <w:lvlText w:val="%1.%2.%3.%4"/>
      <w:lvlJc w:val="left"/>
      <w:pPr>
        <w:ind w:left="3275"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33A56ECB"/>
    <w:multiLevelType w:val="hybridMultilevel"/>
    <w:tmpl w:val="C674F95C"/>
    <w:lvl w:ilvl="0" w:tplc="5C3A9850">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13" w15:restartNumberingAfterBreak="0">
    <w:nsid w:val="38181E4F"/>
    <w:multiLevelType w:val="hybridMultilevel"/>
    <w:tmpl w:val="F73A229E"/>
    <w:lvl w:ilvl="0" w:tplc="BAA6EB4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15:restartNumberingAfterBreak="0">
    <w:nsid w:val="38AA15B3"/>
    <w:multiLevelType w:val="hybridMultilevel"/>
    <w:tmpl w:val="82B86ED6"/>
    <w:lvl w:ilvl="0" w:tplc="0CC4376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15:restartNumberingAfterBreak="0">
    <w:nsid w:val="48034EAF"/>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15:restartNumberingAfterBreak="0">
    <w:nsid w:val="4AB82F8E"/>
    <w:multiLevelType w:val="hybridMultilevel"/>
    <w:tmpl w:val="ED709282"/>
    <w:lvl w:ilvl="0" w:tplc="2638A3DE">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7" w15:restartNumberingAfterBreak="0">
    <w:nsid w:val="4C371A58"/>
    <w:multiLevelType w:val="hybridMultilevel"/>
    <w:tmpl w:val="ED8CB8EE"/>
    <w:lvl w:ilvl="0" w:tplc="BBD0AF98">
      <w:start w:val="1"/>
      <w:numFmt w:val="decimal"/>
      <w:lvlText w:val="%1)"/>
      <w:lvlJc w:val="left"/>
      <w:pPr>
        <w:ind w:left="956" w:hanging="360"/>
      </w:pPr>
      <w:rPr>
        <w:rFonts w:hint="default"/>
      </w:rPr>
    </w:lvl>
    <w:lvl w:ilvl="1" w:tplc="04160019" w:tentative="1">
      <w:start w:val="1"/>
      <w:numFmt w:val="lowerLetter"/>
      <w:lvlText w:val="%2."/>
      <w:lvlJc w:val="left"/>
      <w:pPr>
        <w:ind w:left="1676" w:hanging="360"/>
      </w:pPr>
    </w:lvl>
    <w:lvl w:ilvl="2" w:tplc="0416001B" w:tentative="1">
      <w:start w:val="1"/>
      <w:numFmt w:val="lowerRoman"/>
      <w:lvlText w:val="%3."/>
      <w:lvlJc w:val="right"/>
      <w:pPr>
        <w:ind w:left="2396" w:hanging="180"/>
      </w:pPr>
    </w:lvl>
    <w:lvl w:ilvl="3" w:tplc="0416000F" w:tentative="1">
      <w:start w:val="1"/>
      <w:numFmt w:val="decimal"/>
      <w:lvlText w:val="%4."/>
      <w:lvlJc w:val="left"/>
      <w:pPr>
        <w:ind w:left="3116" w:hanging="360"/>
      </w:pPr>
    </w:lvl>
    <w:lvl w:ilvl="4" w:tplc="04160019" w:tentative="1">
      <w:start w:val="1"/>
      <w:numFmt w:val="lowerLetter"/>
      <w:lvlText w:val="%5."/>
      <w:lvlJc w:val="left"/>
      <w:pPr>
        <w:ind w:left="3836" w:hanging="360"/>
      </w:pPr>
    </w:lvl>
    <w:lvl w:ilvl="5" w:tplc="0416001B" w:tentative="1">
      <w:start w:val="1"/>
      <w:numFmt w:val="lowerRoman"/>
      <w:lvlText w:val="%6."/>
      <w:lvlJc w:val="right"/>
      <w:pPr>
        <w:ind w:left="4556" w:hanging="180"/>
      </w:pPr>
    </w:lvl>
    <w:lvl w:ilvl="6" w:tplc="0416000F" w:tentative="1">
      <w:start w:val="1"/>
      <w:numFmt w:val="decimal"/>
      <w:lvlText w:val="%7."/>
      <w:lvlJc w:val="left"/>
      <w:pPr>
        <w:ind w:left="5276" w:hanging="360"/>
      </w:pPr>
    </w:lvl>
    <w:lvl w:ilvl="7" w:tplc="04160019" w:tentative="1">
      <w:start w:val="1"/>
      <w:numFmt w:val="lowerLetter"/>
      <w:lvlText w:val="%8."/>
      <w:lvlJc w:val="left"/>
      <w:pPr>
        <w:ind w:left="5996" w:hanging="360"/>
      </w:pPr>
    </w:lvl>
    <w:lvl w:ilvl="8" w:tplc="0416001B" w:tentative="1">
      <w:start w:val="1"/>
      <w:numFmt w:val="lowerRoman"/>
      <w:lvlText w:val="%9."/>
      <w:lvlJc w:val="right"/>
      <w:pPr>
        <w:ind w:left="6716" w:hanging="180"/>
      </w:pPr>
    </w:lvl>
  </w:abstractNum>
  <w:abstractNum w:abstractNumId="18" w15:restartNumberingAfterBreak="0">
    <w:nsid w:val="4FFF2EF0"/>
    <w:multiLevelType w:val="hybridMultilevel"/>
    <w:tmpl w:val="E5523772"/>
    <w:lvl w:ilvl="0" w:tplc="04160017">
      <w:start w:val="1"/>
      <w:numFmt w:val="lowerLetter"/>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9" w15:restartNumberingAfterBreak="0">
    <w:nsid w:val="528862DD"/>
    <w:multiLevelType w:val="hybridMultilevel"/>
    <w:tmpl w:val="E1E80AA0"/>
    <w:lvl w:ilvl="0" w:tplc="E364095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0" w15:restartNumberingAfterBreak="0">
    <w:nsid w:val="61890C5C"/>
    <w:multiLevelType w:val="hybridMultilevel"/>
    <w:tmpl w:val="28CA4066"/>
    <w:lvl w:ilvl="0" w:tplc="2946F03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1" w15:restartNumberingAfterBreak="0">
    <w:nsid w:val="63E52047"/>
    <w:multiLevelType w:val="multilevel"/>
    <w:tmpl w:val="E312E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6D30AC"/>
    <w:multiLevelType w:val="hybridMultilevel"/>
    <w:tmpl w:val="ED709282"/>
    <w:lvl w:ilvl="0" w:tplc="FFFFFFFF">
      <w:start w:val="1"/>
      <w:numFmt w:val="lowerLetter"/>
      <w:lvlText w:val="%1)"/>
      <w:lvlJc w:val="left"/>
      <w:pPr>
        <w:ind w:left="2628" w:hanging="360"/>
      </w:pPr>
      <w:rPr>
        <w:rFonts w:hint="default"/>
      </w:rPr>
    </w:lvl>
    <w:lvl w:ilvl="1" w:tplc="FFFFFFFF" w:tentative="1">
      <w:start w:val="1"/>
      <w:numFmt w:val="lowerLetter"/>
      <w:lvlText w:val="%2."/>
      <w:lvlJc w:val="left"/>
      <w:pPr>
        <w:ind w:left="3348" w:hanging="360"/>
      </w:pPr>
    </w:lvl>
    <w:lvl w:ilvl="2" w:tplc="FFFFFFFF" w:tentative="1">
      <w:start w:val="1"/>
      <w:numFmt w:val="lowerRoman"/>
      <w:lvlText w:val="%3."/>
      <w:lvlJc w:val="right"/>
      <w:pPr>
        <w:ind w:left="4068" w:hanging="180"/>
      </w:pPr>
    </w:lvl>
    <w:lvl w:ilvl="3" w:tplc="FFFFFFFF" w:tentative="1">
      <w:start w:val="1"/>
      <w:numFmt w:val="decimal"/>
      <w:lvlText w:val="%4."/>
      <w:lvlJc w:val="left"/>
      <w:pPr>
        <w:ind w:left="4788" w:hanging="360"/>
      </w:p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23" w15:restartNumberingAfterBreak="0">
    <w:nsid w:val="7C407DAA"/>
    <w:multiLevelType w:val="hybridMultilevel"/>
    <w:tmpl w:val="72A4856C"/>
    <w:lvl w:ilvl="0" w:tplc="04160001">
      <w:start w:val="1"/>
      <w:numFmt w:val="bullet"/>
      <w:lvlText w:val=""/>
      <w:lvlJc w:val="left"/>
      <w:pPr>
        <w:ind w:left="1724" w:hanging="360"/>
      </w:pPr>
      <w:rPr>
        <w:rFonts w:ascii="Symbol" w:hAnsi="Symbol" w:cs="Symbol" w:hint="default"/>
      </w:rPr>
    </w:lvl>
    <w:lvl w:ilvl="1" w:tplc="04160003">
      <w:start w:val="1"/>
      <w:numFmt w:val="bullet"/>
      <w:lvlText w:val="o"/>
      <w:lvlJc w:val="left"/>
      <w:pPr>
        <w:ind w:left="2444" w:hanging="360"/>
      </w:pPr>
      <w:rPr>
        <w:rFonts w:ascii="Courier New" w:hAnsi="Courier New" w:cs="Courier New" w:hint="default"/>
      </w:rPr>
    </w:lvl>
    <w:lvl w:ilvl="2" w:tplc="04160005">
      <w:start w:val="1"/>
      <w:numFmt w:val="bullet"/>
      <w:lvlText w:val=""/>
      <w:lvlJc w:val="left"/>
      <w:pPr>
        <w:ind w:left="3164" w:hanging="360"/>
      </w:pPr>
      <w:rPr>
        <w:rFonts w:ascii="Wingdings" w:hAnsi="Wingdings" w:cs="Wingdings" w:hint="default"/>
      </w:rPr>
    </w:lvl>
    <w:lvl w:ilvl="3" w:tplc="04160001">
      <w:start w:val="1"/>
      <w:numFmt w:val="bullet"/>
      <w:lvlText w:val=""/>
      <w:lvlJc w:val="left"/>
      <w:pPr>
        <w:ind w:left="3884" w:hanging="360"/>
      </w:pPr>
      <w:rPr>
        <w:rFonts w:ascii="Symbol" w:hAnsi="Symbol" w:cs="Symbol" w:hint="default"/>
      </w:rPr>
    </w:lvl>
    <w:lvl w:ilvl="4" w:tplc="04160003">
      <w:start w:val="1"/>
      <w:numFmt w:val="bullet"/>
      <w:lvlText w:val="o"/>
      <w:lvlJc w:val="left"/>
      <w:pPr>
        <w:ind w:left="4604" w:hanging="360"/>
      </w:pPr>
      <w:rPr>
        <w:rFonts w:ascii="Courier New" w:hAnsi="Courier New" w:cs="Courier New" w:hint="default"/>
      </w:rPr>
    </w:lvl>
    <w:lvl w:ilvl="5" w:tplc="04160005">
      <w:start w:val="1"/>
      <w:numFmt w:val="bullet"/>
      <w:lvlText w:val=""/>
      <w:lvlJc w:val="left"/>
      <w:pPr>
        <w:ind w:left="5324" w:hanging="360"/>
      </w:pPr>
      <w:rPr>
        <w:rFonts w:ascii="Wingdings" w:hAnsi="Wingdings" w:cs="Wingdings" w:hint="default"/>
      </w:rPr>
    </w:lvl>
    <w:lvl w:ilvl="6" w:tplc="04160001">
      <w:start w:val="1"/>
      <w:numFmt w:val="bullet"/>
      <w:lvlText w:val=""/>
      <w:lvlJc w:val="left"/>
      <w:pPr>
        <w:ind w:left="6044" w:hanging="360"/>
      </w:pPr>
      <w:rPr>
        <w:rFonts w:ascii="Symbol" w:hAnsi="Symbol" w:cs="Symbol" w:hint="default"/>
      </w:rPr>
    </w:lvl>
    <w:lvl w:ilvl="7" w:tplc="04160003">
      <w:start w:val="1"/>
      <w:numFmt w:val="bullet"/>
      <w:lvlText w:val="o"/>
      <w:lvlJc w:val="left"/>
      <w:pPr>
        <w:ind w:left="6764" w:hanging="360"/>
      </w:pPr>
      <w:rPr>
        <w:rFonts w:ascii="Courier New" w:hAnsi="Courier New" w:cs="Courier New" w:hint="default"/>
      </w:rPr>
    </w:lvl>
    <w:lvl w:ilvl="8" w:tplc="04160005">
      <w:start w:val="1"/>
      <w:numFmt w:val="bullet"/>
      <w:lvlText w:val=""/>
      <w:lvlJc w:val="left"/>
      <w:pPr>
        <w:ind w:left="7484" w:hanging="360"/>
      </w:pPr>
      <w:rPr>
        <w:rFonts w:ascii="Wingdings" w:hAnsi="Wingdings" w:cs="Wingdings" w:hint="default"/>
      </w:rPr>
    </w:lvl>
  </w:abstractNum>
  <w:num w:numId="1" w16cid:durableId="1291938829">
    <w:abstractNumId w:val="9"/>
  </w:num>
  <w:num w:numId="2" w16cid:durableId="771899462">
    <w:abstractNumId w:val="11"/>
  </w:num>
  <w:num w:numId="3" w16cid:durableId="885021356">
    <w:abstractNumId w:val="10"/>
  </w:num>
  <w:num w:numId="4" w16cid:durableId="1845822957">
    <w:abstractNumId w:val="3"/>
  </w:num>
  <w:num w:numId="5" w16cid:durableId="2095734889">
    <w:abstractNumId w:val="1"/>
  </w:num>
  <w:num w:numId="6" w16cid:durableId="803157944">
    <w:abstractNumId w:val="16"/>
  </w:num>
  <w:num w:numId="7" w16cid:durableId="755058220">
    <w:abstractNumId w:val="22"/>
  </w:num>
  <w:num w:numId="8" w16cid:durableId="1906141444">
    <w:abstractNumId w:val="18"/>
  </w:num>
  <w:num w:numId="9" w16cid:durableId="1097142117">
    <w:abstractNumId w:val="23"/>
  </w:num>
  <w:num w:numId="10" w16cid:durableId="2010281219">
    <w:abstractNumId w:val="14"/>
  </w:num>
  <w:num w:numId="11" w16cid:durableId="1941572181">
    <w:abstractNumId w:val="20"/>
  </w:num>
  <w:num w:numId="12" w16cid:durableId="1387100345">
    <w:abstractNumId w:val="7"/>
  </w:num>
  <w:num w:numId="13" w16cid:durableId="1782724690">
    <w:abstractNumId w:val="5"/>
  </w:num>
  <w:num w:numId="14" w16cid:durableId="1853105721">
    <w:abstractNumId w:val="19"/>
  </w:num>
  <w:num w:numId="15" w16cid:durableId="1085570688">
    <w:abstractNumId w:val="15"/>
  </w:num>
  <w:num w:numId="16" w16cid:durableId="1432314663">
    <w:abstractNumId w:val="6"/>
  </w:num>
  <w:num w:numId="17" w16cid:durableId="1502740854">
    <w:abstractNumId w:val="8"/>
  </w:num>
  <w:num w:numId="18" w16cid:durableId="1481119037">
    <w:abstractNumId w:val="13"/>
  </w:num>
  <w:num w:numId="19" w16cid:durableId="1688676040">
    <w:abstractNumId w:val="2"/>
  </w:num>
  <w:num w:numId="20" w16cid:durableId="131559257">
    <w:abstractNumId w:val="17"/>
  </w:num>
  <w:num w:numId="21" w16cid:durableId="1912347079">
    <w:abstractNumId w:val="12"/>
  </w:num>
  <w:num w:numId="22" w16cid:durableId="1459378613">
    <w:abstractNumId w:val="4"/>
  </w:num>
  <w:num w:numId="23" w16cid:durableId="1301958747">
    <w:abstractNumId w:val="21"/>
  </w:num>
  <w:num w:numId="24" w16cid:durableId="173901240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D5E"/>
    <w:rsid w:val="00000A4F"/>
    <w:rsid w:val="00000FCC"/>
    <w:rsid w:val="00001EF4"/>
    <w:rsid w:val="000020B2"/>
    <w:rsid w:val="00002791"/>
    <w:rsid w:val="000034ED"/>
    <w:rsid w:val="00003B3B"/>
    <w:rsid w:val="00004973"/>
    <w:rsid w:val="00005DA8"/>
    <w:rsid w:val="00006300"/>
    <w:rsid w:val="0000702D"/>
    <w:rsid w:val="00011497"/>
    <w:rsid w:val="000126DA"/>
    <w:rsid w:val="000137E9"/>
    <w:rsid w:val="00014D34"/>
    <w:rsid w:val="000169A1"/>
    <w:rsid w:val="00020DE0"/>
    <w:rsid w:val="000212AF"/>
    <w:rsid w:val="0002143C"/>
    <w:rsid w:val="000219E1"/>
    <w:rsid w:val="00021C16"/>
    <w:rsid w:val="00021EB3"/>
    <w:rsid w:val="00023291"/>
    <w:rsid w:val="0002484E"/>
    <w:rsid w:val="00025308"/>
    <w:rsid w:val="000263A4"/>
    <w:rsid w:val="00026991"/>
    <w:rsid w:val="00027CAC"/>
    <w:rsid w:val="0003344D"/>
    <w:rsid w:val="00033BD0"/>
    <w:rsid w:val="000351DB"/>
    <w:rsid w:val="00037DA5"/>
    <w:rsid w:val="00037F83"/>
    <w:rsid w:val="000424DD"/>
    <w:rsid w:val="000453CF"/>
    <w:rsid w:val="000468D8"/>
    <w:rsid w:val="000477DA"/>
    <w:rsid w:val="00047C7B"/>
    <w:rsid w:val="00053AEE"/>
    <w:rsid w:val="00055ACC"/>
    <w:rsid w:val="00056B79"/>
    <w:rsid w:val="0005728A"/>
    <w:rsid w:val="000607E0"/>
    <w:rsid w:val="000627AB"/>
    <w:rsid w:val="00064F48"/>
    <w:rsid w:val="000652E0"/>
    <w:rsid w:val="000657ED"/>
    <w:rsid w:val="00065D9B"/>
    <w:rsid w:val="000665D5"/>
    <w:rsid w:val="00066A34"/>
    <w:rsid w:val="000670F3"/>
    <w:rsid w:val="00070C9B"/>
    <w:rsid w:val="00070EE3"/>
    <w:rsid w:val="00071A93"/>
    <w:rsid w:val="00072DA4"/>
    <w:rsid w:val="0007381D"/>
    <w:rsid w:val="00083A8D"/>
    <w:rsid w:val="000853A7"/>
    <w:rsid w:val="00087E7E"/>
    <w:rsid w:val="00090831"/>
    <w:rsid w:val="00090F2D"/>
    <w:rsid w:val="0009253A"/>
    <w:rsid w:val="00093581"/>
    <w:rsid w:val="00094376"/>
    <w:rsid w:val="00096D63"/>
    <w:rsid w:val="00097B9A"/>
    <w:rsid w:val="00097B9E"/>
    <w:rsid w:val="00097C59"/>
    <w:rsid w:val="000A0A92"/>
    <w:rsid w:val="000A1A79"/>
    <w:rsid w:val="000A1BB9"/>
    <w:rsid w:val="000A1C6C"/>
    <w:rsid w:val="000A2CA1"/>
    <w:rsid w:val="000A35A5"/>
    <w:rsid w:val="000A7503"/>
    <w:rsid w:val="000B0DA9"/>
    <w:rsid w:val="000B1148"/>
    <w:rsid w:val="000B1A1B"/>
    <w:rsid w:val="000B1C67"/>
    <w:rsid w:val="000B2D3D"/>
    <w:rsid w:val="000B392C"/>
    <w:rsid w:val="000B4579"/>
    <w:rsid w:val="000B50A7"/>
    <w:rsid w:val="000B59B9"/>
    <w:rsid w:val="000B6DFC"/>
    <w:rsid w:val="000B71A7"/>
    <w:rsid w:val="000C0A86"/>
    <w:rsid w:val="000C3EBA"/>
    <w:rsid w:val="000C44C7"/>
    <w:rsid w:val="000C4B43"/>
    <w:rsid w:val="000C706D"/>
    <w:rsid w:val="000C7951"/>
    <w:rsid w:val="000C7DBC"/>
    <w:rsid w:val="000D0DAF"/>
    <w:rsid w:val="000D1B60"/>
    <w:rsid w:val="000D231A"/>
    <w:rsid w:val="000D3B27"/>
    <w:rsid w:val="000D478B"/>
    <w:rsid w:val="000D512C"/>
    <w:rsid w:val="000D53CD"/>
    <w:rsid w:val="000E3599"/>
    <w:rsid w:val="000E4607"/>
    <w:rsid w:val="000E4804"/>
    <w:rsid w:val="000E6B10"/>
    <w:rsid w:val="000E7C5C"/>
    <w:rsid w:val="000F0BE7"/>
    <w:rsid w:val="000F3F04"/>
    <w:rsid w:val="000F458C"/>
    <w:rsid w:val="000F498F"/>
    <w:rsid w:val="000F7797"/>
    <w:rsid w:val="00100262"/>
    <w:rsid w:val="0010036D"/>
    <w:rsid w:val="00100AEC"/>
    <w:rsid w:val="00102299"/>
    <w:rsid w:val="001023D8"/>
    <w:rsid w:val="0010404D"/>
    <w:rsid w:val="00106483"/>
    <w:rsid w:val="0010773D"/>
    <w:rsid w:val="001116DA"/>
    <w:rsid w:val="0011171F"/>
    <w:rsid w:val="00112764"/>
    <w:rsid w:val="00114696"/>
    <w:rsid w:val="00114881"/>
    <w:rsid w:val="00115AD4"/>
    <w:rsid w:val="001162A0"/>
    <w:rsid w:val="00116958"/>
    <w:rsid w:val="0011777B"/>
    <w:rsid w:val="00117BBF"/>
    <w:rsid w:val="00117EB9"/>
    <w:rsid w:val="00117EC2"/>
    <w:rsid w:val="00117F7E"/>
    <w:rsid w:val="00121005"/>
    <w:rsid w:val="00121CC2"/>
    <w:rsid w:val="00121F6B"/>
    <w:rsid w:val="001229E9"/>
    <w:rsid w:val="00127BF5"/>
    <w:rsid w:val="00130D04"/>
    <w:rsid w:val="0013457B"/>
    <w:rsid w:val="00135A72"/>
    <w:rsid w:val="00136A50"/>
    <w:rsid w:val="0014054A"/>
    <w:rsid w:val="00140CAD"/>
    <w:rsid w:val="001412DF"/>
    <w:rsid w:val="00143919"/>
    <w:rsid w:val="00145761"/>
    <w:rsid w:val="00146176"/>
    <w:rsid w:val="00146509"/>
    <w:rsid w:val="001467FB"/>
    <w:rsid w:val="00147A26"/>
    <w:rsid w:val="00150968"/>
    <w:rsid w:val="00150D3C"/>
    <w:rsid w:val="001510D9"/>
    <w:rsid w:val="00152B20"/>
    <w:rsid w:val="00154C9D"/>
    <w:rsid w:val="001557BF"/>
    <w:rsid w:val="00155C57"/>
    <w:rsid w:val="00155FED"/>
    <w:rsid w:val="00160C3F"/>
    <w:rsid w:val="001627A9"/>
    <w:rsid w:val="00163DCB"/>
    <w:rsid w:val="00165058"/>
    <w:rsid w:val="00167607"/>
    <w:rsid w:val="001676AE"/>
    <w:rsid w:val="00172BED"/>
    <w:rsid w:val="00174171"/>
    <w:rsid w:val="00174ADB"/>
    <w:rsid w:val="00175CAE"/>
    <w:rsid w:val="001767AE"/>
    <w:rsid w:val="001768AF"/>
    <w:rsid w:val="00180744"/>
    <w:rsid w:val="001812AB"/>
    <w:rsid w:val="0018195C"/>
    <w:rsid w:val="001821B2"/>
    <w:rsid w:val="00183158"/>
    <w:rsid w:val="001837EB"/>
    <w:rsid w:val="00183F98"/>
    <w:rsid w:val="00184172"/>
    <w:rsid w:val="001841C5"/>
    <w:rsid w:val="0018610C"/>
    <w:rsid w:val="001879F6"/>
    <w:rsid w:val="00191391"/>
    <w:rsid w:val="001915BB"/>
    <w:rsid w:val="00192130"/>
    <w:rsid w:val="0019273D"/>
    <w:rsid w:val="0019540B"/>
    <w:rsid w:val="00195CAA"/>
    <w:rsid w:val="001963AA"/>
    <w:rsid w:val="001A1AA9"/>
    <w:rsid w:val="001A3388"/>
    <w:rsid w:val="001A3AD1"/>
    <w:rsid w:val="001A4894"/>
    <w:rsid w:val="001A6FC7"/>
    <w:rsid w:val="001B01A3"/>
    <w:rsid w:val="001B03B7"/>
    <w:rsid w:val="001B2D5B"/>
    <w:rsid w:val="001B6582"/>
    <w:rsid w:val="001C0C32"/>
    <w:rsid w:val="001C2428"/>
    <w:rsid w:val="001C4A53"/>
    <w:rsid w:val="001C4B1F"/>
    <w:rsid w:val="001C6615"/>
    <w:rsid w:val="001D4CC4"/>
    <w:rsid w:val="001D6147"/>
    <w:rsid w:val="001E07C2"/>
    <w:rsid w:val="001E1D78"/>
    <w:rsid w:val="001E3068"/>
    <w:rsid w:val="001E384F"/>
    <w:rsid w:val="001E38E7"/>
    <w:rsid w:val="001E422E"/>
    <w:rsid w:val="001E4876"/>
    <w:rsid w:val="001E48AB"/>
    <w:rsid w:val="001E6A8D"/>
    <w:rsid w:val="001E72AC"/>
    <w:rsid w:val="001E73E4"/>
    <w:rsid w:val="001F0503"/>
    <w:rsid w:val="001F10CC"/>
    <w:rsid w:val="001F2A7D"/>
    <w:rsid w:val="001F2BF2"/>
    <w:rsid w:val="001F2E9E"/>
    <w:rsid w:val="001F3188"/>
    <w:rsid w:val="001F583D"/>
    <w:rsid w:val="001F63CE"/>
    <w:rsid w:val="00200ABF"/>
    <w:rsid w:val="002025A0"/>
    <w:rsid w:val="0020306A"/>
    <w:rsid w:val="0020369C"/>
    <w:rsid w:val="00204028"/>
    <w:rsid w:val="0020554E"/>
    <w:rsid w:val="0021018F"/>
    <w:rsid w:val="00211FE4"/>
    <w:rsid w:val="00213AD4"/>
    <w:rsid w:val="00213C72"/>
    <w:rsid w:val="00214C5A"/>
    <w:rsid w:val="00216CDE"/>
    <w:rsid w:val="00216D17"/>
    <w:rsid w:val="00231E3A"/>
    <w:rsid w:val="002338BA"/>
    <w:rsid w:val="00233B50"/>
    <w:rsid w:val="002344C9"/>
    <w:rsid w:val="00234917"/>
    <w:rsid w:val="0024509A"/>
    <w:rsid w:val="002474FB"/>
    <w:rsid w:val="00251212"/>
    <w:rsid w:val="00253093"/>
    <w:rsid w:val="00253FF3"/>
    <w:rsid w:val="00254CC1"/>
    <w:rsid w:val="002551EF"/>
    <w:rsid w:val="002607FE"/>
    <w:rsid w:val="00262A51"/>
    <w:rsid w:val="00263C53"/>
    <w:rsid w:val="002652F8"/>
    <w:rsid w:val="00266B88"/>
    <w:rsid w:val="00267657"/>
    <w:rsid w:val="00267E42"/>
    <w:rsid w:val="0027155B"/>
    <w:rsid w:val="002718D9"/>
    <w:rsid w:val="00273F4D"/>
    <w:rsid w:val="00274806"/>
    <w:rsid w:val="00275845"/>
    <w:rsid w:val="002772E1"/>
    <w:rsid w:val="00282158"/>
    <w:rsid w:val="0028307A"/>
    <w:rsid w:val="00283D04"/>
    <w:rsid w:val="00283DCC"/>
    <w:rsid w:val="0028585B"/>
    <w:rsid w:val="002876CF"/>
    <w:rsid w:val="00290373"/>
    <w:rsid w:val="00290CEA"/>
    <w:rsid w:val="00292E4A"/>
    <w:rsid w:val="0029480D"/>
    <w:rsid w:val="002A07F4"/>
    <w:rsid w:val="002A1878"/>
    <w:rsid w:val="002A26CD"/>
    <w:rsid w:val="002A2777"/>
    <w:rsid w:val="002A5ACF"/>
    <w:rsid w:val="002A6CFB"/>
    <w:rsid w:val="002A6FFB"/>
    <w:rsid w:val="002A7366"/>
    <w:rsid w:val="002B042F"/>
    <w:rsid w:val="002B0FEB"/>
    <w:rsid w:val="002B25B6"/>
    <w:rsid w:val="002B2931"/>
    <w:rsid w:val="002B2B80"/>
    <w:rsid w:val="002B594D"/>
    <w:rsid w:val="002B6D52"/>
    <w:rsid w:val="002B771D"/>
    <w:rsid w:val="002C0976"/>
    <w:rsid w:val="002C236C"/>
    <w:rsid w:val="002C2790"/>
    <w:rsid w:val="002C3A18"/>
    <w:rsid w:val="002C65DB"/>
    <w:rsid w:val="002D0BBB"/>
    <w:rsid w:val="002D16B7"/>
    <w:rsid w:val="002D29C3"/>
    <w:rsid w:val="002D41EE"/>
    <w:rsid w:val="002D52D3"/>
    <w:rsid w:val="002D65CF"/>
    <w:rsid w:val="002D66F5"/>
    <w:rsid w:val="002D7EDA"/>
    <w:rsid w:val="002E13EA"/>
    <w:rsid w:val="002E3A79"/>
    <w:rsid w:val="002E46A9"/>
    <w:rsid w:val="002E7D38"/>
    <w:rsid w:val="002F2904"/>
    <w:rsid w:val="002F4322"/>
    <w:rsid w:val="002F4949"/>
    <w:rsid w:val="002F4DA2"/>
    <w:rsid w:val="002F65C1"/>
    <w:rsid w:val="002F7AFA"/>
    <w:rsid w:val="002F7FC3"/>
    <w:rsid w:val="0030166E"/>
    <w:rsid w:val="00303043"/>
    <w:rsid w:val="00304062"/>
    <w:rsid w:val="00307B5B"/>
    <w:rsid w:val="003107C3"/>
    <w:rsid w:val="003109B3"/>
    <w:rsid w:val="00313D8C"/>
    <w:rsid w:val="003142B3"/>
    <w:rsid w:val="00317F81"/>
    <w:rsid w:val="003203F1"/>
    <w:rsid w:val="00320C8F"/>
    <w:rsid w:val="00321645"/>
    <w:rsid w:val="00321992"/>
    <w:rsid w:val="00322A43"/>
    <w:rsid w:val="003237AB"/>
    <w:rsid w:val="003237D0"/>
    <w:rsid w:val="00323F13"/>
    <w:rsid w:val="00325C26"/>
    <w:rsid w:val="00326CFC"/>
    <w:rsid w:val="0033136D"/>
    <w:rsid w:val="003321CA"/>
    <w:rsid w:val="00332733"/>
    <w:rsid w:val="00332C0A"/>
    <w:rsid w:val="00337C40"/>
    <w:rsid w:val="00341D11"/>
    <w:rsid w:val="003430F4"/>
    <w:rsid w:val="00343734"/>
    <w:rsid w:val="00344386"/>
    <w:rsid w:val="00345BDE"/>
    <w:rsid w:val="0034679C"/>
    <w:rsid w:val="00347140"/>
    <w:rsid w:val="00347888"/>
    <w:rsid w:val="00347D92"/>
    <w:rsid w:val="0035022B"/>
    <w:rsid w:val="003526C6"/>
    <w:rsid w:val="00352A88"/>
    <w:rsid w:val="0035321E"/>
    <w:rsid w:val="00353C51"/>
    <w:rsid w:val="00354772"/>
    <w:rsid w:val="00356C3D"/>
    <w:rsid w:val="00357DE1"/>
    <w:rsid w:val="0036597A"/>
    <w:rsid w:val="0037060B"/>
    <w:rsid w:val="00371634"/>
    <w:rsid w:val="003722EF"/>
    <w:rsid w:val="00376212"/>
    <w:rsid w:val="00377F0E"/>
    <w:rsid w:val="00380601"/>
    <w:rsid w:val="00381119"/>
    <w:rsid w:val="00385FD4"/>
    <w:rsid w:val="00386B80"/>
    <w:rsid w:val="00387366"/>
    <w:rsid w:val="003901F2"/>
    <w:rsid w:val="00391297"/>
    <w:rsid w:val="00391F9D"/>
    <w:rsid w:val="00396F87"/>
    <w:rsid w:val="003971C8"/>
    <w:rsid w:val="003A1B17"/>
    <w:rsid w:val="003A42DB"/>
    <w:rsid w:val="003A43EC"/>
    <w:rsid w:val="003A6C3F"/>
    <w:rsid w:val="003A6E91"/>
    <w:rsid w:val="003A772A"/>
    <w:rsid w:val="003B0BD9"/>
    <w:rsid w:val="003B1FDE"/>
    <w:rsid w:val="003B2296"/>
    <w:rsid w:val="003B2AA9"/>
    <w:rsid w:val="003B2DD1"/>
    <w:rsid w:val="003B2E21"/>
    <w:rsid w:val="003C00E8"/>
    <w:rsid w:val="003C0D48"/>
    <w:rsid w:val="003C320E"/>
    <w:rsid w:val="003C713D"/>
    <w:rsid w:val="003C790D"/>
    <w:rsid w:val="003D15E2"/>
    <w:rsid w:val="003D379D"/>
    <w:rsid w:val="003D4F2F"/>
    <w:rsid w:val="003D50B6"/>
    <w:rsid w:val="003E1137"/>
    <w:rsid w:val="003E383E"/>
    <w:rsid w:val="003E6632"/>
    <w:rsid w:val="003E6FF8"/>
    <w:rsid w:val="003F143E"/>
    <w:rsid w:val="003F1787"/>
    <w:rsid w:val="003F30DF"/>
    <w:rsid w:val="003F6C7E"/>
    <w:rsid w:val="003F6F7A"/>
    <w:rsid w:val="0040046A"/>
    <w:rsid w:val="00403D8E"/>
    <w:rsid w:val="00404EA3"/>
    <w:rsid w:val="00405624"/>
    <w:rsid w:val="00410CC6"/>
    <w:rsid w:val="00411249"/>
    <w:rsid w:val="00411945"/>
    <w:rsid w:val="004121C1"/>
    <w:rsid w:val="00413565"/>
    <w:rsid w:val="00414EE5"/>
    <w:rsid w:val="0041537C"/>
    <w:rsid w:val="00416E47"/>
    <w:rsid w:val="004176D6"/>
    <w:rsid w:val="00420D38"/>
    <w:rsid w:val="00422230"/>
    <w:rsid w:val="00422FE7"/>
    <w:rsid w:val="00425AF3"/>
    <w:rsid w:val="00427AD4"/>
    <w:rsid w:val="0043009B"/>
    <w:rsid w:val="00430906"/>
    <w:rsid w:val="004318CF"/>
    <w:rsid w:val="00431AC2"/>
    <w:rsid w:val="004323D8"/>
    <w:rsid w:val="004328CE"/>
    <w:rsid w:val="004337BE"/>
    <w:rsid w:val="0043464E"/>
    <w:rsid w:val="004372CE"/>
    <w:rsid w:val="00440376"/>
    <w:rsid w:val="004404B3"/>
    <w:rsid w:val="00440F1C"/>
    <w:rsid w:val="00441D8F"/>
    <w:rsid w:val="0044349E"/>
    <w:rsid w:val="0044382F"/>
    <w:rsid w:val="00447230"/>
    <w:rsid w:val="00451CF6"/>
    <w:rsid w:val="00451DFC"/>
    <w:rsid w:val="00452663"/>
    <w:rsid w:val="00452B4F"/>
    <w:rsid w:val="00454337"/>
    <w:rsid w:val="00455501"/>
    <w:rsid w:val="004556F1"/>
    <w:rsid w:val="00455F0C"/>
    <w:rsid w:val="0046099A"/>
    <w:rsid w:val="00463066"/>
    <w:rsid w:val="00464441"/>
    <w:rsid w:val="004655AD"/>
    <w:rsid w:val="00466149"/>
    <w:rsid w:val="004661FE"/>
    <w:rsid w:val="004669B9"/>
    <w:rsid w:val="00470BB5"/>
    <w:rsid w:val="00471358"/>
    <w:rsid w:val="00472B7B"/>
    <w:rsid w:val="00472CA3"/>
    <w:rsid w:val="0047365C"/>
    <w:rsid w:val="00473ED2"/>
    <w:rsid w:val="0047405F"/>
    <w:rsid w:val="00475BE8"/>
    <w:rsid w:val="004768A6"/>
    <w:rsid w:val="00476A12"/>
    <w:rsid w:val="00476EA7"/>
    <w:rsid w:val="00481226"/>
    <w:rsid w:val="004832BE"/>
    <w:rsid w:val="00483D8A"/>
    <w:rsid w:val="00484570"/>
    <w:rsid w:val="004847CA"/>
    <w:rsid w:val="00485348"/>
    <w:rsid w:val="00485A20"/>
    <w:rsid w:val="00491E8D"/>
    <w:rsid w:val="0049620C"/>
    <w:rsid w:val="004A073E"/>
    <w:rsid w:val="004A2859"/>
    <w:rsid w:val="004A353F"/>
    <w:rsid w:val="004A5675"/>
    <w:rsid w:val="004A69A9"/>
    <w:rsid w:val="004B06CD"/>
    <w:rsid w:val="004B486C"/>
    <w:rsid w:val="004B639C"/>
    <w:rsid w:val="004B74C3"/>
    <w:rsid w:val="004C117C"/>
    <w:rsid w:val="004C1182"/>
    <w:rsid w:val="004C482F"/>
    <w:rsid w:val="004C76C6"/>
    <w:rsid w:val="004D26E5"/>
    <w:rsid w:val="004D3D32"/>
    <w:rsid w:val="004D4B49"/>
    <w:rsid w:val="004D754B"/>
    <w:rsid w:val="004D7D7A"/>
    <w:rsid w:val="004E0CA0"/>
    <w:rsid w:val="004E2EDE"/>
    <w:rsid w:val="004E3BB1"/>
    <w:rsid w:val="004E61BC"/>
    <w:rsid w:val="004E6CC2"/>
    <w:rsid w:val="004F1A8F"/>
    <w:rsid w:val="004F232A"/>
    <w:rsid w:val="004F304F"/>
    <w:rsid w:val="004F47D4"/>
    <w:rsid w:val="004F494E"/>
    <w:rsid w:val="004F4E09"/>
    <w:rsid w:val="004F7059"/>
    <w:rsid w:val="004F70F8"/>
    <w:rsid w:val="004F7D0A"/>
    <w:rsid w:val="00501F34"/>
    <w:rsid w:val="005036FE"/>
    <w:rsid w:val="0050534E"/>
    <w:rsid w:val="00511015"/>
    <w:rsid w:val="00511694"/>
    <w:rsid w:val="0051220D"/>
    <w:rsid w:val="00512AE5"/>
    <w:rsid w:val="005166DE"/>
    <w:rsid w:val="00517880"/>
    <w:rsid w:val="005179A6"/>
    <w:rsid w:val="00517A23"/>
    <w:rsid w:val="00520175"/>
    <w:rsid w:val="00522A62"/>
    <w:rsid w:val="00523620"/>
    <w:rsid w:val="0052418A"/>
    <w:rsid w:val="005250A5"/>
    <w:rsid w:val="005255FA"/>
    <w:rsid w:val="00525DB7"/>
    <w:rsid w:val="0052646A"/>
    <w:rsid w:val="0052701A"/>
    <w:rsid w:val="00530232"/>
    <w:rsid w:val="0053168A"/>
    <w:rsid w:val="005318D9"/>
    <w:rsid w:val="00533B1F"/>
    <w:rsid w:val="00533E63"/>
    <w:rsid w:val="00534E75"/>
    <w:rsid w:val="00536EA9"/>
    <w:rsid w:val="00537ED8"/>
    <w:rsid w:val="005402D8"/>
    <w:rsid w:val="00540360"/>
    <w:rsid w:val="00540C45"/>
    <w:rsid w:val="00540CCB"/>
    <w:rsid w:val="00541B12"/>
    <w:rsid w:val="005423A5"/>
    <w:rsid w:val="005428F2"/>
    <w:rsid w:val="00543C5C"/>
    <w:rsid w:val="00544B6D"/>
    <w:rsid w:val="005457E7"/>
    <w:rsid w:val="005477EA"/>
    <w:rsid w:val="005507F4"/>
    <w:rsid w:val="005521E7"/>
    <w:rsid w:val="005552DE"/>
    <w:rsid w:val="00555EAD"/>
    <w:rsid w:val="005560EB"/>
    <w:rsid w:val="005573C4"/>
    <w:rsid w:val="00561178"/>
    <w:rsid w:val="00561AE8"/>
    <w:rsid w:val="00561EB6"/>
    <w:rsid w:val="00562E6B"/>
    <w:rsid w:val="005660ED"/>
    <w:rsid w:val="005668B3"/>
    <w:rsid w:val="00566D7F"/>
    <w:rsid w:val="00571780"/>
    <w:rsid w:val="00573102"/>
    <w:rsid w:val="00573197"/>
    <w:rsid w:val="00573CD8"/>
    <w:rsid w:val="00573DE4"/>
    <w:rsid w:val="00575321"/>
    <w:rsid w:val="00577DB7"/>
    <w:rsid w:val="00577F57"/>
    <w:rsid w:val="005803CA"/>
    <w:rsid w:val="00581B73"/>
    <w:rsid w:val="00582A81"/>
    <w:rsid w:val="00583D79"/>
    <w:rsid w:val="005840BE"/>
    <w:rsid w:val="005842A8"/>
    <w:rsid w:val="00586579"/>
    <w:rsid w:val="005879A8"/>
    <w:rsid w:val="00592834"/>
    <w:rsid w:val="00592EB3"/>
    <w:rsid w:val="0059315D"/>
    <w:rsid w:val="00593340"/>
    <w:rsid w:val="005956F5"/>
    <w:rsid w:val="005A17CE"/>
    <w:rsid w:val="005A1B9B"/>
    <w:rsid w:val="005A3B9B"/>
    <w:rsid w:val="005A3BF8"/>
    <w:rsid w:val="005A641F"/>
    <w:rsid w:val="005A6D1E"/>
    <w:rsid w:val="005B05C6"/>
    <w:rsid w:val="005B0F19"/>
    <w:rsid w:val="005B1FB3"/>
    <w:rsid w:val="005B25E4"/>
    <w:rsid w:val="005B3CB3"/>
    <w:rsid w:val="005C04C7"/>
    <w:rsid w:val="005C11A4"/>
    <w:rsid w:val="005C2703"/>
    <w:rsid w:val="005C43E8"/>
    <w:rsid w:val="005C481E"/>
    <w:rsid w:val="005C4D5B"/>
    <w:rsid w:val="005D0942"/>
    <w:rsid w:val="005D22AB"/>
    <w:rsid w:val="005D3B87"/>
    <w:rsid w:val="005D4D7F"/>
    <w:rsid w:val="005E6FA5"/>
    <w:rsid w:val="005E715C"/>
    <w:rsid w:val="005E7D3A"/>
    <w:rsid w:val="005F08FC"/>
    <w:rsid w:val="005F2ABD"/>
    <w:rsid w:val="005F362B"/>
    <w:rsid w:val="005F3B43"/>
    <w:rsid w:val="005F52E3"/>
    <w:rsid w:val="005F5E39"/>
    <w:rsid w:val="005F65B8"/>
    <w:rsid w:val="005F7239"/>
    <w:rsid w:val="006020BC"/>
    <w:rsid w:val="00605EAB"/>
    <w:rsid w:val="00610026"/>
    <w:rsid w:val="00611D04"/>
    <w:rsid w:val="00614923"/>
    <w:rsid w:val="00615FF7"/>
    <w:rsid w:val="00616AE8"/>
    <w:rsid w:val="006173BA"/>
    <w:rsid w:val="00617D2C"/>
    <w:rsid w:val="006208B3"/>
    <w:rsid w:val="0062225F"/>
    <w:rsid w:val="00622C59"/>
    <w:rsid w:val="006254B1"/>
    <w:rsid w:val="00626220"/>
    <w:rsid w:val="00626D9A"/>
    <w:rsid w:val="006270F6"/>
    <w:rsid w:val="00627578"/>
    <w:rsid w:val="0063080A"/>
    <w:rsid w:val="0063089D"/>
    <w:rsid w:val="00630959"/>
    <w:rsid w:val="00632B6B"/>
    <w:rsid w:val="00635E92"/>
    <w:rsid w:val="006366A0"/>
    <w:rsid w:val="00637080"/>
    <w:rsid w:val="00641214"/>
    <w:rsid w:val="006417F2"/>
    <w:rsid w:val="0064267B"/>
    <w:rsid w:val="00643950"/>
    <w:rsid w:val="00643C10"/>
    <w:rsid w:val="00646BC8"/>
    <w:rsid w:val="00650843"/>
    <w:rsid w:val="00650973"/>
    <w:rsid w:val="006525CE"/>
    <w:rsid w:val="00653EF0"/>
    <w:rsid w:val="00654068"/>
    <w:rsid w:val="0065448B"/>
    <w:rsid w:val="006554ED"/>
    <w:rsid w:val="00657AA9"/>
    <w:rsid w:val="006611A8"/>
    <w:rsid w:val="00661AAC"/>
    <w:rsid w:val="006623C1"/>
    <w:rsid w:val="00662A60"/>
    <w:rsid w:val="00662E99"/>
    <w:rsid w:val="00665AC0"/>
    <w:rsid w:val="00665D73"/>
    <w:rsid w:val="006675A8"/>
    <w:rsid w:val="0067348D"/>
    <w:rsid w:val="00675D7D"/>
    <w:rsid w:val="00682663"/>
    <w:rsid w:val="00690058"/>
    <w:rsid w:val="00690134"/>
    <w:rsid w:val="00692556"/>
    <w:rsid w:val="00692A0D"/>
    <w:rsid w:val="00694964"/>
    <w:rsid w:val="00694C39"/>
    <w:rsid w:val="006A05D7"/>
    <w:rsid w:val="006A15E4"/>
    <w:rsid w:val="006A1732"/>
    <w:rsid w:val="006A1AD6"/>
    <w:rsid w:val="006A36D9"/>
    <w:rsid w:val="006A36F8"/>
    <w:rsid w:val="006A52D4"/>
    <w:rsid w:val="006B1672"/>
    <w:rsid w:val="006B267E"/>
    <w:rsid w:val="006B280A"/>
    <w:rsid w:val="006B4015"/>
    <w:rsid w:val="006B4921"/>
    <w:rsid w:val="006B6B06"/>
    <w:rsid w:val="006C0B33"/>
    <w:rsid w:val="006C1D6F"/>
    <w:rsid w:val="006C22F0"/>
    <w:rsid w:val="006C2884"/>
    <w:rsid w:val="006C2E1F"/>
    <w:rsid w:val="006C469D"/>
    <w:rsid w:val="006C6532"/>
    <w:rsid w:val="006D15C9"/>
    <w:rsid w:val="006D1BBD"/>
    <w:rsid w:val="006D467C"/>
    <w:rsid w:val="006D5EFE"/>
    <w:rsid w:val="006D714F"/>
    <w:rsid w:val="006D71F2"/>
    <w:rsid w:val="006D7B63"/>
    <w:rsid w:val="006D7DF9"/>
    <w:rsid w:val="006E2FA8"/>
    <w:rsid w:val="006E31A5"/>
    <w:rsid w:val="006E58FA"/>
    <w:rsid w:val="006E5FBE"/>
    <w:rsid w:val="006F06C8"/>
    <w:rsid w:val="006F1329"/>
    <w:rsid w:val="006F17D3"/>
    <w:rsid w:val="006F18C6"/>
    <w:rsid w:val="006F260B"/>
    <w:rsid w:val="006F299E"/>
    <w:rsid w:val="006F46B5"/>
    <w:rsid w:val="006F4972"/>
    <w:rsid w:val="006F5EAB"/>
    <w:rsid w:val="00701A97"/>
    <w:rsid w:val="00702AC5"/>
    <w:rsid w:val="00703827"/>
    <w:rsid w:val="007062E7"/>
    <w:rsid w:val="007069E7"/>
    <w:rsid w:val="00706C4B"/>
    <w:rsid w:val="00707DC4"/>
    <w:rsid w:val="00710F63"/>
    <w:rsid w:val="0071579A"/>
    <w:rsid w:val="00715CA4"/>
    <w:rsid w:val="00715DCA"/>
    <w:rsid w:val="00716FDA"/>
    <w:rsid w:val="007173A3"/>
    <w:rsid w:val="00717950"/>
    <w:rsid w:val="00720A59"/>
    <w:rsid w:val="0072188C"/>
    <w:rsid w:val="00722943"/>
    <w:rsid w:val="00722AEB"/>
    <w:rsid w:val="00723FD7"/>
    <w:rsid w:val="00724DF3"/>
    <w:rsid w:val="007259F3"/>
    <w:rsid w:val="00733662"/>
    <w:rsid w:val="0073372A"/>
    <w:rsid w:val="0073587A"/>
    <w:rsid w:val="007413BD"/>
    <w:rsid w:val="00745815"/>
    <w:rsid w:val="00746871"/>
    <w:rsid w:val="00746B76"/>
    <w:rsid w:val="0074707F"/>
    <w:rsid w:val="00747F86"/>
    <w:rsid w:val="007551DA"/>
    <w:rsid w:val="0075526F"/>
    <w:rsid w:val="00755400"/>
    <w:rsid w:val="00760AAF"/>
    <w:rsid w:val="00760B68"/>
    <w:rsid w:val="007613EF"/>
    <w:rsid w:val="00763737"/>
    <w:rsid w:val="00765B88"/>
    <w:rsid w:val="00765CFC"/>
    <w:rsid w:val="00767193"/>
    <w:rsid w:val="00767885"/>
    <w:rsid w:val="007679F9"/>
    <w:rsid w:val="0077017B"/>
    <w:rsid w:val="007706A4"/>
    <w:rsid w:val="00770ECD"/>
    <w:rsid w:val="007711F7"/>
    <w:rsid w:val="007725AD"/>
    <w:rsid w:val="00772AA5"/>
    <w:rsid w:val="00775924"/>
    <w:rsid w:val="00775FE0"/>
    <w:rsid w:val="00776351"/>
    <w:rsid w:val="00776F77"/>
    <w:rsid w:val="00780200"/>
    <w:rsid w:val="00780785"/>
    <w:rsid w:val="00783806"/>
    <w:rsid w:val="007841B8"/>
    <w:rsid w:val="007855CE"/>
    <w:rsid w:val="00786BC9"/>
    <w:rsid w:val="00787247"/>
    <w:rsid w:val="00790725"/>
    <w:rsid w:val="00792CF3"/>
    <w:rsid w:val="00792E88"/>
    <w:rsid w:val="007954CE"/>
    <w:rsid w:val="00796B79"/>
    <w:rsid w:val="007A063B"/>
    <w:rsid w:val="007A4FDD"/>
    <w:rsid w:val="007A7286"/>
    <w:rsid w:val="007A76EC"/>
    <w:rsid w:val="007A7890"/>
    <w:rsid w:val="007B0580"/>
    <w:rsid w:val="007B1061"/>
    <w:rsid w:val="007B1104"/>
    <w:rsid w:val="007B13FC"/>
    <w:rsid w:val="007B19F6"/>
    <w:rsid w:val="007B435F"/>
    <w:rsid w:val="007B48CD"/>
    <w:rsid w:val="007B630E"/>
    <w:rsid w:val="007B669C"/>
    <w:rsid w:val="007C0FE1"/>
    <w:rsid w:val="007C10FC"/>
    <w:rsid w:val="007C1F98"/>
    <w:rsid w:val="007C209C"/>
    <w:rsid w:val="007C2309"/>
    <w:rsid w:val="007C2BFE"/>
    <w:rsid w:val="007C4709"/>
    <w:rsid w:val="007C68AE"/>
    <w:rsid w:val="007D02A6"/>
    <w:rsid w:val="007D099E"/>
    <w:rsid w:val="007D39FB"/>
    <w:rsid w:val="007D638E"/>
    <w:rsid w:val="007D6998"/>
    <w:rsid w:val="007D6D34"/>
    <w:rsid w:val="007D76BE"/>
    <w:rsid w:val="007E16A2"/>
    <w:rsid w:val="007E1F0E"/>
    <w:rsid w:val="007E37FA"/>
    <w:rsid w:val="007E4364"/>
    <w:rsid w:val="007E4E1D"/>
    <w:rsid w:val="007E6438"/>
    <w:rsid w:val="007E6D7D"/>
    <w:rsid w:val="007E6F7E"/>
    <w:rsid w:val="007F02C4"/>
    <w:rsid w:val="007F304F"/>
    <w:rsid w:val="007F485F"/>
    <w:rsid w:val="007F4C03"/>
    <w:rsid w:val="007F6824"/>
    <w:rsid w:val="008009E4"/>
    <w:rsid w:val="008045C9"/>
    <w:rsid w:val="008104AE"/>
    <w:rsid w:val="00810D15"/>
    <w:rsid w:val="00811C7D"/>
    <w:rsid w:val="00811E0F"/>
    <w:rsid w:val="00811F2E"/>
    <w:rsid w:val="0081363B"/>
    <w:rsid w:val="00815213"/>
    <w:rsid w:val="00816082"/>
    <w:rsid w:val="00816BCA"/>
    <w:rsid w:val="00816EDC"/>
    <w:rsid w:val="00817388"/>
    <w:rsid w:val="00820F4D"/>
    <w:rsid w:val="00825817"/>
    <w:rsid w:val="008258E8"/>
    <w:rsid w:val="008260AC"/>
    <w:rsid w:val="00826AD6"/>
    <w:rsid w:val="008276E9"/>
    <w:rsid w:val="00827D22"/>
    <w:rsid w:val="00830160"/>
    <w:rsid w:val="00830722"/>
    <w:rsid w:val="00830BFC"/>
    <w:rsid w:val="00830E11"/>
    <w:rsid w:val="008408AE"/>
    <w:rsid w:val="008425F2"/>
    <w:rsid w:val="00843508"/>
    <w:rsid w:val="008501F0"/>
    <w:rsid w:val="00850B14"/>
    <w:rsid w:val="00850D2A"/>
    <w:rsid w:val="008512D1"/>
    <w:rsid w:val="00855EF6"/>
    <w:rsid w:val="00856455"/>
    <w:rsid w:val="00857403"/>
    <w:rsid w:val="00857DB5"/>
    <w:rsid w:val="00861394"/>
    <w:rsid w:val="0086151D"/>
    <w:rsid w:val="00862C5F"/>
    <w:rsid w:val="008637AB"/>
    <w:rsid w:val="00864499"/>
    <w:rsid w:val="00864F24"/>
    <w:rsid w:val="00865CB9"/>
    <w:rsid w:val="00867E2C"/>
    <w:rsid w:val="0087017E"/>
    <w:rsid w:val="008704A6"/>
    <w:rsid w:val="008704BC"/>
    <w:rsid w:val="00872DC6"/>
    <w:rsid w:val="0087359C"/>
    <w:rsid w:val="00874393"/>
    <w:rsid w:val="008748CD"/>
    <w:rsid w:val="00875CE0"/>
    <w:rsid w:val="00880443"/>
    <w:rsid w:val="00881063"/>
    <w:rsid w:val="00881BBA"/>
    <w:rsid w:val="00881CEF"/>
    <w:rsid w:val="0088247B"/>
    <w:rsid w:val="00883842"/>
    <w:rsid w:val="0088606A"/>
    <w:rsid w:val="008865A6"/>
    <w:rsid w:val="008918D7"/>
    <w:rsid w:val="00891AC9"/>
    <w:rsid w:val="008970F0"/>
    <w:rsid w:val="008971FE"/>
    <w:rsid w:val="0089765C"/>
    <w:rsid w:val="008A032D"/>
    <w:rsid w:val="008A0337"/>
    <w:rsid w:val="008A0E5B"/>
    <w:rsid w:val="008A1CFE"/>
    <w:rsid w:val="008A260E"/>
    <w:rsid w:val="008A27C7"/>
    <w:rsid w:val="008A2D9D"/>
    <w:rsid w:val="008A4C80"/>
    <w:rsid w:val="008B08F2"/>
    <w:rsid w:val="008B0EBB"/>
    <w:rsid w:val="008B133E"/>
    <w:rsid w:val="008B1A9F"/>
    <w:rsid w:val="008B2C70"/>
    <w:rsid w:val="008B3920"/>
    <w:rsid w:val="008B3D32"/>
    <w:rsid w:val="008B4A94"/>
    <w:rsid w:val="008B4FE2"/>
    <w:rsid w:val="008B7AE6"/>
    <w:rsid w:val="008B7C09"/>
    <w:rsid w:val="008C2A4E"/>
    <w:rsid w:val="008C32CC"/>
    <w:rsid w:val="008C34D8"/>
    <w:rsid w:val="008C3A17"/>
    <w:rsid w:val="008C72D3"/>
    <w:rsid w:val="008C7A9C"/>
    <w:rsid w:val="008D0DB6"/>
    <w:rsid w:val="008D1DA7"/>
    <w:rsid w:val="008D52C7"/>
    <w:rsid w:val="008D5999"/>
    <w:rsid w:val="008D672E"/>
    <w:rsid w:val="008D7C87"/>
    <w:rsid w:val="008E013C"/>
    <w:rsid w:val="008E0403"/>
    <w:rsid w:val="008E1684"/>
    <w:rsid w:val="008E3C14"/>
    <w:rsid w:val="008E5709"/>
    <w:rsid w:val="008E5A60"/>
    <w:rsid w:val="008F35F5"/>
    <w:rsid w:val="008F428D"/>
    <w:rsid w:val="008F4F2D"/>
    <w:rsid w:val="008F707C"/>
    <w:rsid w:val="008F76F3"/>
    <w:rsid w:val="00900116"/>
    <w:rsid w:val="00900B6A"/>
    <w:rsid w:val="00901AF5"/>
    <w:rsid w:val="00901DB8"/>
    <w:rsid w:val="009050B5"/>
    <w:rsid w:val="00906BC9"/>
    <w:rsid w:val="009131F5"/>
    <w:rsid w:val="009136DE"/>
    <w:rsid w:val="009141EF"/>
    <w:rsid w:val="0091421F"/>
    <w:rsid w:val="00914331"/>
    <w:rsid w:val="0091455C"/>
    <w:rsid w:val="009149E9"/>
    <w:rsid w:val="00914BFA"/>
    <w:rsid w:val="009166CC"/>
    <w:rsid w:val="00916BE8"/>
    <w:rsid w:val="00916F60"/>
    <w:rsid w:val="0091776D"/>
    <w:rsid w:val="009209B3"/>
    <w:rsid w:val="00920B28"/>
    <w:rsid w:val="0092159C"/>
    <w:rsid w:val="00921BB5"/>
    <w:rsid w:val="009300CA"/>
    <w:rsid w:val="009310B3"/>
    <w:rsid w:val="009314AF"/>
    <w:rsid w:val="00933DC2"/>
    <w:rsid w:val="009345B7"/>
    <w:rsid w:val="009345D7"/>
    <w:rsid w:val="009358B1"/>
    <w:rsid w:val="0093743A"/>
    <w:rsid w:val="00937EB0"/>
    <w:rsid w:val="00940DAD"/>
    <w:rsid w:val="00941E0D"/>
    <w:rsid w:val="009427CA"/>
    <w:rsid w:val="00943A6B"/>
    <w:rsid w:val="00943AC3"/>
    <w:rsid w:val="0094489A"/>
    <w:rsid w:val="00950169"/>
    <w:rsid w:val="00951E3E"/>
    <w:rsid w:val="009530DA"/>
    <w:rsid w:val="00954363"/>
    <w:rsid w:val="00954A82"/>
    <w:rsid w:val="00954C83"/>
    <w:rsid w:val="00955A25"/>
    <w:rsid w:val="009633AE"/>
    <w:rsid w:val="00963657"/>
    <w:rsid w:val="0096612E"/>
    <w:rsid w:val="00966FD9"/>
    <w:rsid w:val="0097177B"/>
    <w:rsid w:val="009731F6"/>
    <w:rsid w:val="00974F33"/>
    <w:rsid w:val="009753CF"/>
    <w:rsid w:val="0097575B"/>
    <w:rsid w:val="009777D9"/>
    <w:rsid w:val="00977ECA"/>
    <w:rsid w:val="009822E6"/>
    <w:rsid w:val="0098255B"/>
    <w:rsid w:val="0098465A"/>
    <w:rsid w:val="00986D05"/>
    <w:rsid w:val="0098711E"/>
    <w:rsid w:val="0099130C"/>
    <w:rsid w:val="009913D3"/>
    <w:rsid w:val="00995960"/>
    <w:rsid w:val="0099737C"/>
    <w:rsid w:val="009A04AB"/>
    <w:rsid w:val="009A229A"/>
    <w:rsid w:val="009A30D2"/>
    <w:rsid w:val="009A5D98"/>
    <w:rsid w:val="009A7AEA"/>
    <w:rsid w:val="009B2A0E"/>
    <w:rsid w:val="009B2BE9"/>
    <w:rsid w:val="009B3582"/>
    <w:rsid w:val="009B427E"/>
    <w:rsid w:val="009B483B"/>
    <w:rsid w:val="009B48D9"/>
    <w:rsid w:val="009B65B4"/>
    <w:rsid w:val="009C1DBC"/>
    <w:rsid w:val="009C45B1"/>
    <w:rsid w:val="009C6206"/>
    <w:rsid w:val="009C673E"/>
    <w:rsid w:val="009C7E12"/>
    <w:rsid w:val="009D120B"/>
    <w:rsid w:val="009D20D5"/>
    <w:rsid w:val="009D2143"/>
    <w:rsid w:val="009D43DC"/>
    <w:rsid w:val="009D46D1"/>
    <w:rsid w:val="009D4998"/>
    <w:rsid w:val="009D5B95"/>
    <w:rsid w:val="009D65F7"/>
    <w:rsid w:val="009D67C4"/>
    <w:rsid w:val="009D6B58"/>
    <w:rsid w:val="009E1F07"/>
    <w:rsid w:val="009E3675"/>
    <w:rsid w:val="009E3D15"/>
    <w:rsid w:val="009E48F3"/>
    <w:rsid w:val="009E4C13"/>
    <w:rsid w:val="009E4F7B"/>
    <w:rsid w:val="009E4FF8"/>
    <w:rsid w:val="009E50BE"/>
    <w:rsid w:val="009E5664"/>
    <w:rsid w:val="009E56DF"/>
    <w:rsid w:val="009E5853"/>
    <w:rsid w:val="009F0357"/>
    <w:rsid w:val="009F0F35"/>
    <w:rsid w:val="009F1519"/>
    <w:rsid w:val="009F2D5E"/>
    <w:rsid w:val="009F61E9"/>
    <w:rsid w:val="009F6579"/>
    <w:rsid w:val="009F6622"/>
    <w:rsid w:val="00A00198"/>
    <w:rsid w:val="00A01827"/>
    <w:rsid w:val="00A01831"/>
    <w:rsid w:val="00A03D96"/>
    <w:rsid w:val="00A04DAD"/>
    <w:rsid w:val="00A06040"/>
    <w:rsid w:val="00A07624"/>
    <w:rsid w:val="00A12F83"/>
    <w:rsid w:val="00A15240"/>
    <w:rsid w:val="00A15A1C"/>
    <w:rsid w:val="00A163D2"/>
    <w:rsid w:val="00A21392"/>
    <w:rsid w:val="00A2408A"/>
    <w:rsid w:val="00A24F2C"/>
    <w:rsid w:val="00A2677B"/>
    <w:rsid w:val="00A27E7D"/>
    <w:rsid w:val="00A30F4B"/>
    <w:rsid w:val="00A31A37"/>
    <w:rsid w:val="00A32909"/>
    <w:rsid w:val="00A334EA"/>
    <w:rsid w:val="00A33E59"/>
    <w:rsid w:val="00A361E8"/>
    <w:rsid w:val="00A37032"/>
    <w:rsid w:val="00A3703F"/>
    <w:rsid w:val="00A375C8"/>
    <w:rsid w:val="00A37CAC"/>
    <w:rsid w:val="00A4186A"/>
    <w:rsid w:val="00A420D3"/>
    <w:rsid w:val="00A4244A"/>
    <w:rsid w:val="00A42D8F"/>
    <w:rsid w:val="00A435EC"/>
    <w:rsid w:val="00A446CA"/>
    <w:rsid w:val="00A45345"/>
    <w:rsid w:val="00A45525"/>
    <w:rsid w:val="00A45CF3"/>
    <w:rsid w:val="00A45DBC"/>
    <w:rsid w:val="00A4762B"/>
    <w:rsid w:val="00A507D9"/>
    <w:rsid w:val="00A532A5"/>
    <w:rsid w:val="00A5380F"/>
    <w:rsid w:val="00A55A37"/>
    <w:rsid w:val="00A5617F"/>
    <w:rsid w:val="00A5662D"/>
    <w:rsid w:val="00A578BA"/>
    <w:rsid w:val="00A57986"/>
    <w:rsid w:val="00A6616D"/>
    <w:rsid w:val="00A6707C"/>
    <w:rsid w:val="00A678B5"/>
    <w:rsid w:val="00A679EE"/>
    <w:rsid w:val="00A70007"/>
    <w:rsid w:val="00A70FED"/>
    <w:rsid w:val="00A71AA0"/>
    <w:rsid w:val="00A71C3B"/>
    <w:rsid w:val="00A742C5"/>
    <w:rsid w:val="00A750EF"/>
    <w:rsid w:val="00A80AEB"/>
    <w:rsid w:val="00A818BB"/>
    <w:rsid w:val="00A8352F"/>
    <w:rsid w:val="00A8486D"/>
    <w:rsid w:val="00A85335"/>
    <w:rsid w:val="00A862AF"/>
    <w:rsid w:val="00A876AD"/>
    <w:rsid w:val="00A87932"/>
    <w:rsid w:val="00A87A3F"/>
    <w:rsid w:val="00A91A70"/>
    <w:rsid w:val="00A92FB1"/>
    <w:rsid w:val="00A950BC"/>
    <w:rsid w:val="00A9532D"/>
    <w:rsid w:val="00A97115"/>
    <w:rsid w:val="00A9775D"/>
    <w:rsid w:val="00AA036D"/>
    <w:rsid w:val="00AA2C63"/>
    <w:rsid w:val="00AA5108"/>
    <w:rsid w:val="00AA5B51"/>
    <w:rsid w:val="00AA5FB7"/>
    <w:rsid w:val="00AA615D"/>
    <w:rsid w:val="00AB094D"/>
    <w:rsid w:val="00AB2CA3"/>
    <w:rsid w:val="00AB34CC"/>
    <w:rsid w:val="00AB509A"/>
    <w:rsid w:val="00AB56B2"/>
    <w:rsid w:val="00AB58BD"/>
    <w:rsid w:val="00AB5E5F"/>
    <w:rsid w:val="00AB65FB"/>
    <w:rsid w:val="00AB74EC"/>
    <w:rsid w:val="00AC15B0"/>
    <w:rsid w:val="00AC523F"/>
    <w:rsid w:val="00AC52AA"/>
    <w:rsid w:val="00AC5E0F"/>
    <w:rsid w:val="00AC6149"/>
    <w:rsid w:val="00AC63A6"/>
    <w:rsid w:val="00AD0D7D"/>
    <w:rsid w:val="00AD481E"/>
    <w:rsid w:val="00AD6F11"/>
    <w:rsid w:val="00AD7E36"/>
    <w:rsid w:val="00AD7EE0"/>
    <w:rsid w:val="00AE03C6"/>
    <w:rsid w:val="00AE0D68"/>
    <w:rsid w:val="00AE225B"/>
    <w:rsid w:val="00AE2CAF"/>
    <w:rsid w:val="00AE32C4"/>
    <w:rsid w:val="00AE359E"/>
    <w:rsid w:val="00AE494C"/>
    <w:rsid w:val="00AE6CD8"/>
    <w:rsid w:val="00AE6EE7"/>
    <w:rsid w:val="00AE7B6D"/>
    <w:rsid w:val="00AF02A1"/>
    <w:rsid w:val="00AF37B5"/>
    <w:rsid w:val="00AF3D1C"/>
    <w:rsid w:val="00AF4E26"/>
    <w:rsid w:val="00AF4EDC"/>
    <w:rsid w:val="00AF50D3"/>
    <w:rsid w:val="00AF549C"/>
    <w:rsid w:val="00AF7EC9"/>
    <w:rsid w:val="00B01CD3"/>
    <w:rsid w:val="00B01CDA"/>
    <w:rsid w:val="00B04061"/>
    <w:rsid w:val="00B048B6"/>
    <w:rsid w:val="00B04A6A"/>
    <w:rsid w:val="00B05701"/>
    <w:rsid w:val="00B05BAF"/>
    <w:rsid w:val="00B0604A"/>
    <w:rsid w:val="00B064CB"/>
    <w:rsid w:val="00B172D7"/>
    <w:rsid w:val="00B230B1"/>
    <w:rsid w:val="00B254C3"/>
    <w:rsid w:val="00B25D83"/>
    <w:rsid w:val="00B25DD9"/>
    <w:rsid w:val="00B26F05"/>
    <w:rsid w:val="00B27FD2"/>
    <w:rsid w:val="00B31657"/>
    <w:rsid w:val="00B35904"/>
    <w:rsid w:val="00B374D7"/>
    <w:rsid w:val="00B3765C"/>
    <w:rsid w:val="00B406BE"/>
    <w:rsid w:val="00B414FF"/>
    <w:rsid w:val="00B531ED"/>
    <w:rsid w:val="00B538FD"/>
    <w:rsid w:val="00B54828"/>
    <w:rsid w:val="00B54E5F"/>
    <w:rsid w:val="00B54F86"/>
    <w:rsid w:val="00B5576B"/>
    <w:rsid w:val="00B61D2C"/>
    <w:rsid w:val="00B62DC3"/>
    <w:rsid w:val="00B62E44"/>
    <w:rsid w:val="00B64EE6"/>
    <w:rsid w:val="00B67CD8"/>
    <w:rsid w:val="00B70A10"/>
    <w:rsid w:val="00B71331"/>
    <w:rsid w:val="00B716B9"/>
    <w:rsid w:val="00B72F0C"/>
    <w:rsid w:val="00B73E55"/>
    <w:rsid w:val="00B74DEC"/>
    <w:rsid w:val="00B7629E"/>
    <w:rsid w:val="00B76A58"/>
    <w:rsid w:val="00B77F3E"/>
    <w:rsid w:val="00B80FA5"/>
    <w:rsid w:val="00B82ADC"/>
    <w:rsid w:val="00B83AC3"/>
    <w:rsid w:val="00B84989"/>
    <w:rsid w:val="00B85927"/>
    <w:rsid w:val="00B87479"/>
    <w:rsid w:val="00B90CFD"/>
    <w:rsid w:val="00B91F28"/>
    <w:rsid w:val="00B93954"/>
    <w:rsid w:val="00B947B5"/>
    <w:rsid w:val="00B95B41"/>
    <w:rsid w:val="00B970FE"/>
    <w:rsid w:val="00B971D8"/>
    <w:rsid w:val="00BA1009"/>
    <w:rsid w:val="00BA1280"/>
    <w:rsid w:val="00BA1722"/>
    <w:rsid w:val="00BA550A"/>
    <w:rsid w:val="00BA555B"/>
    <w:rsid w:val="00BA6101"/>
    <w:rsid w:val="00BA7566"/>
    <w:rsid w:val="00BA774A"/>
    <w:rsid w:val="00BB0508"/>
    <w:rsid w:val="00BB29BC"/>
    <w:rsid w:val="00BB312F"/>
    <w:rsid w:val="00BB44E7"/>
    <w:rsid w:val="00BB47D9"/>
    <w:rsid w:val="00BB65AB"/>
    <w:rsid w:val="00BB6A88"/>
    <w:rsid w:val="00BC0AF1"/>
    <w:rsid w:val="00BC0BE5"/>
    <w:rsid w:val="00BC1BEB"/>
    <w:rsid w:val="00BC3266"/>
    <w:rsid w:val="00BC5C5C"/>
    <w:rsid w:val="00BC78A0"/>
    <w:rsid w:val="00BD1024"/>
    <w:rsid w:val="00BD1FAC"/>
    <w:rsid w:val="00BD21DF"/>
    <w:rsid w:val="00BD28B2"/>
    <w:rsid w:val="00BD3CC5"/>
    <w:rsid w:val="00BD4297"/>
    <w:rsid w:val="00BD5E48"/>
    <w:rsid w:val="00BD6B87"/>
    <w:rsid w:val="00BD6F99"/>
    <w:rsid w:val="00BD7104"/>
    <w:rsid w:val="00BE1F61"/>
    <w:rsid w:val="00BE3846"/>
    <w:rsid w:val="00BE55F0"/>
    <w:rsid w:val="00BE5C20"/>
    <w:rsid w:val="00BE5FBE"/>
    <w:rsid w:val="00BE6DFF"/>
    <w:rsid w:val="00BE77FF"/>
    <w:rsid w:val="00BF01B9"/>
    <w:rsid w:val="00BF0C37"/>
    <w:rsid w:val="00BF0E89"/>
    <w:rsid w:val="00BF2294"/>
    <w:rsid w:val="00BF3D63"/>
    <w:rsid w:val="00BF3E33"/>
    <w:rsid w:val="00BF4953"/>
    <w:rsid w:val="00BF5986"/>
    <w:rsid w:val="00BF6729"/>
    <w:rsid w:val="00BF7584"/>
    <w:rsid w:val="00BF7BF2"/>
    <w:rsid w:val="00C000BC"/>
    <w:rsid w:val="00C02561"/>
    <w:rsid w:val="00C028BF"/>
    <w:rsid w:val="00C041F6"/>
    <w:rsid w:val="00C04691"/>
    <w:rsid w:val="00C11534"/>
    <w:rsid w:val="00C11AC0"/>
    <w:rsid w:val="00C12107"/>
    <w:rsid w:val="00C12AC7"/>
    <w:rsid w:val="00C13E12"/>
    <w:rsid w:val="00C1728B"/>
    <w:rsid w:val="00C173BF"/>
    <w:rsid w:val="00C20551"/>
    <w:rsid w:val="00C22C49"/>
    <w:rsid w:val="00C261E5"/>
    <w:rsid w:val="00C26954"/>
    <w:rsid w:val="00C30395"/>
    <w:rsid w:val="00C326A0"/>
    <w:rsid w:val="00C32CE3"/>
    <w:rsid w:val="00C3377D"/>
    <w:rsid w:val="00C33EE3"/>
    <w:rsid w:val="00C3667F"/>
    <w:rsid w:val="00C415BF"/>
    <w:rsid w:val="00C42E24"/>
    <w:rsid w:val="00C45565"/>
    <w:rsid w:val="00C46214"/>
    <w:rsid w:val="00C46884"/>
    <w:rsid w:val="00C46C95"/>
    <w:rsid w:val="00C472DE"/>
    <w:rsid w:val="00C47509"/>
    <w:rsid w:val="00C47B90"/>
    <w:rsid w:val="00C47D4F"/>
    <w:rsid w:val="00C51D05"/>
    <w:rsid w:val="00C55181"/>
    <w:rsid w:val="00C55C1A"/>
    <w:rsid w:val="00C56026"/>
    <w:rsid w:val="00C56374"/>
    <w:rsid w:val="00C5747F"/>
    <w:rsid w:val="00C612F4"/>
    <w:rsid w:val="00C6258A"/>
    <w:rsid w:val="00C63EE8"/>
    <w:rsid w:val="00C66370"/>
    <w:rsid w:val="00C66814"/>
    <w:rsid w:val="00C67B7C"/>
    <w:rsid w:val="00C71218"/>
    <w:rsid w:val="00C72130"/>
    <w:rsid w:val="00C7274A"/>
    <w:rsid w:val="00C73438"/>
    <w:rsid w:val="00C73568"/>
    <w:rsid w:val="00C73B49"/>
    <w:rsid w:val="00C74393"/>
    <w:rsid w:val="00C75072"/>
    <w:rsid w:val="00C767D1"/>
    <w:rsid w:val="00C777D1"/>
    <w:rsid w:val="00C83FBD"/>
    <w:rsid w:val="00C84BA1"/>
    <w:rsid w:val="00C8501D"/>
    <w:rsid w:val="00C8509C"/>
    <w:rsid w:val="00C867CF"/>
    <w:rsid w:val="00C8752F"/>
    <w:rsid w:val="00C87E2C"/>
    <w:rsid w:val="00C907A4"/>
    <w:rsid w:val="00C90A36"/>
    <w:rsid w:val="00C916EA"/>
    <w:rsid w:val="00C91D74"/>
    <w:rsid w:val="00CA602D"/>
    <w:rsid w:val="00CA6C71"/>
    <w:rsid w:val="00CA7BAF"/>
    <w:rsid w:val="00CA7BB0"/>
    <w:rsid w:val="00CB3F07"/>
    <w:rsid w:val="00CB5E3F"/>
    <w:rsid w:val="00CB6B7E"/>
    <w:rsid w:val="00CB7A32"/>
    <w:rsid w:val="00CB7C62"/>
    <w:rsid w:val="00CC0501"/>
    <w:rsid w:val="00CC347A"/>
    <w:rsid w:val="00CC3627"/>
    <w:rsid w:val="00CC5C6A"/>
    <w:rsid w:val="00CC627D"/>
    <w:rsid w:val="00CC6D8A"/>
    <w:rsid w:val="00CC73CB"/>
    <w:rsid w:val="00CC7762"/>
    <w:rsid w:val="00CD11C7"/>
    <w:rsid w:val="00CD1285"/>
    <w:rsid w:val="00CD6C2D"/>
    <w:rsid w:val="00CD7484"/>
    <w:rsid w:val="00CD7C6E"/>
    <w:rsid w:val="00CE1525"/>
    <w:rsid w:val="00CE1A10"/>
    <w:rsid w:val="00CE1B11"/>
    <w:rsid w:val="00CE20ED"/>
    <w:rsid w:val="00CE22EC"/>
    <w:rsid w:val="00CE28F9"/>
    <w:rsid w:val="00CE2D51"/>
    <w:rsid w:val="00CE5C0B"/>
    <w:rsid w:val="00CE62C5"/>
    <w:rsid w:val="00CE7D1E"/>
    <w:rsid w:val="00CF47F0"/>
    <w:rsid w:val="00CF5BB3"/>
    <w:rsid w:val="00CF5DE2"/>
    <w:rsid w:val="00CF6165"/>
    <w:rsid w:val="00CF6EAB"/>
    <w:rsid w:val="00D0015A"/>
    <w:rsid w:val="00D003D3"/>
    <w:rsid w:val="00D02277"/>
    <w:rsid w:val="00D0340A"/>
    <w:rsid w:val="00D05BD3"/>
    <w:rsid w:val="00D10C3D"/>
    <w:rsid w:val="00D10FE0"/>
    <w:rsid w:val="00D126A0"/>
    <w:rsid w:val="00D14634"/>
    <w:rsid w:val="00D14958"/>
    <w:rsid w:val="00D15024"/>
    <w:rsid w:val="00D15CBE"/>
    <w:rsid w:val="00D21989"/>
    <w:rsid w:val="00D21E27"/>
    <w:rsid w:val="00D22258"/>
    <w:rsid w:val="00D25478"/>
    <w:rsid w:val="00D25F29"/>
    <w:rsid w:val="00D27F28"/>
    <w:rsid w:val="00D31344"/>
    <w:rsid w:val="00D32CB2"/>
    <w:rsid w:val="00D3481A"/>
    <w:rsid w:val="00D34BA4"/>
    <w:rsid w:val="00D36406"/>
    <w:rsid w:val="00D36563"/>
    <w:rsid w:val="00D375A8"/>
    <w:rsid w:val="00D4022F"/>
    <w:rsid w:val="00D43FC7"/>
    <w:rsid w:val="00D453C2"/>
    <w:rsid w:val="00D503B7"/>
    <w:rsid w:val="00D5276A"/>
    <w:rsid w:val="00D54F50"/>
    <w:rsid w:val="00D603DE"/>
    <w:rsid w:val="00D60ADC"/>
    <w:rsid w:val="00D60BDE"/>
    <w:rsid w:val="00D62531"/>
    <w:rsid w:val="00D62C29"/>
    <w:rsid w:val="00D6508A"/>
    <w:rsid w:val="00D67408"/>
    <w:rsid w:val="00D71F02"/>
    <w:rsid w:val="00D72C4C"/>
    <w:rsid w:val="00D73A89"/>
    <w:rsid w:val="00D74853"/>
    <w:rsid w:val="00D74E04"/>
    <w:rsid w:val="00D75D84"/>
    <w:rsid w:val="00D76E6B"/>
    <w:rsid w:val="00D7777E"/>
    <w:rsid w:val="00D80523"/>
    <w:rsid w:val="00D8367D"/>
    <w:rsid w:val="00D84701"/>
    <w:rsid w:val="00D850D7"/>
    <w:rsid w:val="00D862DF"/>
    <w:rsid w:val="00D86A1F"/>
    <w:rsid w:val="00D91354"/>
    <w:rsid w:val="00D92941"/>
    <w:rsid w:val="00D932C4"/>
    <w:rsid w:val="00D944F5"/>
    <w:rsid w:val="00D95A77"/>
    <w:rsid w:val="00D96941"/>
    <w:rsid w:val="00D96FC6"/>
    <w:rsid w:val="00D97516"/>
    <w:rsid w:val="00DA1435"/>
    <w:rsid w:val="00DA1A2E"/>
    <w:rsid w:val="00DA1F30"/>
    <w:rsid w:val="00DA2BEF"/>
    <w:rsid w:val="00DA3E8D"/>
    <w:rsid w:val="00DA5683"/>
    <w:rsid w:val="00DB0072"/>
    <w:rsid w:val="00DB00B5"/>
    <w:rsid w:val="00DB00DD"/>
    <w:rsid w:val="00DB0C36"/>
    <w:rsid w:val="00DB21CA"/>
    <w:rsid w:val="00DB426A"/>
    <w:rsid w:val="00DB4296"/>
    <w:rsid w:val="00DB5A96"/>
    <w:rsid w:val="00DB7655"/>
    <w:rsid w:val="00DC159B"/>
    <w:rsid w:val="00DC26F9"/>
    <w:rsid w:val="00DC28D0"/>
    <w:rsid w:val="00DC4204"/>
    <w:rsid w:val="00DC4477"/>
    <w:rsid w:val="00DC5BD8"/>
    <w:rsid w:val="00DC6859"/>
    <w:rsid w:val="00DC6AC3"/>
    <w:rsid w:val="00DC7EE9"/>
    <w:rsid w:val="00DD098B"/>
    <w:rsid w:val="00DD13C7"/>
    <w:rsid w:val="00DD1C17"/>
    <w:rsid w:val="00DD1CD6"/>
    <w:rsid w:val="00DD24A2"/>
    <w:rsid w:val="00DD2D91"/>
    <w:rsid w:val="00DD473B"/>
    <w:rsid w:val="00DD6194"/>
    <w:rsid w:val="00DD73A3"/>
    <w:rsid w:val="00DD7E56"/>
    <w:rsid w:val="00DE06E0"/>
    <w:rsid w:val="00DE2091"/>
    <w:rsid w:val="00DE20DE"/>
    <w:rsid w:val="00DE2921"/>
    <w:rsid w:val="00DE4292"/>
    <w:rsid w:val="00DE49F2"/>
    <w:rsid w:val="00DE67FF"/>
    <w:rsid w:val="00DF024E"/>
    <w:rsid w:val="00DF2199"/>
    <w:rsid w:val="00DF30F7"/>
    <w:rsid w:val="00DF4EC3"/>
    <w:rsid w:val="00DF5001"/>
    <w:rsid w:val="00DF61BB"/>
    <w:rsid w:val="00DF766F"/>
    <w:rsid w:val="00DF7772"/>
    <w:rsid w:val="00E01A73"/>
    <w:rsid w:val="00E01D86"/>
    <w:rsid w:val="00E02030"/>
    <w:rsid w:val="00E02521"/>
    <w:rsid w:val="00E02B62"/>
    <w:rsid w:val="00E03DAC"/>
    <w:rsid w:val="00E067DF"/>
    <w:rsid w:val="00E07E30"/>
    <w:rsid w:val="00E10AB2"/>
    <w:rsid w:val="00E10DA1"/>
    <w:rsid w:val="00E12B61"/>
    <w:rsid w:val="00E143AD"/>
    <w:rsid w:val="00E15F7A"/>
    <w:rsid w:val="00E174C0"/>
    <w:rsid w:val="00E2220D"/>
    <w:rsid w:val="00E22748"/>
    <w:rsid w:val="00E2678B"/>
    <w:rsid w:val="00E27627"/>
    <w:rsid w:val="00E30235"/>
    <w:rsid w:val="00E32010"/>
    <w:rsid w:val="00E32F6D"/>
    <w:rsid w:val="00E3611C"/>
    <w:rsid w:val="00E37FCE"/>
    <w:rsid w:val="00E4084F"/>
    <w:rsid w:val="00E412D4"/>
    <w:rsid w:val="00E445F7"/>
    <w:rsid w:val="00E44C46"/>
    <w:rsid w:val="00E45110"/>
    <w:rsid w:val="00E4550C"/>
    <w:rsid w:val="00E4720C"/>
    <w:rsid w:val="00E47A40"/>
    <w:rsid w:val="00E47AAE"/>
    <w:rsid w:val="00E5102E"/>
    <w:rsid w:val="00E511F3"/>
    <w:rsid w:val="00E5173B"/>
    <w:rsid w:val="00E51A40"/>
    <w:rsid w:val="00E51D84"/>
    <w:rsid w:val="00E53787"/>
    <w:rsid w:val="00E540D1"/>
    <w:rsid w:val="00E57767"/>
    <w:rsid w:val="00E57D09"/>
    <w:rsid w:val="00E60B7B"/>
    <w:rsid w:val="00E61B1B"/>
    <w:rsid w:val="00E63440"/>
    <w:rsid w:val="00E66365"/>
    <w:rsid w:val="00E66EE3"/>
    <w:rsid w:val="00E67BD2"/>
    <w:rsid w:val="00E67FD4"/>
    <w:rsid w:val="00E709BE"/>
    <w:rsid w:val="00E70C32"/>
    <w:rsid w:val="00E7307B"/>
    <w:rsid w:val="00E745D1"/>
    <w:rsid w:val="00E74D0D"/>
    <w:rsid w:val="00E75273"/>
    <w:rsid w:val="00E76749"/>
    <w:rsid w:val="00E76DBB"/>
    <w:rsid w:val="00E776F1"/>
    <w:rsid w:val="00E80E15"/>
    <w:rsid w:val="00E81189"/>
    <w:rsid w:val="00E826CF"/>
    <w:rsid w:val="00E829D0"/>
    <w:rsid w:val="00E8335F"/>
    <w:rsid w:val="00E85E0D"/>
    <w:rsid w:val="00E86100"/>
    <w:rsid w:val="00E86D12"/>
    <w:rsid w:val="00E91742"/>
    <w:rsid w:val="00E9194F"/>
    <w:rsid w:val="00E939C4"/>
    <w:rsid w:val="00E94048"/>
    <w:rsid w:val="00E943D3"/>
    <w:rsid w:val="00E9633C"/>
    <w:rsid w:val="00EA008C"/>
    <w:rsid w:val="00EA42C7"/>
    <w:rsid w:val="00EA501C"/>
    <w:rsid w:val="00EA5537"/>
    <w:rsid w:val="00EA5C8F"/>
    <w:rsid w:val="00EA6D11"/>
    <w:rsid w:val="00EA760F"/>
    <w:rsid w:val="00EB0DF7"/>
    <w:rsid w:val="00EB0EAD"/>
    <w:rsid w:val="00EB151D"/>
    <w:rsid w:val="00EB1CD0"/>
    <w:rsid w:val="00EB2703"/>
    <w:rsid w:val="00EB2C29"/>
    <w:rsid w:val="00EB3AC0"/>
    <w:rsid w:val="00EB3C08"/>
    <w:rsid w:val="00EB5800"/>
    <w:rsid w:val="00EB5C28"/>
    <w:rsid w:val="00EC0614"/>
    <w:rsid w:val="00EC0BC0"/>
    <w:rsid w:val="00EC1CE5"/>
    <w:rsid w:val="00EC1F19"/>
    <w:rsid w:val="00EC289A"/>
    <w:rsid w:val="00EC3A30"/>
    <w:rsid w:val="00EC4156"/>
    <w:rsid w:val="00EC615A"/>
    <w:rsid w:val="00EC62CD"/>
    <w:rsid w:val="00EC6C06"/>
    <w:rsid w:val="00ED0059"/>
    <w:rsid w:val="00ED3442"/>
    <w:rsid w:val="00ED35ED"/>
    <w:rsid w:val="00ED4621"/>
    <w:rsid w:val="00ED710B"/>
    <w:rsid w:val="00EE1AE8"/>
    <w:rsid w:val="00EE3EEB"/>
    <w:rsid w:val="00EE498D"/>
    <w:rsid w:val="00EE54F1"/>
    <w:rsid w:val="00EE6F47"/>
    <w:rsid w:val="00EE7E4F"/>
    <w:rsid w:val="00EF209C"/>
    <w:rsid w:val="00EF2BC4"/>
    <w:rsid w:val="00EF375C"/>
    <w:rsid w:val="00EF379A"/>
    <w:rsid w:val="00EF629F"/>
    <w:rsid w:val="00EF6E0C"/>
    <w:rsid w:val="00EF7F63"/>
    <w:rsid w:val="00F0166E"/>
    <w:rsid w:val="00F01B3F"/>
    <w:rsid w:val="00F03B3F"/>
    <w:rsid w:val="00F0670E"/>
    <w:rsid w:val="00F06C18"/>
    <w:rsid w:val="00F072DC"/>
    <w:rsid w:val="00F10FF9"/>
    <w:rsid w:val="00F119AA"/>
    <w:rsid w:val="00F11D25"/>
    <w:rsid w:val="00F123E8"/>
    <w:rsid w:val="00F127A6"/>
    <w:rsid w:val="00F20FAF"/>
    <w:rsid w:val="00F21487"/>
    <w:rsid w:val="00F22B2F"/>
    <w:rsid w:val="00F30D61"/>
    <w:rsid w:val="00F36F6F"/>
    <w:rsid w:val="00F37AF6"/>
    <w:rsid w:val="00F4280F"/>
    <w:rsid w:val="00F434D2"/>
    <w:rsid w:val="00F43623"/>
    <w:rsid w:val="00F44F75"/>
    <w:rsid w:val="00F45F3D"/>
    <w:rsid w:val="00F47083"/>
    <w:rsid w:val="00F50080"/>
    <w:rsid w:val="00F5071E"/>
    <w:rsid w:val="00F51865"/>
    <w:rsid w:val="00F52B4B"/>
    <w:rsid w:val="00F532AC"/>
    <w:rsid w:val="00F549C6"/>
    <w:rsid w:val="00F561A6"/>
    <w:rsid w:val="00F6011C"/>
    <w:rsid w:val="00F60260"/>
    <w:rsid w:val="00F62490"/>
    <w:rsid w:val="00F62A49"/>
    <w:rsid w:val="00F62B09"/>
    <w:rsid w:val="00F64D99"/>
    <w:rsid w:val="00F67726"/>
    <w:rsid w:val="00F67B2E"/>
    <w:rsid w:val="00F67D54"/>
    <w:rsid w:val="00F70236"/>
    <w:rsid w:val="00F7188C"/>
    <w:rsid w:val="00F71B0D"/>
    <w:rsid w:val="00F734E4"/>
    <w:rsid w:val="00F73D5C"/>
    <w:rsid w:val="00F74D60"/>
    <w:rsid w:val="00F75BF5"/>
    <w:rsid w:val="00F77E58"/>
    <w:rsid w:val="00F809C4"/>
    <w:rsid w:val="00F81BCA"/>
    <w:rsid w:val="00F8322E"/>
    <w:rsid w:val="00F86926"/>
    <w:rsid w:val="00F87DC6"/>
    <w:rsid w:val="00F912E2"/>
    <w:rsid w:val="00F93493"/>
    <w:rsid w:val="00F9351F"/>
    <w:rsid w:val="00F94DF7"/>
    <w:rsid w:val="00FA0A7D"/>
    <w:rsid w:val="00FA1343"/>
    <w:rsid w:val="00FA14E4"/>
    <w:rsid w:val="00FA1BA3"/>
    <w:rsid w:val="00FA1E29"/>
    <w:rsid w:val="00FA3E05"/>
    <w:rsid w:val="00FA583F"/>
    <w:rsid w:val="00FA5B09"/>
    <w:rsid w:val="00FA7AC5"/>
    <w:rsid w:val="00FB13A7"/>
    <w:rsid w:val="00FB2F61"/>
    <w:rsid w:val="00FB47A9"/>
    <w:rsid w:val="00FB513F"/>
    <w:rsid w:val="00FB5ACC"/>
    <w:rsid w:val="00FB6255"/>
    <w:rsid w:val="00FB7990"/>
    <w:rsid w:val="00FC024C"/>
    <w:rsid w:val="00FC38EF"/>
    <w:rsid w:val="00FC4923"/>
    <w:rsid w:val="00FC6A54"/>
    <w:rsid w:val="00FD01DD"/>
    <w:rsid w:val="00FD025F"/>
    <w:rsid w:val="00FD0899"/>
    <w:rsid w:val="00FD108E"/>
    <w:rsid w:val="00FD1109"/>
    <w:rsid w:val="00FD1339"/>
    <w:rsid w:val="00FD13A4"/>
    <w:rsid w:val="00FD2175"/>
    <w:rsid w:val="00FD29D7"/>
    <w:rsid w:val="00FE08B5"/>
    <w:rsid w:val="00FE20DF"/>
    <w:rsid w:val="00FE2667"/>
    <w:rsid w:val="00FE2D2B"/>
    <w:rsid w:val="00FE47FF"/>
    <w:rsid w:val="00FE58AD"/>
    <w:rsid w:val="00FE5E88"/>
    <w:rsid w:val="00FE6DC2"/>
    <w:rsid w:val="00FF0BFD"/>
    <w:rsid w:val="00FF1E3F"/>
    <w:rsid w:val="00FF1EE6"/>
    <w:rsid w:val="00FF22CE"/>
    <w:rsid w:val="00FF251B"/>
    <w:rsid w:val="00FF2B9C"/>
    <w:rsid w:val="00FF3447"/>
    <w:rsid w:val="00FF364B"/>
    <w:rsid w:val="00FF40BA"/>
    <w:rsid w:val="00FF46F1"/>
    <w:rsid w:val="00FF5400"/>
    <w:rsid w:val="00FF6462"/>
    <w:rsid w:val="00FF69AB"/>
    <w:rsid w:val="00FF7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E1A4F"/>
  <w15:chartTrackingRefBased/>
  <w15:docId w15:val="{D5806D5E-3F1F-43A4-9E2C-AAEA17AF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CA4"/>
    <w:pPr>
      <w:spacing w:after="120" w:line="240" w:lineRule="auto"/>
      <w:ind w:firstLine="284"/>
      <w:contextualSpacing/>
      <w:jc w:val="both"/>
    </w:pPr>
    <w:rPr>
      <w:rFonts w:ascii="Tahoma" w:hAnsi="Tahoma"/>
      <w:sz w:val="18"/>
    </w:rPr>
  </w:style>
  <w:style w:type="paragraph" w:styleId="Ttulo1">
    <w:name w:val="heading 1"/>
    <w:basedOn w:val="Normal"/>
    <w:next w:val="Normal"/>
    <w:link w:val="Ttulo1Char"/>
    <w:autoRedefine/>
    <w:uiPriority w:val="9"/>
    <w:qFormat/>
    <w:rsid w:val="00B970FE"/>
    <w:pPr>
      <w:keepNext/>
      <w:keepLines/>
      <w:numPr>
        <w:numId w:val="2"/>
      </w:numPr>
      <w:spacing w:before="300" w:after="100"/>
      <w:ind w:left="850" w:hanging="425"/>
      <w:outlineLvl w:val="0"/>
    </w:pPr>
    <w:rPr>
      <w:rFonts w:eastAsiaTheme="majorEastAsia" w:cstheme="majorBidi"/>
      <w:b/>
      <w:i/>
      <w:caps/>
      <w:szCs w:val="32"/>
      <w:u w:val="words"/>
    </w:rPr>
  </w:style>
  <w:style w:type="paragraph" w:styleId="Ttulo2">
    <w:name w:val="heading 2"/>
    <w:basedOn w:val="Ttulo1"/>
    <w:next w:val="Normal"/>
    <w:link w:val="Ttulo2Char"/>
    <w:autoRedefine/>
    <w:uiPriority w:val="9"/>
    <w:unhideWhenUsed/>
    <w:qFormat/>
    <w:rsid w:val="00954363"/>
    <w:pPr>
      <w:numPr>
        <w:ilvl w:val="1"/>
      </w:numPr>
      <w:spacing w:before="240"/>
      <w:ind w:left="992" w:hanging="425"/>
      <w:outlineLvl w:val="1"/>
    </w:pPr>
    <w:rPr>
      <w:sz w:val="16"/>
    </w:rPr>
  </w:style>
  <w:style w:type="paragraph" w:styleId="Ttulo3">
    <w:name w:val="heading 3"/>
    <w:basedOn w:val="Normal"/>
    <w:next w:val="Normal"/>
    <w:link w:val="Ttulo3Char"/>
    <w:uiPriority w:val="9"/>
    <w:unhideWhenUsed/>
    <w:qFormat/>
    <w:rsid w:val="00954363"/>
    <w:pPr>
      <w:keepNext/>
      <w:keepLines/>
      <w:numPr>
        <w:ilvl w:val="2"/>
        <w:numId w:val="2"/>
      </w:numPr>
      <w:spacing w:before="240" w:after="100"/>
      <w:ind w:left="1134" w:hanging="425"/>
      <w:outlineLvl w:val="2"/>
    </w:pPr>
    <w:rPr>
      <w:rFonts w:eastAsiaTheme="majorEastAsia" w:cstheme="majorBidi"/>
      <w:b/>
      <w:smallCaps/>
      <w:sz w:val="16"/>
      <w:szCs w:val="24"/>
      <w:u w:val="single"/>
    </w:rPr>
  </w:style>
  <w:style w:type="paragraph" w:styleId="Ttulo4">
    <w:name w:val="heading 4"/>
    <w:basedOn w:val="Normal"/>
    <w:next w:val="Normal"/>
    <w:link w:val="Ttulo4Char"/>
    <w:uiPriority w:val="9"/>
    <w:unhideWhenUsed/>
    <w:qFormat/>
    <w:rsid w:val="005C11A4"/>
    <w:pPr>
      <w:keepNext/>
      <w:keepLines/>
      <w:numPr>
        <w:ilvl w:val="3"/>
        <w:numId w:val="2"/>
      </w:numPr>
      <w:spacing w:before="360" w:after="240"/>
      <w:ind w:left="1701" w:firstLine="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BF0E89"/>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BF0E89"/>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BF0E89"/>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BF0E8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BF0E89"/>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F2D5E"/>
    <w:pPr>
      <w:tabs>
        <w:tab w:val="center" w:pos="4252"/>
        <w:tab w:val="right" w:pos="8504"/>
      </w:tabs>
      <w:spacing w:after="0"/>
    </w:pPr>
  </w:style>
  <w:style w:type="character" w:customStyle="1" w:styleId="CabealhoChar">
    <w:name w:val="Cabeçalho Char"/>
    <w:basedOn w:val="Fontepargpadro"/>
    <w:link w:val="Cabealho"/>
    <w:uiPriority w:val="99"/>
    <w:rsid w:val="009F2D5E"/>
    <w:rPr>
      <w:rFonts w:ascii="Tahoma" w:hAnsi="Tahoma"/>
      <w:sz w:val="20"/>
    </w:rPr>
  </w:style>
  <w:style w:type="paragraph" w:styleId="Rodap">
    <w:name w:val="footer"/>
    <w:basedOn w:val="Normal"/>
    <w:link w:val="RodapChar"/>
    <w:uiPriority w:val="99"/>
    <w:unhideWhenUsed/>
    <w:rsid w:val="009F2D5E"/>
    <w:pPr>
      <w:tabs>
        <w:tab w:val="center" w:pos="4252"/>
        <w:tab w:val="right" w:pos="8504"/>
      </w:tabs>
      <w:spacing w:after="0"/>
    </w:pPr>
  </w:style>
  <w:style w:type="character" w:customStyle="1" w:styleId="RodapChar">
    <w:name w:val="Rodapé Char"/>
    <w:basedOn w:val="Fontepargpadro"/>
    <w:link w:val="Rodap"/>
    <w:uiPriority w:val="99"/>
    <w:rsid w:val="009F2D5E"/>
    <w:rPr>
      <w:rFonts w:ascii="Tahoma" w:hAnsi="Tahoma"/>
      <w:sz w:val="20"/>
    </w:rPr>
  </w:style>
  <w:style w:type="table" w:styleId="Tabelacomgrade">
    <w:name w:val="Table Grid"/>
    <w:basedOn w:val="Tabelanormal"/>
    <w:uiPriority w:val="39"/>
    <w:rsid w:val="009F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B970FE"/>
    <w:rPr>
      <w:rFonts w:ascii="Tahoma" w:eastAsiaTheme="majorEastAsia" w:hAnsi="Tahoma" w:cstheme="majorBidi"/>
      <w:b/>
      <w:i/>
      <w:caps/>
      <w:sz w:val="18"/>
      <w:szCs w:val="32"/>
      <w:u w:val="words"/>
    </w:rPr>
  </w:style>
  <w:style w:type="paragraph" w:styleId="PargrafodaLista">
    <w:name w:val="List Paragraph"/>
    <w:basedOn w:val="Normal"/>
    <w:uiPriority w:val="34"/>
    <w:qFormat/>
    <w:rsid w:val="006A36D9"/>
    <w:pPr>
      <w:ind w:left="720"/>
    </w:pPr>
  </w:style>
  <w:style w:type="character" w:styleId="Hyperlink">
    <w:name w:val="Hyperlink"/>
    <w:basedOn w:val="Fontepargpadro"/>
    <w:uiPriority w:val="99"/>
    <w:unhideWhenUsed/>
    <w:rsid w:val="006A36D9"/>
    <w:rPr>
      <w:color w:val="0563C1" w:themeColor="hyperlink"/>
      <w:u w:val="single"/>
    </w:rPr>
  </w:style>
  <w:style w:type="character" w:customStyle="1" w:styleId="MenoPendente1">
    <w:name w:val="Menção Pendente1"/>
    <w:basedOn w:val="Fontepargpadro"/>
    <w:uiPriority w:val="99"/>
    <w:semiHidden/>
    <w:unhideWhenUsed/>
    <w:rsid w:val="006A36D9"/>
    <w:rPr>
      <w:color w:val="605E5C"/>
      <w:shd w:val="clear" w:color="auto" w:fill="E1DFDD"/>
    </w:rPr>
  </w:style>
  <w:style w:type="character" w:customStyle="1" w:styleId="Ttulo2Char">
    <w:name w:val="Título 2 Char"/>
    <w:basedOn w:val="Fontepargpadro"/>
    <w:link w:val="Ttulo2"/>
    <w:uiPriority w:val="9"/>
    <w:rsid w:val="00954363"/>
    <w:rPr>
      <w:rFonts w:ascii="Tahoma" w:eastAsiaTheme="majorEastAsia" w:hAnsi="Tahoma" w:cstheme="majorBidi"/>
      <w:b/>
      <w:i/>
      <w:caps/>
      <w:sz w:val="16"/>
      <w:szCs w:val="32"/>
      <w:u w:val="words"/>
    </w:rPr>
  </w:style>
  <w:style w:type="paragraph" w:styleId="Textodebalo">
    <w:name w:val="Balloon Text"/>
    <w:basedOn w:val="Normal"/>
    <w:link w:val="TextodebaloChar"/>
    <w:uiPriority w:val="99"/>
    <w:semiHidden/>
    <w:unhideWhenUsed/>
    <w:rsid w:val="00FE20DF"/>
    <w:pPr>
      <w:spacing w:after="0"/>
    </w:pPr>
    <w:rPr>
      <w:rFonts w:ascii="Segoe UI" w:hAnsi="Segoe UI" w:cs="Segoe UI"/>
      <w:szCs w:val="18"/>
    </w:rPr>
  </w:style>
  <w:style w:type="character" w:customStyle="1" w:styleId="TextodebaloChar">
    <w:name w:val="Texto de balão Char"/>
    <w:basedOn w:val="Fontepargpadro"/>
    <w:link w:val="Textodebalo"/>
    <w:uiPriority w:val="99"/>
    <w:semiHidden/>
    <w:rsid w:val="00FE20DF"/>
    <w:rPr>
      <w:rFonts w:ascii="Segoe UI" w:hAnsi="Segoe UI" w:cs="Segoe UI"/>
      <w:sz w:val="18"/>
      <w:szCs w:val="18"/>
    </w:rPr>
  </w:style>
  <w:style w:type="character" w:styleId="Refdecomentrio">
    <w:name w:val="annotation reference"/>
    <w:basedOn w:val="Fontepargpadro"/>
    <w:uiPriority w:val="99"/>
    <w:semiHidden/>
    <w:unhideWhenUsed/>
    <w:rsid w:val="00F60260"/>
    <w:rPr>
      <w:sz w:val="16"/>
      <w:szCs w:val="16"/>
    </w:rPr>
  </w:style>
  <w:style w:type="paragraph" w:styleId="Textodecomentrio">
    <w:name w:val="annotation text"/>
    <w:basedOn w:val="Normal"/>
    <w:link w:val="TextodecomentrioChar"/>
    <w:uiPriority w:val="99"/>
    <w:semiHidden/>
    <w:unhideWhenUsed/>
    <w:rsid w:val="00F60260"/>
    <w:rPr>
      <w:szCs w:val="20"/>
    </w:rPr>
  </w:style>
  <w:style w:type="character" w:customStyle="1" w:styleId="TextodecomentrioChar">
    <w:name w:val="Texto de comentário Char"/>
    <w:basedOn w:val="Fontepargpadro"/>
    <w:link w:val="Textodecomentrio"/>
    <w:uiPriority w:val="99"/>
    <w:semiHidden/>
    <w:rsid w:val="00F60260"/>
    <w:rPr>
      <w:rFonts w:ascii="Tahoma" w:hAnsi="Tahoma"/>
      <w:sz w:val="20"/>
      <w:szCs w:val="20"/>
    </w:rPr>
  </w:style>
  <w:style w:type="paragraph" w:styleId="Assuntodocomentrio">
    <w:name w:val="annotation subject"/>
    <w:basedOn w:val="Textodecomentrio"/>
    <w:next w:val="Textodecomentrio"/>
    <w:link w:val="AssuntodocomentrioChar"/>
    <w:uiPriority w:val="99"/>
    <w:semiHidden/>
    <w:unhideWhenUsed/>
    <w:rsid w:val="00F60260"/>
    <w:rPr>
      <w:b/>
      <w:bCs/>
    </w:rPr>
  </w:style>
  <w:style w:type="character" w:customStyle="1" w:styleId="AssuntodocomentrioChar">
    <w:name w:val="Assunto do comentário Char"/>
    <w:basedOn w:val="TextodecomentrioChar"/>
    <w:link w:val="Assuntodocomentrio"/>
    <w:uiPriority w:val="99"/>
    <w:semiHidden/>
    <w:rsid w:val="00F60260"/>
    <w:rPr>
      <w:rFonts w:ascii="Tahoma" w:hAnsi="Tahoma"/>
      <w:b/>
      <w:bCs/>
      <w:sz w:val="20"/>
      <w:szCs w:val="20"/>
    </w:rPr>
  </w:style>
  <w:style w:type="character" w:customStyle="1" w:styleId="Ttulo3Char">
    <w:name w:val="Título 3 Char"/>
    <w:basedOn w:val="Fontepargpadro"/>
    <w:link w:val="Ttulo3"/>
    <w:uiPriority w:val="9"/>
    <w:rsid w:val="00954363"/>
    <w:rPr>
      <w:rFonts w:ascii="Tahoma" w:eastAsiaTheme="majorEastAsia" w:hAnsi="Tahoma" w:cstheme="majorBidi"/>
      <w:b/>
      <w:smallCaps/>
      <w:sz w:val="16"/>
      <w:szCs w:val="24"/>
      <w:u w:val="single"/>
    </w:rPr>
  </w:style>
  <w:style w:type="paragraph" w:styleId="Textodenotaderodap">
    <w:name w:val="footnote text"/>
    <w:basedOn w:val="Normal"/>
    <w:link w:val="TextodenotaderodapChar"/>
    <w:uiPriority w:val="99"/>
    <w:semiHidden/>
    <w:unhideWhenUsed/>
    <w:rsid w:val="00047C7B"/>
    <w:pPr>
      <w:spacing w:after="0"/>
      <w:ind w:firstLine="0"/>
    </w:pPr>
    <w:rPr>
      <w:rFonts w:asciiTheme="minorHAnsi" w:hAnsiTheme="minorHAnsi"/>
      <w:szCs w:val="20"/>
    </w:rPr>
  </w:style>
  <w:style w:type="character" w:customStyle="1" w:styleId="TextodenotaderodapChar">
    <w:name w:val="Texto de nota de rodapé Char"/>
    <w:basedOn w:val="Fontepargpadro"/>
    <w:link w:val="Textodenotaderodap"/>
    <w:uiPriority w:val="99"/>
    <w:semiHidden/>
    <w:rsid w:val="00047C7B"/>
    <w:rPr>
      <w:sz w:val="20"/>
      <w:szCs w:val="20"/>
    </w:rPr>
  </w:style>
  <w:style w:type="character" w:styleId="Refdenotaderodap">
    <w:name w:val="footnote reference"/>
    <w:basedOn w:val="Fontepargpadro"/>
    <w:uiPriority w:val="99"/>
    <w:semiHidden/>
    <w:unhideWhenUsed/>
    <w:rsid w:val="00047C7B"/>
    <w:rPr>
      <w:vertAlign w:val="superscript"/>
    </w:rPr>
  </w:style>
  <w:style w:type="paragraph" w:styleId="Citao">
    <w:name w:val="Quote"/>
    <w:basedOn w:val="Normal"/>
    <w:next w:val="Normal"/>
    <w:link w:val="CitaoChar"/>
    <w:autoRedefine/>
    <w:uiPriority w:val="29"/>
    <w:qFormat/>
    <w:rsid w:val="00376212"/>
    <w:pPr>
      <w:spacing w:before="200" w:after="200"/>
      <w:ind w:left="2268" w:firstLine="0"/>
    </w:pPr>
    <w:rPr>
      <w:rFonts w:cs="Arial"/>
      <w:i/>
      <w:iCs/>
      <w:color w:val="000000"/>
      <w:szCs w:val="20"/>
      <w:shd w:val="clear" w:color="auto" w:fill="FFFFFF"/>
    </w:rPr>
  </w:style>
  <w:style w:type="character" w:customStyle="1" w:styleId="CitaoChar">
    <w:name w:val="Citação Char"/>
    <w:basedOn w:val="Fontepargpadro"/>
    <w:link w:val="Citao"/>
    <w:uiPriority w:val="29"/>
    <w:rsid w:val="00376212"/>
    <w:rPr>
      <w:rFonts w:ascii="Tahoma" w:hAnsi="Tahoma" w:cs="Arial"/>
      <w:i/>
      <w:iCs/>
      <w:color w:val="000000"/>
      <w:sz w:val="18"/>
      <w:szCs w:val="20"/>
    </w:rPr>
  </w:style>
  <w:style w:type="paragraph" w:styleId="SemEspaamento">
    <w:name w:val="No Spacing"/>
    <w:link w:val="SemEspaamentoChar"/>
    <w:uiPriority w:val="1"/>
    <w:qFormat/>
    <w:rsid w:val="00E47AA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E47AAE"/>
    <w:rPr>
      <w:rFonts w:eastAsiaTheme="minorEastAsia"/>
      <w:lang w:eastAsia="pt-BR"/>
    </w:rPr>
  </w:style>
  <w:style w:type="paragraph" w:styleId="CabealhodoSumrio">
    <w:name w:val="TOC Heading"/>
    <w:basedOn w:val="Ttulo1"/>
    <w:next w:val="Normal"/>
    <w:uiPriority w:val="39"/>
    <w:unhideWhenUsed/>
    <w:qFormat/>
    <w:rsid w:val="005A641F"/>
    <w:pPr>
      <w:spacing w:line="259" w:lineRule="auto"/>
      <w:outlineLvl w:val="9"/>
    </w:pPr>
    <w:rPr>
      <w:rFonts w:asciiTheme="majorHAnsi" w:hAnsiTheme="majorHAnsi"/>
      <w:b w:val="0"/>
      <w:color w:val="2F5496" w:themeColor="accent1" w:themeShade="BF"/>
      <w:sz w:val="32"/>
      <w:lang w:eastAsia="pt-BR"/>
    </w:rPr>
  </w:style>
  <w:style w:type="paragraph" w:styleId="Sumrio2">
    <w:name w:val="toc 2"/>
    <w:basedOn w:val="Normal"/>
    <w:next w:val="Normal"/>
    <w:autoRedefine/>
    <w:uiPriority w:val="39"/>
    <w:unhideWhenUsed/>
    <w:rsid w:val="005A641F"/>
    <w:pPr>
      <w:spacing w:after="100" w:line="259" w:lineRule="auto"/>
      <w:ind w:left="220" w:firstLine="0"/>
    </w:pPr>
    <w:rPr>
      <w:rFonts w:asciiTheme="minorHAnsi" w:eastAsiaTheme="minorEastAsia" w:hAnsiTheme="minorHAnsi" w:cs="Times New Roman"/>
      <w:sz w:val="22"/>
      <w:lang w:eastAsia="pt-BR"/>
    </w:rPr>
  </w:style>
  <w:style w:type="paragraph" w:styleId="Sumrio1">
    <w:name w:val="toc 1"/>
    <w:basedOn w:val="Normal"/>
    <w:next w:val="Normal"/>
    <w:autoRedefine/>
    <w:uiPriority w:val="39"/>
    <w:unhideWhenUsed/>
    <w:rsid w:val="005A641F"/>
    <w:pPr>
      <w:spacing w:after="100" w:line="259" w:lineRule="auto"/>
      <w:ind w:firstLine="0"/>
    </w:pPr>
    <w:rPr>
      <w:rFonts w:asciiTheme="minorHAnsi" w:eastAsiaTheme="minorEastAsia" w:hAnsiTheme="minorHAnsi" w:cs="Times New Roman"/>
      <w:sz w:val="22"/>
      <w:lang w:eastAsia="pt-BR"/>
    </w:rPr>
  </w:style>
  <w:style w:type="paragraph" w:styleId="Sumrio3">
    <w:name w:val="toc 3"/>
    <w:basedOn w:val="Normal"/>
    <w:next w:val="Normal"/>
    <w:autoRedefine/>
    <w:uiPriority w:val="39"/>
    <w:unhideWhenUsed/>
    <w:rsid w:val="005A641F"/>
    <w:pPr>
      <w:spacing w:after="100" w:line="259" w:lineRule="auto"/>
      <w:ind w:left="440" w:firstLine="0"/>
    </w:pPr>
    <w:rPr>
      <w:rFonts w:asciiTheme="minorHAnsi" w:eastAsiaTheme="minorEastAsia" w:hAnsiTheme="minorHAnsi" w:cs="Times New Roman"/>
      <w:sz w:val="22"/>
      <w:lang w:eastAsia="pt-BR"/>
    </w:rPr>
  </w:style>
  <w:style w:type="character" w:customStyle="1" w:styleId="Ttulo4Char">
    <w:name w:val="Título 4 Char"/>
    <w:basedOn w:val="Fontepargpadro"/>
    <w:link w:val="Ttulo4"/>
    <w:uiPriority w:val="9"/>
    <w:rsid w:val="005C11A4"/>
    <w:rPr>
      <w:rFonts w:ascii="Tahoma" w:eastAsiaTheme="majorEastAsia" w:hAnsi="Tahoma" w:cstheme="majorBidi"/>
      <w:i/>
      <w:iCs/>
      <w:sz w:val="18"/>
    </w:rPr>
  </w:style>
  <w:style w:type="character" w:customStyle="1" w:styleId="Ttulo5Char">
    <w:name w:val="Título 5 Char"/>
    <w:basedOn w:val="Fontepargpadro"/>
    <w:link w:val="Ttulo5"/>
    <w:uiPriority w:val="9"/>
    <w:semiHidden/>
    <w:rsid w:val="00BF0E89"/>
    <w:rPr>
      <w:rFonts w:asciiTheme="majorHAnsi" w:eastAsiaTheme="majorEastAsia" w:hAnsiTheme="majorHAnsi" w:cstheme="majorBidi"/>
      <w:color w:val="2F5496" w:themeColor="accent1" w:themeShade="BF"/>
      <w:sz w:val="18"/>
    </w:rPr>
  </w:style>
  <w:style w:type="character" w:customStyle="1" w:styleId="Ttulo6Char">
    <w:name w:val="Título 6 Char"/>
    <w:basedOn w:val="Fontepargpadro"/>
    <w:link w:val="Ttulo6"/>
    <w:uiPriority w:val="9"/>
    <w:semiHidden/>
    <w:rsid w:val="00BF0E89"/>
    <w:rPr>
      <w:rFonts w:asciiTheme="majorHAnsi" w:eastAsiaTheme="majorEastAsia" w:hAnsiTheme="majorHAnsi" w:cstheme="majorBidi"/>
      <w:color w:val="1F3763" w:themeColor="accent1" w:themeShade="7F"/>
      <w:sz w:val="18"/>
    </w:rPr>
  </w:style>
  <w:style w:type="character" w:customStyle="1" w:styleId="Ttulo7Char">
    <w:name w:val="Título 7 Char"/>
    <w:basedOn w:val="Fontepargpadro"/>
    <w:link w:val="Ttulo7"/>
    <w:uiPriority w:val="9"/>
    <w:semiHidden/>
    <w:rsid w:val="00BF0E89"/>
    <w:rPr>
      <w:rFonts w:asciiTheme="majorHAnsi" w:eastAsiaTheme="majorEastAsia" w:hAnsiTheme="majorHAnsi" w:cstheme="majorBidi"/>
      <w:i/>
      <w:iCs/>
      <w:color w:val="1F3763" w:themeColor="accent1" w:themeShade="7F"/>
      <w:sz w:val="18"/>
    </w:rPr>
  </w:style>
  <w:style w:type="character" w:customStyle="1" w:styleId="Ttulo8Char">
    <w:name w:val="Título 8 Char"/>
    <w:basedOn w:val="Fontepargpadro"/>
    <w:link w:val="Ttulo8"/>
    <w:uiPriority w:val="9"/>
    <w:semiHidden/>
    <w:rsid w:val="00BF0E89"/>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BF0E89"/>
    <w:rPr>
      <w:rFonts w:asciiTheme="majorHAnsi" w:eastAsiaTheme="majorEastAsia" w:hAnsiTheme="majorHAnsi" w:cstheme="majorBidi"/>
      <w:i/>
      <w:iCs/>
      <w:color w:val="272727" w:themeColor="text1" w:themeTint="D8"/>
      <w:sz w:val="21"/>
      <w:szCs w:val="21"/>
    </w:rPr>
  </w:style>
  <w:style w:type="character" w:customStyle="1" w:styleId="fontstyle01">
    <w:name w:val="fontstyle01"/>
    <w:basedOn w:val="Fontepargpadro"/>
    <w:rsid w:val="00E02B62"/>
    <w:rPr>
      <w:rFonts w:ascii="Arial-BoldMT" w:hAnsi="Arial-BoldMT" w:hint="default"/>
      <w:b/>
      <w:bCs/>
      <w:i w:val="0"/>
      <w:iCs w:val="0"/>
      <w:color w:val="0000FF"/>
      <w:sz w:val="18"/>
      <w:szCs w:val="18"/>
    </w:rPr>
  </w:style>
  <w:style w:type="character" w:customStyle="1" w:styleId="fontstyle21">
    <w:name w:val="fontstyle21"/>
    <w:basedOn w:val="Fontepargpadro"/>
    <w:rsid w:val="00E02B62"/>
    <w:rPr>
      <w:rFonts w:ascii="ArialMT" w:hAnsi="ArialMT" w:hint="default"/>
      <w:b w:val="0"/>
      <w:bCs w:val="0"/>
      <w:i w:val="0"/>
      <w:iCs w:val="0"/>
      <w:color w:val="000000"/>
      <w:sz w:val="18"/>
      <w:szCs w:val="18"/>
    </w:rPr>
  </w:style>
  <w:style w:type="paragraph" w:styleId="CitaoIntensa">
    <w:name w:val="Intense Quote"/>
    <w:basedOn w:val="Normal"/>
    <w:next w:val="Normal"/>
    <w:link w:val="CitaoIntensaChar"/>
    <w:uiPriority w:val="30"/>
    <w:qFormat/>
    <w:rsid w:val="0053023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530232"/>
    <w:rPr>
      <w:rFonts w:ascii="Tahoma" w:hAnsi="Tahoma"/>
      <w:i/>
      <w:iCs/>
      <w:color w:val="4472C4" w:themeColor="accent1"/>
      <w:sz w:val="20"/>
    </w:rPr>
  </w:style>
  <w:style w:type="paragraph" w:customStyle="1" w:styleId="Default">
    <w:name w:val="Default"/>
    <w:rsid w:val="008F76F3"/>
    <w:pPr>
      <w:autoSpaceDE w:val="0"/>
      <w:autoSpaceDN w:val="0"/>
      <w:adjustRightInd w:val="0"/>
      <w:spacing w:after="0" w:line="240" w:lineRule="auto"/>
    </w:pPr>
    <w:rPr>
      <w:rFonts w:ascii="Times New Roman" w:hAnsi="Times New Roman" w:cs="Times New Roman"/>
      <w:color w:val="000000"/>
      <w:sz w:val="24"/>
      <w:szCs w:val="24"/>
    </w:rPr>
  </w:style>
  <w:style w:type="character" w:styleId="MenoPendente">
    <w:name w:val="Unresolved Mention"/>
    <w:basedOn w:val="Fontepargpadro"/>
    <w:uiPriority w:val="99"/>
    <w:semiHidden/>
    <w:unhideWhenUsed/>
    <w:rsid w:val="0094489A"/>
    <w:rPr>
      <w:color w:val="605E5C"/>
      <w:shd w:val="clear" w:color="auto" w:fill="E1DFDD"/>
    </w:rPr>
  </w:style>
  <w:style w:type="character" w:styleId="Forte">
    <w:name w:val="Strong"/>
    <w:basedOn w:val="Fontepargpadro"/>
    <w:uiPriority w:val="22"/>
    <w:qFormat/>
    <w:rsid w:val="00BB47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3152">
      <w:bodyDiv w:val="1"/>
      <w:marLeft w:val="0"/>
      <w:marRight w:val="0"/>
      <w:marTop w:val="0"/>
      <w:marBottom w:val="0"/>
      <w:divBdr>
        <w:top w:val="none" w:sz="0" w:space="0" w:color="auto"/>
        <w:left w:val="none" w:sz="0" w:space="0" w:color="auto"/>
        <w:bottom w:val="none" w:sz="0" w:space="0" w:color="auto"/>
        <w:right w:val="none" w:sz="0" w:space="0" w:color="auto"/>
      </w:divBdr>
    </w:div>
    <w:div w:id="16396075">
      <w:bodyDiv w:val="1"/>
      <w:marLeft w:val="0"/>
      <w:marRight w:val="0"/>
      <w:marTop w:val="0"/>
      <w:marBottom w:val="0"/>
      <w:divBdr>
        <w:top w:val="none" w:sz="0" w:space="0" w:color="auto"/>
        <w:left w:val="none" w:sz="0" w:space="0" w:color="auto"/>
        <w:bottom w:val="none" w:sz="0" w:space="0" w:color="auto"/>
        <w:right w:val="none" w:sz="0" w:space="0" w:color="auto"/>
      </w:divBdr>
    </w:div>
    <w:div w:id="39476802">
      <w:bodyDiv w:val="1"/>
      <w:marLeft w:val="0"/>
      <w:marRight w:val="0"/>
      <w:marTop w:val="0"/>
      <w:marBottom w:val="0"/>
      <w:divBdr>
        <w:top w:val="none" w:sz="0" w:space="0" w:color="auto"/>
        <w:left w:val="none" w:sz="0" w:space="0" w:color="auto"/>
        <w:bottom w:val="none" w:sz="0" w:space="0" w:color="auto"/>
        <w:right w:val="none" w:sz="0" w:space="0" w:color="auto"/>
      </w:divBdr>
    </w:div>
    <w:div w:id="45179607">
      <w:bodyDiv w:val="1"/>
      <w:marLeft w:val="0"/>
      <w:marRight w:val="0"/>
      <w:marTop w:val="0"/>
      <w:marBottom w:val="0"/>
      <w:divBdr>
        <w:top w:val="none" w:sz="0" w:space="0" w:color="auto"/>
        <w:left w:val="none" w:sz="0" w:space="0" w:color="auto"/>
        <w:bottom w:val="none" w:sz="0" w:space="0" w:color="auto"/>
        <w:right w:val="none" w:sz="0" w:space="0" w:color="auto"/>
      </w:divBdr>
    </w:div>
    <w:div w:id="71238125">
      <w:bodyDiv w:val="1"/>
      <w:marLeft w:val="0"/>
      <w:marRight w:val="0"/>
      <w:marTop w:val="0"/>
      <w:marBottom w:val="0"/>
      <w:divBdr>
        <w:top w:val="none" w:sz="0" w:space="0" w:color="auto"/>
        <w:left w:val="none" w:sz="0" w:space="0" w:color="auto"/>
        <w:bottom w:val="none" w:sz="0" w:space="0" w:color="auto"/>
        <w:right w:val="none" w:sz="0" w:space="0" w:color="auto"/>
      </w:divBdr>
    </w:div>
    <w:div w:id="80833169">
      <w:bodyDiv w:val="1"/>
      <w:marLeft w:val="0"/>
      <w:marRight w:val="0"/>
      <w:marTop w:val="0"/>
      <w:marBottom w:val="0"/>
      <w:divBdr>
        <w:top w:val="none" w:sz="0" w:space="0" w:color="auto"/>
        <w:left w:val="none" w:sz="0" w:space="0" w:color="auto"/>
        <w:bottom w:val="none" w:sz="0" w:space="0" w:color="auto"/>
        <w:right w:val="none" w:sz="0" w:space="0" w:color="auto"/>
      </w:divBdr>
    </w:div>
    <w:div w:id="104275433">
      <w:bodyDiv w:val="1"/>
      <w:marLeft w:val="0"/>
      <w:marRight w:val="0"/>
      <w:marTop w:val="0"/>
      <w:marBottom w:val="0"/>
      <w:divBdr>
        <w:top w:val="none" w:sz="0" w:space="0" w:color="auto"/>
        <w:left w:val="none" w:sz="0" w:space="0" w:color="auto"/>
        <w:bottom w:val="none" w:sz="0" w:space="0" w:color="auto"/>
        <w:right w:val="none" w:sz="0" w:space="0" w:color="auto"/>
      </w:divBdr>
    </w:div>
    <w:div w:id="134762145">
      <w:bodyDiv w:val="1"/>
      <w:marLeft w:val="0"/>
      <w:marRight w:val="0"/>
      <w:marTop w:val="0"/>
      <w:marBottom w:val="0"/>
      <w:divBdr>
        <w:top w:val="none" w:sz="0" w:space="0" w:color="auto"/>
        <w:left w:val="none" w:sz="0" w:space="0" w:color="auto"/>
        <w:bottom w:val="none" w:sz="0" w:space="0" w:color="auto"/>
        <w:right w:val="none" w:sz="0" w:space="0" w:color="auto"/>
      </w:divBdr>
    </w:div>
    <w:div w:id="164782086">
      <w:bodyDiv w:val="1"/>
      <w:marLeft w:val="0"/>
      <w:marRight w:val="0"/>
      <w:marTop w:val="0"/>
      <w:marBottom w:val="0"/>
      <w:divBdr>
        <w:top w:val="none" w:sz="0" w:space="0" w:color="auto"/>
        <w:left w:val="none" w:sz="0" w:space="0" w:color="auto"/>
        <w:bottom w:val="none" w:sz="0" w:space="0" w:color="auto"/>
        <w:right w:val="none" w:sz="0" w:space="0" w:color="auto"/>
      </w:divBdr>
    </w:div>
    <w:div w:id="178548234">
      <w:bodyDiv w:val="1"/>
      <w:marLeft w:val="0"/>
      <w:marRight w:val="0"/>
      <w:marTop w:val="0"/>
      <w:marBottom w:val="0"/>
      <w:divBdr>
        <w:top w:val="none" w:sz="0" w:space="0" w:color="auto"/>
        <w:left w:val="none" w:sz="0" w:space="0" w:color="auto"/>
        <w:bottom w:val="none" w:sz="0" w:space="0" w:color="auto"/>
        <w:right w:val="none" w:sz="0" w:space="0" w:color="auto"/>
      </w:divBdr>
    </w:div>
    <w:div w:id="179707105">
      <w:bodyDiv w:val="1"/>
      <w:marLeft w:val="0"/>
      <w:marRight w:val="0"/>
      <w:marTop w:val="0"/>
      <w:marBottom w:val="0"/>
      <w:divBdr>
        <w:top w:val="none" w:sz="0" w:space="0" w:color="auto"/>
        <w:left w:val="none" w:sz="0" w:space="0" w:color="auto"/>
        <w:bottom w:val="none" w:sz="0" w:space="0" w:color="auto"/>
        <w:right w:val="none" w:sz="0" w:space="0" w:color="auto"/>
      </w:divBdr>
    </w:div>
    <w:div w:id="206797477">
      <w:bodyDiv w:val="1"/>
      <w:marLeft w:val="0"/>
      <w:marRight w:val="0"/>
      <w:marTop w:val="0"/>
      <w:marBottom w:val="0"/>
      <w:divBdr>
        <w:top w:val="none" w:sz="0" w:space="0" w:color="auto"/>
        <w:left w:val="none" w:sz="0" w:space="0" w:color="auto"/>
        <w:bottom w:val="none" w:sz="0" w:space="0" w:color="auto"/>
        <w:right w:val="none" w:sz="0" w:space="0" w:color="auto"/>
      </w:divBdr>
    </w:div>
    <w:div w:id="209339393">
      <w:bodyDiv w:val="1"/>
      <w:marLeft w:val="0"/>
      <w:marRight w:val="0"/>
      <w:marTop w:val="0"/>
      <w:marBottom w:val="0"/>
      <w:divBdr>
        <w:top w:val="none" w:sz="0" w:space="0" w:color="auto"/>
        <w:left w:val="none" w:sz="0" w:space="0" w:color="auto"/>
        <w:bottom w:val="none" w:sz="0" w:space="0" w:color="auto"/>
        <w:right w:val="none" w:sz="0" w:space="0" w:color="auto"/>
      </w:divBdr>
    </w:div>
    <w:div w:id="228686391">
      <w:bodyDiv w:val="1"/>
      <w:marLeft w:val="0"/>
      <w:marRight w:val="0"/>
      <w:marTop w:val="0"/>
      <w:marBottom w:val="0"/>
      <w:divBdr>
        <w:top w:val="none" w:sz="0" w:space="0" w:color="auto"/>
        <w:left w:val="none" w:sz="0" w:space="0" w:color="auto"/>
        <w:bottom w:val="none" w:sz="0" w:space="0" w:color="auto"/>
        <w:right w:val="none" w:sz="0" w:space="0" w:color="auto"/>
      </w:divBdr>
    </w:div>
    <w:div w:id="235480664">
      <w:bodyDiv w:val="1"/>
      <w:marLeft w:val="0"/>
      <w:marRight w:val="0"/>
      <w:marTop w:val="0"/>
      <w:marBottom w:val="0"/>
      <w:divBdr>
        <w:top w:val="none" w:sz="0" w:space="0" w:color="auto"/>
        <w:left w:val="none" w:sz="0" w:space="0" w:color="auto"/>
        <w:bottom w:val="none" w:sz="0" w:space="0" w:color="auto"/>
        <w:right w:val="none" w:sz="0" w:space="0" w:color="auto"/>
      </w:divBdr>
      <w:divsChild>
        <w:div w:id="1315985955">
          <w:marLeft w:val="0"/>
          <w:marRight w:val="0"/>
          <w:marTop w:val="0"/>
          <w:marBottom w:val="0"/>
          <w:divBdr>
            <w:top w:val="none" w:sz="0" w:space="0" w:color="auto"/>
            <w:left w:val="none" w:sz="0" w:space="0" w:color="auto"/>
            <w:bottom w:val="none" w:sz="0" w:space="0" w:color="auto"/>
            <w:right w:val="none" w:sz="0" w:space="0" w:color="auto"/>
          </w:divBdr>
          <w:divsChild>
            <w:div w:id="264000570">
              <w:marLeft w:val="0"/>
              <w:marRight w:val="0"/>
              <w:marTop w:val="0"/>
              <w:marBottom w:val="0"/>
              <w:divBdr>
                <w:top w:val="none" w:sz="0" w:space="0" w:color="auto"/>
                <w:left w:val="none" w:sz="0" w:space="0" w:color="auto"/>
                <w:bottom w:val="none" w:sz="0" w:space="0" w:color="auto"/>
                <w:right w:val="none" w:sz="0" w:space="0" w:color="auto"/>
              </w:divBdr>
              <w:divsChild>
                <w:div w:id="712777383">
                  <w:marLeft w:val="0"/>
                  <w:marRight w:val="0"/>
                  <w:marTop w:val="0"/>
                  <w:marBottom w:val="0"/>
                  <w:divBdr>
                    <w:top w:val="none" w:sz="0" w:space="0" w:color="auto"/>
                    <w:left w:val="none" w:sz="0" w:space="0" w:color="auto"/>
                    <w:bottom w:val="none" w:sz="0" w:space="0" w:color="auto"/>
                    <w:right w:val="none" w:sz="0" w:space="0" w:color="auto"/>
                  </w:divBdr>
                  <w:divsChild>
                    <w:div w:id="1253390131">
                      <w:marLeft w:val="0"/>
                      <w:marRight w:val="0"/>
                      <w:marTop w:val="0"/>
                      <w:marBottom w:val="0"/>
                      <w:divBdr>
                        <w:top w:val="none" w:sz="0" w:space="0" w:color="auto"/>
                        <w:left w:val="none" w:sz="0" w:space="0" w:color="auto"/>
                        <w:bottom w:val="none" w:sz="0" w:space="0" w:color="auto"/>
                        <w:right w:val="none" w:sz="0" w:space="0" w:color="auto"/>
                      </w:divBdr>
                      <w:divsChild>
                        <w:div w:id="1466389705">
                          <w:marLeft w:val="0"/>
                          <w:marRight w:val="0"/>
                          <w:marTop w:val="0"/>
                          <w:marBottom w:val="0"/>
                          <w:divBdr>
                            <w:top w:val="none" w:sz="0" w:space="0" w:color="auto"/>
                            <w:left w:val="none" w:sz="0" w:space="0" w:color="auto"/>
                            <w:bottom w:val="none" w:sz="0" w:space="0" w:color="auto"/>
                            <w:right w:val="none" w:sz="0" w:space="0" w:color="auto"/>
                          </w:divBdr>
                          <w:divsChild>
                            <w:div w:id="1024793127">
                              <w:marLeft w:val="0"/>
                              <w:marRight w:val="0"/>
                              <w:marTop w:val="0"/>
                              <w:marBottom w:val="0"/>
                              <w:divBdr>
                                <w:top w:val="none" w:sz="0" w:space="0" w:color="auto"/>
                                <w:left w:val="none" w:sz="0" w:space="0" w:color="auto"/>
                                <w:bottom w:val="none" w:sz="0" w:space="0" w:color="auto"/>
                                <w:right w:val="none" w:sz="0" w:space="0" w:color="auto"/>
                              </w:divBdr>
                              <w:divsChild>
                                <w:div w:id="757943780">
                                  <w:marLeft w:val="0"/>
                                  <w:marRight w:val="0"/>
                                  <w:marTop w:val="0"/>
                                  <w:marBottom w:val="0"/>
                                  <w:divBdr>
                                    <w:top w:val="none" w:sz="0" w:space="0" w:color="auto"/>
                                    <w:left w:val="none" w:sz="0" w:space="0" w:color="auto"/>
                                    <w:bottom w:val="none" w:sz="0" w:space="0" w:color="auto"/>
                                    <w:right w:val="none" w:sz="0" w:space="0" w:color="auto"/>
                                  </w:divBdr>
                                  <w:divsChild>
                                    <w:div w:id="115155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643114">
      <w:bodyDiv w:val="1"/>
      <w:marLeft w:val="0"/>
      <w:marRight w:val="0"/>
      <w:marTop w:val="0"/>
      <w:marBottom w:val="0"/>
      <w:divBdr>
        <w:top w:val="none" w:sz="0" w:space="0" w:color="auto"/>
        <w:left w:val="none" w:sz="0" w:space="0" w:color="auto"/>
        <w:bottom w:val="none" w:sz="0" w:space="0" w:color="auto"/>
        <w:right w:val="none" w:sz="0" w:space="0" w:color="auto"/>
      </w:divBdr>
    </w:div>
    <w:div w:id="244532222">
      <w:bodyDiv w:val="1"/>
      <w:marLeft w:val="0"/>
      <w:marRight w:val="0"/>
      <w:marTop w:val="0"/>
      <w:marBottom w:val="0"/>
      <w:divBdr>
        <w:top w:val="none" w:sz="0" w:space="0" w:color="auto"/>
        <w:left w:val="none" w:sz="0" w:space="0" w:color="auto"/>
        <w:bottom w:val="none" w:sz="0" w:space="0" w:color="auto"/>
        <w:right w:val="none" w:sz="0" w:space="0" w:color="auto"/>
      </w:divBdr>
    </w:div>
    <w:div w:id="250117893">
      <w:bodyDiv w:val="1"/>
      <w:marLeft w:val="0"/>
      <w:marRight w:val="0"/>
      <w:marTop w:val="0"/>
      <w:marBottom w:val="0"/>
      <w:divBdr>
        <w:top w:val="none" w:sz="0" w:space="0" w:color="auto"/>
        <w:left w:val="none" w:sz="0" w:space="0" w:color="auto"/>
        <w:bottom w:val="none" w:sz="0" w:space="0" w:color="auto"/>
        <w:right w:val="none" w:sz="0" w:space="0" w:color="auto"/>
      </w:divBdr>
    </w:div>
    <w:div w:id="259603710">
      <w:bodyDiv w:val="1"/>
      <w:marLeft w:val="0"/>
      <w:marRight w:val="0"/>
      <w:marTop w:val="0"/>
      <w:marBottom w:val="0"/>
      <w:divBdr>
        <w:top w:val="none" w:sz="0" w:space="0" w:color="auto"/>
        <w:left w:val="none" w:sz="0" w:space="0" w:color="auto"/>
        <w:bottom w:val="none" w:sz="0" w:space="0" w:color="auto"/>
        <w:right w:val="none" w:sz="0" w:space="0" w:color="auto"/>
      </w:divBdr>
    </w:div>
    <w:div w:id="262346307">
      <w:bodyDiv w:val="1"/>
      <w:marLeft w:val="0"/>
      <w:marRight w:val="0"/>
      <w:marTop w:val="0"/>
      <w:marBottom w:val="0"/>
      <w:divBdr>
        <w:top w:val="none" w:sz="0" w:space="0" w:color="auto"/>
        <w:left w:val="none" w:sz="0" w:space="0" w:color="auto"/>
        <w:bottom w:val="none" w:sz="0" w:space="0" w:color="auto"/>
        <w:right w:val="none" w:sz="0" w:space="0" w:color="auto"/>
      </w:divBdr>
    </w:div>
    <w:div w:id="276570083">
      <w:bodyDiv w:val="1"/>
      <w:marLeft w:val="0"/>
      <w:marRight w:val="0"/>
      <w:marTop w:val="0"/>
      <w:marBottom w:val="0"/>
      <w:divBdr>
        <w:top w:val="none" w:sz="0" w:space="0" w:color="auto"/>
        <w:left w:val="none" w:sz="0" w:space="0" w:color="auto"/>
        <w:bottom w:val="none" w:sz="0" w:space="0" w:color="auto"/>
        <w:right w:val="none" w:sz="0" w:space="0" w:color="auto"/>
      </w:divBdr>
    </w:div>
    <w:div w:id="286929750">
      <w:bodyDiv w:val="1"/>
      <w:marLeft w:val="0"/>
      <w:marRight w:val="0"/>
      <w:marTop w:val="0"/>
      <w:marBottom w:val="0"/>
      <w:divBdr>
        <w:top w:val="none" w:sz="0" w:space="0" w:color="auto"/>
        <w:left w:val="none" w:sz="0" w:space="0" w:color="auto"/>
        <w:bottom w:val="none" w:sz="0" w:space="0" w:color="auto"/>
        <w:right w:val="none" w:sz="0" w:space="0" w:color="auto"/>
      </w:divBdr>
    </w:div>
    <w:div w:id="305479504">
      <w:bodyDiv w:val="1"/>
      <w:marLeft w:val="0"/>
      <w:marRight w:val="0"/>
      <w:marTop w:val="0"/>
      <w:marBottom w:val="0"/>
      <w:divBdr>
        <w:top w:val="none" w:sz="0" w:space="0" w:color="auto"/>
        <w:left w:val="none" w:sz="0" w:space="0" w:color="auto"/>
        <w:bottom w:val="none" w:sz="0" w:space="0" w:color="auto"/>
        <w:right w:val="none" w:sz="0" w:space="0" w:color="auto"/>
      </w:divBdr>
    </w:div>
    <w:div w:id="311832909">
      <w:bodyDiv w:val="1"/>
      <w:marLeft w:val="0"/>
      <w:marRight w:val="0"/>
      <w:marTop w:val="0"/>
      <w:marBottom w:val="0"/>
      <w:divBdr>
        <w:top w:val="none" w:sz="0" w:space="0" w:color="auto"/>
        <w:left w:val="none" w:sz="0" w:space="0" w:color="auto"/>
        <w:bottom w:val="none" w:sz="0" w:space="0" w:color="auto"/>
        <w:right w:val="none" w:sz="0" w:space="0" w:color="auto"/>
      </w:divBdr>
    </w:div>
    <w:div w:id="320087943">
      <w:bodyDiv w:val="1"/>
      <w:marLeft w:val="0"/>
      <w:marRight w:val="0"/>
      <w:marTop w:val="0"/>
      <w:marBottom w:val="0"/>
      <w:divBdr>
        <w:top w:val="none" w:sz="0" w:space="0" w:color="auto"/>
        <w:left w:val="none" w:sz="0" w:space="0" w:color="auto"/>
        <w:bottom w:val="none" w:sz="0" w:space="0" w:color="auto"/>
        <w:right w:val="none" w:sz="0" w:space="0" w:color="auto"/>
      </w:divBdr>
    </w:div>
    <w:div w:id="323361038">
      <w:bodyDiv w:val="1"/>
      <w:marLeft w:val="0"/>
      <w:marRight w:val="0"/>
      <w:marTop w:val="0"/>
      <w:marBottom w:val="0"/>
      <w:divBdr>
        <w:top w:val="none" w:sz="0" w:space="0" w:color="auto"/>
        <w:left w:val="none" w:sz="0" w:space="0" w:color="auto"/>
        <w:bottom w:val="none" w:sz="0" w:space="0" w:color="auto"/>
        <w:right w:val="none" w:sz="0" w:space="0" w:color="auto"/>
      </w:divBdr>
    </w:div>
    <w:div w:id="338313938">
      <w:bodyDiv w:val="1"/>
      <w:marLeft w:val="0"/>
      <w:marRight w:val="0"/>
      <w:marTop w:val="0"/>
      <w:marBottom w:val="0"/>
      <w:divBdr>
        <w:top w:val="none" w:sz="0" w:space="0" w:color="auto"/>
        <w:left w:val="none" w:sz="0" w:space="0" w:color="auto"/>
        <w:bottom w:val="none" w:sz="0" w:space="0" w:color="auto"/>
        <w:right w:val="none" w:sz="0" w:space="0" w:color="auto"/>
      </w:divBdr>
    </w:div>
    <w:div w:id="361631259">
      <w:bodyDiv w:val="1"/>
      <w:marLeft w:val="0"/>
      <w:marRight w:val="0"/>
      <w:marTop w:val="0"/>
      <w:marBottom w:val="0"/>
      <w:divBdr>
        <w:top w:val="none" w:sz="0" w:space="0" w:color="auto"/>
        <w:left w:val="none" w:sz="0" w:space="0" w:color="auto"/>
        <w:bottom w:val="none" w:sz="0" w:space="0" w:color="auto"/>
        <w:right w:val="none" w:sz="0" w:space="0" w:color="auto"/>
      </w:divBdr>
    </w:div>
    <w:div w:id="445731611">
      <w:bodyDiv w:val="1"/>
      <w:marLeft w:val="0"/>
      <w:marRight w:val="0"/>
      <w:marTop w:val="0"/>
      <w:marBottom w:val="0"/>
      <w:divBdr>
        <w:top w:val="none" w:sz="0" w:space="0" w:color="auto"/>
        <w:left w:val="none" w:sz="0" w:space="0" w:color="auto"/>
        <w:bottom w:val="none" w:sz="0" w:space="0" w:color="auto"/>
        <w:right w:val="none" w:sz="0" w:space="0" w:color="auto"/>
      </w:divBdr>
    </w:div>
    <w:div w:id="462382851">
      <w:bodyDiv w:val="1"/>
      <w:marLeft w:val="0"/>
      <w:marRight w:val="0"/>
      <w:marTop w:val="0"/>
      <w:marBottom w:val="0"/>
      <w:divBdr>
        <w:top w:val="none" w:sz="0" w:space="0" w:color="auto"/>
        <w:left w:val="none" w:sz="0" w:space="0" w:color="auto"/>
        <w:bottom w:val="none" w:sz="0" w:space="0" w:color="auto"/>
        <w:right w:val="none" w:sz="0" w:space="0" w:color="auto"/>
      </w:divBdr>
    </w:div>
    <w:div w:id="465199223">
      <w:bodyDiv w:val="1"/>
      <w:marLeft w:val="0"/>
      <w:marRight w:val="0"/>
      <w:marTop w:val="0"/>
      <w:marBottom w:val="0"/>
      <w:divBdr>
        <w:top w:val="none" w:sz="0" w:space="0" w:color="auto"/>
        <w:left w:val="none" w:sz="0" w:space="0" w:color="auto"/>
        <w:bottom w:val="none" w:sz="0" w:space="0" w:color="auto"/>
        <w:right w:val="none" w:sz="0" w:space="0" w:color="auto"/>
      </w:divBdr>
    </w:div>
    <w:div w:id="467432859">
      <w:bodyDiv w:val="1"/>
      <w:marLeft w:val="0"/>
      <w:marRight w:val="0"/>
      <w:marTop w:val="0"/>
      <w:marBottom w:val="0"/>
      <w:divBdr>
        <w:top w:val="none" w:sz="0" w:space="0" w:color="auto"/>
        <w:left w:val="none" w:sz="0" w:space="0" w:color="auto"/>
        <w:bottom w:val="none" w:sz="0" w:space="0" w:color="auto"/>
        <w:right w:val="none" w:sz="0" w:space="0" w:color="auto"/>
      </w:divBdr>
    </w:div>
    <w:div w:id="468591873">
      <w:bodyDiv w:val="1"/>
      <w:marLeft w:val="0"/>
      <w:marRight w:val="0"/>
      <w:marTop w:val="0"/>
      <w:marBottom w:val="0"/>
      <w:divBdr>
        <w:top w:val="none" w:sz="0" w:space="0" w:color="auto"/>
        <w:left w:val="none" w:sz="0" w:space="0" w:color="auto"/>
        <w:bottom w:val="none" w:sz="0" w:space="0" w:color="auto"/>
        <w:right w:val="none" w:sz="0" w:space="0" w:color="auto"/>
      </w:divBdr>
    </w:div>
    <w:div w:id="468592168">
      <w:bodyDiv w:val="1"/>
      <w:marLeft w:val="0"/>
      <w:marRight w:val="0"/>
      <w:marTop w:val="0"/>
      <w:marBottom w:val="0"/>
      <w:divBdr>
        <w:top w:val="none" w:sz="0" w:space="0" w:color="auto"/>
        <w:left w:val="none" w:sz="0" w:space="0" w:color="auto"/>
        <w:bottom w:val="none" w:sz="0" w:space="0" w:color="auto"/>
        <w:right w:val="none" w:sz="0" w:space="0" w:color="auto"/>
      </w:divBdr>
    </w:div>
    <w:div w:id="511916741">
      <w:bodyDiv w:val="1"/>
      <w:marLeft w:val="0"/>
      <w:marRight w:val="0"/>
      <w:marTop w:val="0"/>
      <w:marBottom w:val="0"/>
      <w:divBdr>
        <w:top w:val="none" w:sz="0" w:space="0" w:color="auto"/>
        <w:left w:val="none" w:sz="0" w:space="0" w:color="auto"/>
        <w:bottom w:val="none" w:sz="0" w:space="0" w:color="auto"/>
        <w:right w:val="none" w:sz="0" w:space="0" w:color="auto"/>
      </w:divBdr>
    </w:div>
    <w:div w:id="565409970">
      <w:bodyDiv w:val="1"/>
      <w:marLeft w:val="0"/>
      <w:marRight w:val="0"/>
      <w:marTop w:val="0"/>
      <w:marBottom w:val="0"/>
      <w:divBdr>
        <w:top w:val="none" w:sz="0" w:space="0" w:color="auto"/>
        <w:left w:val="none" w:sz="0" w:space="0" w:color="auto"/>
        <w:bottom w:val="none" w:sz="0" w:space="0" w:color="auto"/>
        <w:right w:val="none" w:sz="0" w:space="0" w:color="auto"/>
      </w:divBdr>
    </w:div>
    <w:div w:id="565578482">
      <w:bodyDiv w:val="1"/>
      <w:marLeft w:val="0"/>
      <w:marRight w:val="0"/>
      <w:marTop w:val="0"/>
      <w:marBottom w:val="0"/>
      <w:divBdr>
        <w:top w:val="none" w:sz="0" w:space="0" w:color="auto"/>
        <w:left w:val="none" w:sz="0" w:space="0" w:color="auto"/>
        <w:bottom w:val="none" w:sz="0" w:space="0" w:color="auto"/>
        <w:right w:val="none" w:sz="0" w:space="0" w:color="auto"/>
      </w:divBdr>
    </w:div>
    <w:div w:id="575210857">
      <w:bodyDiv w:val="1"/>
      <w:marLeft w:val="0"/>
      <w:marRight w:val="0"/>
      <w:marTop w:val="0"/>
      <w:marBottom w:val="0"/>
      <w:divBdr>
        <w:top w:val="none" w:sz="0" w:space="0" w:color="auto"/>
        <w:left w:val="none" w:sz="0" w:space="0" w:color="auto"/>
        <w:bottom w:val="none" w:sz="0" w:space="0" w:color="auto"/>
        <w:right w:val="none" w:sz="0" w:space="0" w:color="auto"/>
      </w:divBdr>
    </w:div>
    <w:div w:id="577861115">
      <w:bodyDiv w:val="1"/>
      <w:marLeft w:val="0"/>
      <w:marRight w:val="0"/>
      <w:marTop w:val="0"/>
      <w:marBottom w:val="0"/>
      <w:divBdr>
        <w:top w:val="none" w:sz="0" w:space="0" w:color="auto"/>
        <w:left w:val="none" w:sz="0" w:space="0" w:color="auto"/>
        <w:bottom w:val="none" w:sz="0" w:space="0" w:color="auto"/>
        <w:right w:val="none" w:sz="0" w:space="0" w:color="auto"/>
      </w:divBdr>
    </w:div>
    <w:div w:id="583608751">
      <w:bodyDiv w:val="1"/>
      <w:marLeft w:val="0"/>
      <w:marRight w:val="0"/>
      <w:marTop w:val="0"/>
      <w:marBottom w:val="0"/>
      <w:divBdr>
        <w:top w:val="none" w:sz="0" w:space="0" w:color="auto"/>
        <w:left w:val="none" w:sz="0" w:space="0" w:color="auto"/>
        <w:bottom w:val="none" w:sz="0" w:space="0" w:color="auto"/>
        <w:right w:val="none" w:sz="0" w:space="0" w:color="auto"/>
      </w:divBdr>
    </w:div>
    <w:div w:id="609626153">
      <w:bodyDiv w:val="1"/>
      <w:marLeft w:val="0"/>
      <w:marRight w:val="0"/>
      <w:marTop w:val="0"/>
      <w:marBottom w:val="0"/>
      <w:divBdr>
        <w:top w:val="none" w:sz="0" w:space="0" w:color="auto"/>
        <w:left w:val="none" w:sz="0" w:space="0" w:color="auto"/>
        <w:bottom w:val="none" w:sz="0" w:space="0" w:color="auto"/>
        <w:right w:val="none" w:sz="0" w:space="0" w:color="auto"/>
      </w:divBdr>
    </w:div>
    <w:div w:id="620192345">
      <w:bodyDiv w:val="1"/>
      <w:marLeft w:val="0"/>
      <w:marRight w:val="0"/>
      <w:marTop w:val="0"/>
      <w:marBottom w:val="0"/>
      <w:divBdr>
        <w:top w:val="none" w:sz="0" w:space="0" w:color="auto"/>
        <w:left w:val="none" w:sz="0" w:space="0" w:color="auto"/>
        <w:bottom w:val="none" w:sz="0" w:space="0" w:color="auto"/>
        <w:right w:val="none" w:sz="0" w:space="0" w:color="auto"/>
      </w:divBdr>
    </w:div>
    <w:div w:id="620503677">
      <w:bodyDiv w:val="1"/>
      <w:marLeft w:val="0"/>
      <w:marRight w:val="0"/>
      <w:marTop w:val="0"/>
      <w:marBottom w:val="0"/>
      <w:divBdr>
        <w:top w:val="none" w:sz="0" w:space="0" w:color="auto"/>
        <w:left w:val="none" w:sz="0" w:space="0" w:color="auto"/>
        <w:bottom w:val="none" w:sz="0" w:space="0" w:color="auto"/>
        <w:right w:val="none" w:sz="0" w:space="0" w:color="auto"/>
      </w:divBdr>
    </w:div>
    <w:div w:id="706874024">
      <w:bodyDiv w:val="1"/>
      <w:marLeft w:val="0"/>
      <w:marRight w:val="0"/>
      <w:marTop w:val="0"/>
      <w:marBottom w:val="0"/>
      <w:divBdr>
        <w:top w:val="none" w:sz="0" w:space="0" w:color="auto"/>
        <w:left w:val="none" w:sz="0" w:space="0" w:color="auto"/>
        <w:bottom w:val="none" w:sz="0" w:space="0" w:color="auto"/>
        <w:right w:val="none" w:sz="0" w:space="0" w:color="auto"/>
      </w:divBdr>
    </w:div>
    <w:div w:id="715545789">
      <w:bodyDiv w:val="1"/>
      <w:marLeft w:val="0"/>
      <w:marRight w:val="0"/>
      <w:marTop w:val="0"/>
      <w:marBottom w:val="0"/>
      <w:divBdr>
        <w:top w:val="none" w:sz="0" w:space="0" w:color="auto"/>
        <w:left w:val="none" w:sz="0" w:space="0" w:color="auto"/>
        <w:bottom w:val="none" w:sz="0" w:space="0" w:color="auto"/>
        <w:right w:val="none" w:sz="0" w:space="0" w:color="auto"/>
      </w:divBdr>
    </w:div>
    <w:div w:id="795488632">
      <w:bodyDiv w:val="1"/>
      <w:marLeft w:val="0"/>
      <w:marRight w:val="0"/>
      <w:marTop w:val="0"/>
      <w:marBottom w:val="0"/>
      <w:divBdr>
        <w:top w:val="none" w:sz="0" w:space="0" w:color="auto"/>
        <w:left w:val="none" w:sz="0" w:space="0" w:color="auto"/>
        <w:bottom w:val="none" w:sz="0" w:space="0" w:color="auto"/>
        <w:right w:val="none" w:sz="0" w:space="0" w:color="auto"/>
      </w:divBdr>
      <w:divsChild>
        <w:div w:id="973095635">
          <w:marLeft w:val="0"/>
          <w:marRight w:val="0"/>
          <w:marTop w:val="0"/>
          <w:marBottom w:val="0"/>
          <w:divBdr>
            <w:top w:val="none" w:sz="0" w:space="0" w:color="auto"/>
            <w:left w:val="none" w:sz="0" w:space="0" w:color="auto"/>
            <w:bottom w:val="none" w:sz="0" w:space="0" w:color="auto"/>
            <w:right w:val="none" w:sz="0" w:space="0" w:color="auto"/>
          </w:divBdr>
          <w:divsChild>
            <w:div w:id="596787433">
              <w:marLeft w:val="0"/>
              <w:marRight w:val="0"/>
              <w:marTop w:val="0"/>
              <w:marBottom w:val="0"/>
              <w:divBdr>
                <w:top w:val="none" w:sz="0" w:space="0" w:color="auto"/>
                <w:left w:val="none" w:sz="0" w:space="0" w:color="auto"/>
                <w:bottom w:val="none" w:sz="0" w:space="0" w:color="auto"/>
                <w:right w:val="none" w:sz="0" w:space="0" w:color="auto"/>
              </w:divBdr>
              <w:divsChild>
                <w:div w:id="7505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353579">
      <w:bodyDiv w:val="1"/>
      <w:marLeft w:val="0"/>
      <w:marRight w:val="0"/>
      <w:marTop w:val="0"/>
      <w:marBottom w:val="0"/>
      <w:divBdr>
        <w:top w:val="none" w:sz="0" w:space="0" w:color="auto"/>
        <w:left w:val="none" w:sz="0" w:space="0" w:color="auto"/>
        <w:bottom w:val="none" w:sz="0" w:space="0" w:color="auto"/>
        <w:right w:val="none" w:sz="0" w:space="0" w:color="auto"/>
      </w:divBdr>
      <w:divsChild>
        <w:div w:id="1566454909">
          <w:marLeft w:val="0"/>
          <w:marRight w:val="0"/>
          <w:marTop w:val="0"/>
          <w:marBottom w:val="0"/>
          <w:divBdr>
            <w:top w:val="none" w:sz="0" w:space="0" w:color="auto"/>
            <w:left w:val="none" w:sz="0" w:space="0" w:color="auto"/>
            <w:bottom w:val="none" w:sz="0" w:space="0" w:color="auto"/>
            <w:right w:val="none" w:sz="0" w:space="0" w:color="auto"/>
          </w:divBdr>
          <w:divsChild>
            <w:div w:id="147274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78171">
      <w:bodyDiv w:val="1"/>
      <w:marLeft w:val="0"/>
      <w:marRight w:val="0"/>
      <w:marTop w:val="0"/>
      <w:marBottom w:val="0"/>
      <w:divBdr>
        <w:top w:val="none" w:sz="0" w:space="0" w:color="auto"/>
        <w:left w:val="none" w:sz="0" w:space="0" w:color="auto"/>
        <w:bottom w:val="none" w:sz="0" w:space="0" w:color="auto"/>
        <w:right w:val="none" w:sz="0" w:space="0" w:color="auto"/>
      </w:divBdr>
    </w:div>
    <w:div w:id="815997660">
      <w:bodyDiv w:val="1"/>
      <w:marLeft w:val="0"/>
      <w:marRight w:val="0"/>
      <w:marTop w:val="0"/>
      <w:marBottom w:val="0"/>
      <w:divBdr>
        <w:top w:val="none" w:sz="0" w:space="0" w:color="auto"/>
        <w:left w:val="none" w:sz="0" w:space="0" w:color="auto"/>
        <w:bottom w:val="none" w:sz="0" w:space="0" w:color="auto"/>
        <w:right w:val="none" w:sz="0" w:space="0" w:color="auto"/>
      </w:divBdr>
    </w:div>
    <w:div w:id="821045525">
      <w:bodyDiv w:val="1"/>
      <w:marLeft w:val="0"/>
      <w:marRight w:val="0"/>
      <w:marTop w:val="0"/>
      <w:marBottom w:val="0"/>
      <w:divBdr>
        <w:top w:val="none" w:sz="0" w:space="0" w:color="auto"/>
        <w:left w:val="none" w:sz="0" w:space="0" w:color="auto"/>
        <w:bottom w:val="none" w:sz="0" w:space="0" w:color="auto"/>
        <w:right w:val="none" w:sz="0" w:space="0" w:color="auto"/>
      </w:divBdr>
    </w:div>
    <w:div w:id="822046331">
      <w:bodyDiv w:val="1"/>
      <w:marLeft w:val="0"/>
      <w:marRight w:val="0"/>
      <w:marTop w:val="0"/>
      <w:marBottom w:val="0"/>
      <w:divBdr>
        <w:top w:val="none" w:sz="0" w:space="0" w:color="auto"/>
        <w:left w:val="none" w:sz="0" w:space="0" w:color="auto"/>
        <w:bottom w:val="none" w:sz="0" w:space="0" w:color="auto"/>
        <w:right w:val="none" w:sz="0" w:space="0" w:color="auto"/>
      </w:divBdr>
    </w:div>
    <w:div w:id="827135958">
      <w:bodyDiv w:val="1"/>
      <w:marLeft w:val="0"/>
      <w:marRight w:val="0"/>
      <w:marTop w:val="0"/>
      <w:marBottom w:val="0"/>
      <w:divBdr>
        <w:top w:val="none" w:sz="0" w:space="0" w:color="auto"/>
        <w:left w:val="none" w:sz="0" w:space="0" w:color="auto"/>
        <w:bottom w:val="none" w:sz="0" w:space="0" w:color="auto"/>
        <w:right w:val="none" w:sz="0" w:space="0" w:color="auto"/>
      </w:divBdr>
    </w:div>
    <w:div w:id="837040682">
      <w:bodyDiv w:val="1"/>
      <w:marLeft w:val="0"/>
      <w:marRight w:val="0"/>
      <w:marTop w:val="0"/>
      <w:marBottom w:val="0"/>
      <w:divBdr>
        <w:top w:val="none" w:sz="0" w:space="0" w:color="auto"/>
        <w:left w:val="none" w:sz="0" w:space="0" w:color="auto"/>
        <w:bottom w:val="none" w:sz="0" w:space="0" w:color="auto"/>
        <w:right w:val="none" w:sz="0" w:space="0" w:color="auto"/>
      </w:divBdr>
    </w:div>
    <w:div w:id="858004548">
      <w:bodyDiv w:val="1"/>
      <w:marLeft w:val="0"/>
      <w:marRight w:val="0"/>
      <w:marTop w:val="0"/>
      <w:marBottom w:val="0"/>
      <w:divBdr>
        <w:top w:val="none" w:sz="0" w:space="0" w:color="auto"/>
        <w:left w:val="none" w:sz="0" w:space="0" w:color="auto"/>
        <w:bottom w:val="none" w:sz="0" w:space="0" w:color="auto"/>
        <w:right w:val="none" w:sz="0" w:space="0" w:color="auto"/>
      </w:divBdr>
    </w:div>
    <w:div w:id="861552193">
      <w:bodyDiv w:val="1"/>
      <w:marLeft w:val="0"/>
      <w:marRight w:val="0"/>
      <w:marTop w:val="0"/>
      <w:marBottom w:val="0"/>
      <w:divBdr>
        <w:top w:val="none" w:sz="0" w:space="0" w:color="auto"/>
        <w:left w:val="none" w:sz="0" w:space="0" w:color="auto"/>
        <w:bottom w:val="none" w:sz="0" w:space="0" w:color="auto"/>
        <w:right w:val="none" w:sz="0" w:space="0" w:color="auto"/>
      </w:divBdr>
    </w:div>
    <w:div w:id="868418105">
      <w:bodyDiv w:val="1"/>
      <w:marLeft w:val="0"/>
      <w:marRight w:val="0"/>
      <w:marTop w:val="0"/>
      <w:marBottom w:val="0"/>
      <w:divBdr>
        <w:top w:val="none" w:sz="0" w:space="0" w:color="auto"/>
        <w:left w:val="none" w:sz="0" w:space="0" w:color="auto"/>
        <w:bottom w:val="none" w:sz="0" w:space="0" w:color="auto"/>
        <w:right w:val="none" w:sz="0" w:space="0" w:color="auto"/>
      </w:divBdr>
    </w:div>
    <w:div w:id="876161589">
      <w:bodyDiv w:val="1"/>
      <w:marLeft w:val="0"/>
      <w:marRight w:val="0"/>
      <w:marTop w:val="0"/>
      <w:marBottom w:val="0"/>
      <w:divBdr>
        <w:top w:val="none" w:sz="0" w:space="0" w:color="auto"/>
        <w:left w:val="none" w:sz="0" w:space="0" w:color="auto"/>
        <w:bottom w:val="none" w:sz="0" w:space="0" w:color="auto"/>
        <w:right w:val="none" w:sz="0" w:space="0" w:color="auto"/>
      </w:divBdr>
    </w:div>
    <w:div w:id="881330763">
      <w:bodyDiv w:val="1"/>
      <w:marLeft w:val="0"/>
      <w:marRight w:val="0"/>
      <w:marTop w:val="0"/>
      <w:marBottom w:val="0"/>
      <w:divBdr>
        <w:top w:val="none" w:sz="0" w:space="0" w:color="auto"/>
        <w:left w:val="none" w:sz="0" w:space="0" w:color="auto"/>
        <w:bottom w:val="none" w:sz="0" w:space="0" w:color="auto"/>
        <w:right w:val="none" w:sz="0" w:space="0" w:color="auto"/>
      </w:divBdr>
    </w:div>
    <w:div w:id="923033347">
      <w:bodyDiv w:val="1"/>
      <w:marLeft w:val="0"/>
      <w:marRight w:val="0"/>
      <w:marTop w:val="0"/>
      <w:marBottom w:val="0"/>
      <w:divBdr>
        <w:top w:val="none" w:sz="0" w:space="0" w:color="auto"/>
        <w:left w:val="none" w:sz="0" w:space="0" w:color="auto"/>
        <w:bottom w:val="none" w:sz="0" w:space="0" w:color="auto"/>
        <w:right w:val="none" w:sz="0" w:space="0" w:color="auto"/>
      </w:divBdr>
    </w:div>
    <w:div w:id="927154503">
      <w:bodyDiv w:val="1"/>
      <w:marLeft w:val="0"/>
      <w:marRight w:val="0"/>
      <w:marTop w:val="0"/>
      <w:marBottom w:val="0"/>
      <w:divBdr>
        <w:top w:val="none" w:sz="0" w:space="0" w:color="auto"/>
        <w:left w:val="none" w:sz="0" w:space="0" w:color="auto"/>
        <w:bottom w:val="none" w:sz="0" w:space="0" w:color="auto"/>
        <w:right w:val="none" w:sz="0" w:space="0" w:color="auto"/>
      </w:divBdr>
    </w:div>
    <w:div w:id="949967253">
      <w:bodyDiv w:val="1"/>
      <w:marLeft w:val="0"/>
      <w:marRight w:val="0"/>
      <w:marTop w:val="0"/>
      <w:marBottom w:val="0"/>
      <w:divBdr>
        <w:top w:val="none" w:sz="0" w:space="0" w:color="auto"/>
        <w:left w:val="none" w:sz="0" w:space="0" w:color="auto"/>
        <w:bottom w:val="none" w:sz="0" w:space="0" w:color="auto"/>
        <w:right w:val="none" w:sz="0" w:space="0" w:color="auto"/>
      </w:divBdr>
    </w:div>
    <w:div w:id="956330387">
      <w:bodyDiv w:val="1"/>
      <w:marLeft w:val="0"/>
      <w:marRight w:val="0"/>
      <w:marTop w:val="0"/>
      <w:marBottom w:val="0"/>
      <w:divBdr>
        <w:top w:val="none" w:sz="0" w:space="0" w:color="auto"/>
        <w:left w:val="none" w:sz="0" w:space="0" w:color="auto"/>
        <w:bottom w:val="none" w:sz="0" w:space="0" w:color="auto"/>
        <w:right w:val="none" w:sz="0" w:space="0" w:color="auto"/>
      </w:divBdr>
    </w:div>
    <w:div w:id="984092001">
      <w:bodyDiv w:val="1"/>
      <w:marLeft w:val="0"/>
      <w:marRight w:val="0"/>
      <w:marTop w:val="0"/>
      <w:marBottom w:val="0"/>
      <w:divBdr>
        <w:top w:val="none" w:sz="0" w:space="0" w:color="auto"/>
        <w:left w:val="none" w:sz="0" w:space="0" w:color="auto"/>
        <w:bottom w:val="none" w:sz="0" w:space="0" w:color="auto"/>
        <w:right w:val="none" w:sz="0" w:space="0" w:color="auto"/>
      </w:divBdr>
    </w:div>
    <w:div w:id="988052790">
      <w:bodyDiv w:val="1"/>
      <w:marLeft w:val="0"/>
      <w:marRight w:val="0"/>
      <w:marTop w:val="0"/>
      <w:marBottom w:val="0"/>
      <w:divBdr>
        <w:top w:val="none" w:sz="0" w:space="0" w:color="auto"/>
        <w:left w:val="none" w:sz="0" w:space="0" w:color="auto"/>
        <w:bottom w:val="none" w:sz="0" w:space="0" w:color="auto"/>
        <w:right w:val="none" w:sz="0" w:space="0" w:color="auto"/>
      </w:divBdr>
    </w:div>
    <w:div w:id="989215258">
      <w:bodyDiv w:val="1"/>
      <w:marLeft w:val="0"/>
      <w:marRight w:val="0"/>
      <w:marTop w:val="0"/>
      <w:marBottom w:val="0"/>
      <w:divBdr>
        <w:top w:val="none" w:sz="0" w:space="0" w:color="auto"/>
        <w:left w:val="none" w:sz="0" w:space="0" w:color="auto"/>
        <w:bottom w:val="none" w:sz="0" w:space="0" w:color="auto"/>
        <w:right w:val="none" w:sz="0" w:space="0" w:color="auto"/>
      </w:divBdr>
    </w:div>
    <w:div w:id="1013655576">
      <w:bodyDiv w:val="1"/>
      <w:marLeft w:val="0"/>
      <w:marRight w:val="0"/>
      <w:marTop w:val="0"/>
      <w:marBottom w:val="0"/>
      <w:divBdr>
        <w:top w:val="none" w:sz="0" w:space="0" w:color="auto"/>
        <w:left w:val="none" w:sz="0" w:space="0" w:color="auto"/>
        <w:bottom w:val="none" w:sz="0" w:space="0" w:color="auto"/>
        <w:right w:val="none" w:sz="0" w:space="0" w:color="auto"/>
      </w:divBdr>
      <w:divsChild>
        <w:div w:id="1641882875">
          <w:marLeft w:val="0"/>
          <w:marRight w:val="0"/>
          <w:marTop w:val="0"/>
          <w:marBottom w:val="0"/>
          <w:divBdr>
            <w:top w:val="none" w:sz="0" w:space="0" w:color="auto"/>
            <w:left w:val="none" w:sz="0" w:space="0" w:color="auto"/>
            <w:bottom w:val="none" w:sz="0" w:space="0" w:color="auto"/>
            <w:right w:val="none" w:sz="0" w:space="0" w:color="auto"/>
          </w:divBdr>
          <w:divsChild>
            <w:div w:id="935550945">
              <w:marLeft w:val="0"/>
              <w:marRight w:val="0"/>
              <w:marTop w:val="0"/>
              <w:marBottom w:val="0"/>
              <w:divBdr>
                <w:top w:val="none" w:sz="0" w:space="0" w:color="auto"/>
                <w:left w:val="none" w:sz="0" w:space="0" w:color="auto"/>
                <w:bottom w:val="none" w:sz="0" w:space="0" w:color="auto"/>
                <w:right w:val="none" w:sz="0" w:space="0" w:color="auto"/>
              </w:divBdr>
              <w:divsChild>
                <w:div w:id="1100763623">
                  <w:marLeft w:val="0"/>
                  <w:marRight w:val="0"/>
                  <w:marTop w:val="0"/>
                  <w:marBottom w:val="0"/>
                  <w:divBdr>
                    <w:top w:val="none" w:sz="0" w:space="0" w:color="auto"/>
                    <w:left w:val="none" w:sz="0" w:space="0" w:color="auto"/>
                    <w:bottom w:val="none" w:sz="0" w:space="0" w:color="auto"/>
                    <w:right w:val="none" w:sz="0" w:space="0" w:color="auto"/>
                  </w:divBdr>
                  <w:divsChild>
                    <w:div w:id="575746607">
                      <w:marLeft w:val="0"/>
                      <w:marRight w:val="0"/>
                      <w:marTop w:val="0"/>
                      <w:marBottom w:val="0"/>
                      <w:divBdr>
                        <w:top w:val="none" w:sz="0" w:space="0" w:color="auto"/>
                        <w:left w:val="none" w:sz="0" w:space="0" w:color="auto"/>
                        <w:bottom w:val="none" w:sz="0" w:space="0" w:color="auto"/>
                        <w:right w:val="none" w:sz="0" w:space="0" w:color="auto"/>
                      </w:divBdr>
                      <w:divsChild>
                        <w:div w:id="511796489">
                          <w:marLeft w:val="0"/>
                          <w:marRight w:val="0"/>
                          <w:marTop w:val="0"/>
                          <w:marBottom w:val="0"/>
                          <w:divBdr>
                            <w:top w:val="none" w:sz="0" w:space="0" w:color="auto"/>
                            <w:left w:val="none" w:sz="0" w:space="0" w:color="auto"/>
                            <w:bottom w:val="none" w:sz="0" w:space="0" w:color="auto"/>
                            <w:right w:val="none" w:sz="0" w:space="0" w:color="auto"/>
                          </w:divBdr>
                          <w:divsChild>
                            <w:div w:id="1309433076">
                              <w:marLeft w:val="0"/>
                              <w:marRight w:val="0"/>
                              <w:marTop w:val="0"/>
                              <w:marBottom w:val="0"/>
                              <w:divBdr>
                                <w:top w:val="none" w:sz="0" w:space="0" w:color="auto"/>
                                <w:left w:val="none" w:sz="0" w:space="0" w:color="auto"/>
                                <w:bottom w:val="none" w:sz="0" w:space="0" w:color="auto"/>
                                <w:right w:val="none" w:sz="0" w:space="0" w:color="auto"/>
                              </w:divBdr>
                              <w:divsChild>
                                <w:div w:id="167445613">
                                  <w:marLeft w:val="0"/>
                                  <w:marRight w:val="0"/>
                                  <w:marTop w:val="0"/>
                                  <w:marBottom w:val="0"/>
                                  <w:divBdr>
                                    <w:top w:val="none" w:sz="0" w:space="0" w:color="auto"/>
                                    <w:left w:val="none" w:sz="0" w:space="0" w:color="auto"/>
                                    <w:bottom w:val="none" w:sz="0" w:space="0" w:color="auto"/>
                                    <w:right w:val="none" w:sz="0" w:space="0" w:color="auto"/>
                                  </w:divBdr>
                                  <w:divsChild>
                                    <w:div w:id="154868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9085746">
      <w:bodyDiv w:val="1"/>
      <w:marLeft w:val="0"/>
      <w:marRight w:val="0"/>
      <w:marTop w:val="0"/>
      <w:marBottom w:val="0"/>
      <w:divBdr>
        <w:top w:val="none" w:sz="0" w:space="0" w:color="auto"/>
        <w:left w:val="none" w:sz="0" w:space="0" w:color="auto"/>
        <w:bottom w:val="none" w:sz="0" w:space="0" w:color="auto"/>
        <w:right w:val="none" w:sz="0" w:space="0" w:color="auto"/>
      </w:divBdr>
    </w:div>
    <w:div w:id="1052846607">
      <w:bodyDiv w:val="1"/>
      <w:marLeft w:val="0"/>
      <w:marRight w:val="0"/>
      <w:marTop w:val="0"/>
      <w:marBottom w:val="0"/>
      <w:divBdr>
        <w:top w:val="none" w:sz="0" w:space="0" w:color="auto"/>
        <w:left w:val="none" w:sz="0" w:space="0" w:color="auto"/>
        <w:bottom w:val="none" w:sz="0" w:space="0" w:color="auto"/>
        <w:right w:val="none" w:sz="0" w:space="0" w:color="auto"/>
      </w:divBdr>
    </w:div>
    <w:div w:id="1056510013">
      <w:bodyDiv w:val="1"/>
      <w:marLeft w:val="0"/>
      <w:marRight w:val="0"/>
      <w:marTop w:val="0"/>
      <w:marBottom w:val="0"/>
      <w:divBdr>
        <w:top w:val="none" w:sz="0" w:space="0" w:color="auto"/>
        <w:left w:val="none" w:sz="0" w:space="0" w:color="auto"/>
        <w:bottom w:val="none" w:sz="0" w:space="0" w:color="auto"/>
        <w:right w:val="none" w:sz="0" w:space="0" w:color="auto"/>
      </w:divBdr>
    </w:div>
    <w:div w:id="1060716010">
      <w:bodyDiv w:val="1"/>
      <w:marLeft w:val="0"/>
      <w:marRight w:val="0"/>
      <w:marTop w:val="0"/>
      <w:marBottom w:val="0"/>
      <w:divBdr>
        <w:top w:val="none" w:sz="0" w:space="0" w:color="auto"/>
        <w:left w:val="none" w:sz="0" w:space="0" w:color="auto"/>
        <w:bottom w:val="none" w:sz="0" w:space="0" w:color="auto"/>
        <w:right w:val="none" w:sz="0" w:space="0" w:color="auto"/>
      </w:divBdr>
    </w:div>
    <w:div w:id="1109277275">
      <w:bodyDiv w:val="1"/>
      <w:marLeft w:val="0"/>
      <w:marRight w:val="0"/>
      <w:marTop w:val="0"/>
      <w:marBottom w:val="0"/>
      <w:divBdr>
        <w:top w:val="none" w:sz="0" w:space="0" w:color="auto"/>
        <w:left w:val="none" w:sz="0" w:space="0" w:color="auto"/>
        <w:bottom w:val="none" w:sz="0" w:space="0" w:color="auto"/>
        <w:right w:val="none" w:sz="0" w:space="0" w:color="auto"/>
      </w:divBdr>
    </w:div>
    <w:div w:id="1150825878">
      <w:bodyDiv w:val="1"/>
      <w:marLeft w:val="0"/>
      <w:marRight w:val="0"/>
      <w:marTop w:val="0"/>
      <w:marBottom w:val="0"/>
      <w:divBdr>
        <w:top w:val="none" w:sz="0" w:space="0" w:color="auto"/>
        <w:left w:val="none" w:sz="0" w:space="0" w:color="auto"/>
        <w:bottom w:val="none" w:sz="0" w:space="0" w:color="auto"/>
        <w:right w:val="none" w:sz="0" w:space="0" w:color="auto"/>
      </w:divBdr>
    </w:div>
    <w:div w:id="1242064167">
      <w:bodyDiv w:val="1"/>
      <w:marLeft w:val="0"/>
      <w:marRight w:val="0"/>
      <w:marTop w:val="0"/>
      <w:marBottom w:val="0"/>
      <w:divBdr>
        <w:top w:val="none" w:sz="0" w:space="0" w:color="auto"/>
        <w:left w:val="none" w:sz="0" w:space="0" w:color="auto"/>
        <w:bottom w:val="none" w:sz="0" w:space="0" w:color="auto"/>
        <w:right w:val="none" w:sz="0" w:space="0" w:color="auto"/>
      </w:divBdr>
    </w:div>
    <w:div w:id="1255431583">
      <w:bodyDiv w:val="1"/>
      <w:marLeft w:val="0"/>
      <w:marRight w:val="0"/>
      <w:marTop w:val="0"/>
      <w:marBottom w:val="0"/>
      <w:divBdr>
        <w:top w:val="none" w:sz="0" w:space="0" w:color="auto"/>
        <w:left w:val="none" w:sz="0" w:space="0" w:color="auto"/>
        <w:bottom w:val="none" w:sz="0" w:space="0" w:color="auto"/>
        <w:right w:val="none" w:sz="0" w:space="0" w:color="auto"/>
      </w:divBdr>
    </w:div>
    <w:div w:id="1260286406">
      <w:bodyDiv w:val="1"/>
      <w:marLeft w:val="0"/>
      <w:marRight w:val="0"/>
      <w:marTop w:val="0"/>
      <w:marBottom w:val="0"/>
      <w:divBdr>
        <w:top w:val="none" w:sz="0" w:space="0" w:color="auto"/>
        <w:left w:val="none" w:sz="0" w:space="0" w:color="auto"/>
        <w:bottom w:val="none" w:sz="0" w:space="0" w:color="auto"/>
        <w:right w:val="none" w:sz="0" w:space="0" w:color="auto"/>
      </w:divBdr>
    </w:div>
    <w:div w:id="1286304050">
      <w:bodyDiv w:val="1"/>
      <w:marLeft w:val="0"/>
      <w:marRight w:val="0"/>
      <w:marTop w:val="0"/>
      <w:marBottom w:val="0"/>
      <w:divBdr>
        <w:top w:val="none" w:sz="0" w:space="0" w:color="auto"/>
        <w:left w:val="none" w:sz="0" w:space="0" w:color="auto"/>
        <w:bottom w:val="none" w:sz="0" w:space="0" w:color="auto"/>
        <w:right w:val="none" w:sz="0" w:space="0" w:color="auto"/>
      </w:divBdr>
    </w:div>
    <w:div w:id="1300378928">
      <w:bodyDiv w:val="1"/>
      <w:marLeft w:val="0"/>
      <w:marRight w:val="0"/>
      <w:marTop w:val="0"/>
      <w:marBottom w:val="0"/>
      <w:divBdr>
        <w:top w:val="none" w:sz="0" w:space="0" w:color="auto"/>
        <w:left w:val="none" w:sz="0" w:space="0" w:color="auto"/>
        <w:bottom w:val="none" w:sz="0" w:space="0" w:color="auto"/>
        <w:right w:val="none" w:sz="0" w:space="0" w:color="auto"/>
      </w:divBdr>
    </w:div>
    <w:div w:id="1340621578">
      <w:bodyDiv w:val="1"/>
      <w:marLeft w:val="0"/>
      <w:marRight w:val="0"/>
      <w:marTop w:val="0"/>
      <w:marBottom w:val="0"/>
      <w:divBdr>
        <w:top w:val="none" w:sz="0" w:space="0" w:color="auto"/>
        <w:left w:val="none" w:sz="0" w:space="0" w:color="auto"/>
        <w:bottom w:val="none" w:sz="0" w:space="0" w:color="auto"/>
        <w:right w:val="none" w:sz="0" w:space="0" w:color="auto"/>
      </w:divBdr>
    </w:div>
    <w:div w:id="1356544759">
      <w:bodyDiv w:val="1"/>
      <w:marLeft w:val="0"/>
      <w:marRight w:val="0"/>
      <w:marTop w:val="0"/>
      <w:marBottom w:val="0"/>
      <w:divBdr>
        <w:top w:val="none" w:sz="0" w:space="0" w:color="auto"/>
        <w:left w:val="none" w:sz="0" w:space="0" w:color="auto"/>
        <w:bottom w:val="none" w:sz="0" w:space="0" w:color="auto"/>
        <w:right w:val="none" w:sz="0" w:space="0" w:color="auto"/>
      </w:divBdr>
    </w:div>
    <w:div w:id="1359237971">
      <w:bodyDiv w:val="1"/>
      <w:marLeft w:val="0"/>
      <w:marRight w:val="0"/>
      <w:marTop w:val="0"/>
      <w:marBottom w:val="0"/>
      <w:divBdr>
        <w:top w:val="none" w:sz="0" w:space="0" w:color="auto"/>
        <w:left w:val="none" w:sz="0" w:space="0" w:color="auto"/>
        <w:bottom w:val="none" w:sz="0" w:space="0" w:color="auto"/>
        <w:right w:val="none" w:sz="0" w:space="0" w:color="auto"/>
      </w:divBdr>
    </w:div>
    <w:div w:id="1359624756">
      <w:bodyDiv w:val="1"/>
      <w:marLeft w:val="0"/>
      <w:marRight w:val="0"/>
      <w:marTop w:val="0"/>
      <w:marBottom w:val="0"/>
      <w:divBdr>
        <w:top w:val="none" w:sz="0" w:space="0" w:color="auto"/>
        <w:left w:val="none" w:sz="0" w:space="0" w:color="auto"/>
        <w:bottom w:val="none" w:sz="0" w:space="0" w:color="auto"/>
        <w:right w:val="none" w:sz="0" w:space="0" w:color="auto"/>
      </w:divBdr>
    </w:div>
    <w:div w:id="1397169672">
      <w:bodyDiv w:val="1"/>
      <w:marLeft w:val="0"/>
      <w:marRight w:val="0"/>
      <w:marTop w:val="0"/>
      <w:marBottom w:val="0"/>
      <w:divBdr>
        <w:top w:val="none" w:sz="0" w:space="0" w:color="auto"/>
        <w:left w:val="none" w:sz="0" w:space="0" w:color="auto"/>
        <w:bottom w:val="none" w:sz="0" w:space="0" w:color="auto"/>
        <w:right w:val="none" w:sz="0" w:space="0" w:color="auto"/>
      </w:divBdr>
    </w:div>
    <w:div w:id="1399549849">
      <w:bodyDiv w:val="1"/>
      <w:marLeft w:val="0"/>
      <w:marRight w:val="0"/>
      <w:marTop w:val="0"/>
      <w:marBottom w:val="0"/>
      <w:divBdr>
        <w:top w:val="none" w:sz="0" w:space="0" w:color="auto"/>
        <w:left w:val="none" w:sz="0" w:space="0" w:color="auto"/>
        <w:bottom w:val="none" w:sz="0" w:space="0" w:color="auto"/>
        <w:right w:val="none" w:sz="0" w:space="0" w:color="auto"/>
      </w:divBdr>
    </w:div>
    <w:div w:id="1422992140">
      <w:bodyDiv w:val="1"/>
      <w:marLeft w:val="0"/>
      <w:marRight w:val="0"/>
      <w:marTop w:val="0"/>
      <w:marBottom w:val="0"/>
      <w:divBdr>
        <w:top w:val="none" w:sz="0" w:space="0" w:color="auto"/>
        <w:left w:val="none" w:sz="0" w:space="0" w:color="auto"/>
        <w:bottom w:val="none" w:sz="0" w:space="0" w:color="auto"/>
        <w:right w:val="none" w:sz="0" w:space="0" w:color="auto"/>
      </w:divBdr>
    </w:div>
    <w:div w:id="1425764179">
      <w:bodyDiv w:val="1"/>
      <w:marLeft w:val="0"/>
      <w:marRight w:val="0"/>
      <w:marTop w:val="0"/>
      <w:marBottom w:val="0"/>
      <w:divBdr>
        <w:top w:val="none" w:sz="0" w:space="0" w:color="auto"/>
        <w:left w:val="none" w:sz="0" w:space="0" w:color="auto"/>
        <w:bottom w:val="none" w:sz="0" w:space="0" w:color="auto"/>
        <w:right w:val="none" w:sz="0" w:space="0" w:color="auto"/>
      </w:divBdr>
    </w:div>
    <w:div w:id="1463890359">
      <w:bodyDiv w:val="1"/>
      <w:marLeft w:val="0"/>
      <w:marRight w:val="0"/>
      <w:marTop w:val="0"/>
      <w:marBottom w:val="0"/>
      <w:divBdr>
        <w:top w:val="none" w:sz="0" w:space="0" w:color="auto"/>
        <w:left w:val="none" w:sz="0" w:space="0" w:color="auto"/>
        <w:bottom w:val="none" w:sz="0" w:space="0" w:color="auto"/>
        <w:right w:val="none" w:sz="0" w:space="0" w:color="auto"/>
      </w:divBdr>
    </w:div>
    <w:div w:id="1481655227">
      <w:bodyDiv w:val="1"/>
      <w:marLeft w:val="0"/>
      <w:marRight w:val="0"/>
      <w:marTop w:val="0"/>
      <w:marBottom w:val="0"/>
      <w:divBdr>
        <w:top w:val="none" w:sz="0" w:space="0" w:color="auto"/>
        <w:left w:val="none" w:sz="0" w:space="0" w:color="auto"/>
        <w:bottom w:val="none" w:sz="0" w:space="0" w:color="auto"/>
        <w:right w:val="none" w:sz="0" w:space="0" w:color="auto"/>
      </w:divBdr>
    </w:div>
    <w:div w:id="1495610359">
      <w:bodyDiv w:val="1"/>
      <w:marLeft w:val="0"/>
      <w:marRight w:val="0"/>
      <w:marTop w:val="0"/>
      <w:marBottom w:val="0"/>
      <w:divBdr>
        <w:top w:val="none" w:sz="0" w:space="0" w:color="auto"/>
        <w:left w:val="none" w:sz="0" w:space="0" w:color="auto"/>
        <w:bottom w:val="none" w:sz="0" w:space="0" w:color="auto"/>
        <w:right w:val="none" w:sz="0" w:space="0" w:color="auto"/>
      </w:divBdr>
    </w:div>
    <w:div w:id="1497111584">
      <w:bodyDiv w:val="1"/>
      <w:marLeft w:val="0"/>
      <w:marRight w:val="0"/>
      <w:marTop w:val="0"/>
      <w:marBottom w:val="0"/>
      <w:divBdr>
        <w:top w:val="none" w:sz="0" w:space="0" w:color="auto"/>
        <w:left w:val="none" w:sz="0" w:space="0" w:color="auto"/>
        <w:bottom w:val="none" w:sz="0" w:space="0" w:color="auto"/>
        <w:right w:val="none" w:sz="0" w:space="0" w:color="auto"/>
      </w:divBdr>
    </w:div>
    <w:div w:id="1519126129">
      <w:bodyDiv w:val="1"/>
      <w:marLeft w:val="0"/>
      <w:marRight w:val="0"/>
      <w:marTop w:val="0"/>
      <w:marBottom w:val="0"/>
      <w:divBdr>
        <w:top w:val="none" w:sz="0" w:space="0" w:color="auto"/>
        <w:left w:val="none" w:sz="0" w:space="0" w:color="auto"/>
        <w:bottom w:val="none" w:sz="0" w:space="0" w:color="auto"/>
        <w:right w:val="none" w:sz="0" w:space="0" w:color="auto"/>
      </w:divBdr>
    </w:div>
    <w:div w:id="1521317114">
      <w:bodyDiv w:val="1"/>
      <w:marLeft w:val="0"/>
      <w:marRight w:val="0"/>
      <w:marTop w:val="0"/>
      <w:marBottom w:val="0"/>
      <w:divBdr>
        <w:top w:val="none" w:sz="0" w:space="0" w:color="auto"/>
        <w:left w:val="none" w:sz="0" w:space="0" w:color="auto"/>
        <w:bottom w:val="none" w:sz="0" w:space="0" w:color="auto"/>
        <w:right w:val="none" w:sz="0" w:space="0" w:color="auto"/>
      </w:divBdr>
    </w:div>
    <w:div w:id="1527716919">
      <w:bodyDiv w:val="1"/>
      <w:marLeft w:val="0"/>
      <w:marRight w:val="0"/>
      <w:marTop w:val="0"/>
      <w:marBottom w:val="0"/>
      <w:divBdr>
        <w:top w:val="none" w:sz="0" w:space="0" w:color="auto"/>
        <w:left w:val="none" w:sz="0" w:space="0" w:color="auto"/>
        <w:bottom w:val="none" w:sz="0" w:space="0" w:color="auto"/>
        <w:right w:val="none" w:sz="0" w:space="0" w:color="auto"/>
      </w:divBdr>
    </w:div>
    <w:div w:id="1534490685">
      <w:bodyDiv w:val="1"/>
      <w:marLeft w:val="0"/>
      <w:marRight w:val="0"/>
      <w:marTop w:val="0"/>
      <w:marBottom w:val="0"/>
      <w:divBdr>
        <w:top w:val="none" w:sz="0" w:space="0" w:color="auto"/>
        <w:left w:val="none" w:sz="0" w:space="0" w:color="auto"/>
        <w:bottom w:val="none" w:sz="0" w:space="0" w:color="auto"/>
        <w:right w:val="none" w:sz="0" w:space="0" w:color="auto"/>
      </w:divBdr>
    </w:div>
    <w:div w:id="1539467037">
      <w:bodyDiv w:val="1"/>
      <w:marLeft w:val="0"/>
      <w:marRight w:val="0"/>
      <w:marTop w:val="0"/>
      <w:marBottom w:val="0"/>
      <w:divBdr>
        <w:top w:val="none" w:sz="0" w:space="0" w:color="auto"/>
        <w:left w:val="none" w:sz="0" w:space="0" w:color="auto"/>
        <w:bottom w:val="none" w:sz="0" w:space="0" w:color="auto"/>
        <w:right w:val="none" w:sz="0" w:space="0" w:color="auto"/>
      </w:divBdr>
    </w:div>
    <w:div w:id="1541816360">
      <w:bodyDiv w:val="1"/>
      <w:marLeft w:val="0"/>
      <w:marRight w:val="0"/>
      <w:marTop w:val="0"/>
      <w:marBottom w:val="0"/>
      <w:divBdr>
        <w:top w:val="none" w:sz="0" w:space="0" w:color="auto"/>
        <w:left w:val="none" w:sz="0" w:space="0" w:color="auto"/>
        <w:bottom w:val="none" w:sz="0" w:space="0" w:color="auto"/>
        <w:right w:val="none" w:sz="0" w:space="0" w:color="auto"/>
      </w:divBdr>
    </w:div>
    <w:div w:id="1544751981">
      <w:bodyDiv w:val="1"/>
      <w:marLeft w:val="0"/>
      <w:marRight w:val="0"/>
      <w:marTop w:val="0"/>
      <w:marBottom w:val="0"/>
      <w:divBdr>
        <w:top w:val="none" w:sz="0" w:space="0" w:color="auto"/>
        <w:left w:val="none" w:sz="0" w:space="0" w:color="auto"/>
        <w:bottom w:val="none" w:sz="0" w:space="0" w:color="auto"/>
        <w:right w:val="none" w:sz="0" w:space="0" w:color="auto"/>
      </w:divBdr>
    </w:div>
    <w:div w:id="1554582349">
      <w:bodyDiv w:val="1"/>
      <w:marLeft w:val="0"/>
      <w:marRight w:val="0"/>
      <w:marTop w:val="0"/>
      <w:marBottom w:val="0"/>
      <w:divBdr>
        <w:top w:val="none" w:sz="0" w:space="0" w:color="auto"/>
        <w:left w:val="none" w:sz="0" w:space="0" w:color="auto"/>
        <w:bottom w:val="none" w:sz="0" w:space="0" w:color="auto"/>
        <w:right w:val="none" w:sz="0" w:space="0" w:color="auto"/>
      </w:divBdr>
    </w:div>
    <w:div w:id="1579944328">
      <w:bodyDiv w:val="1"/>
      <w:marLeft w:val="0"/>
      <w:marRight w:val="0"/>
      <w:marTop w:val="0"/>
      <w:marBottom w:val="0"/>
      <w:divBdr>
        <w:top w:val="none" w:sz="0" w:space="0" w:color="auto"/>
        <w:left w:val="none" w:sz="0" w:space="0" w:color="auto"/>
        <w:bottom w:val="none" w:sz="0" w:space="0" w:color="auto"/>
        <w:right w:val="none" w:sz="0" w:space="0" w:color="auto"/>
      </w:divBdr>
    </w:div>
    <w:div w:id="1588659469">
      <w:bodyDiv w:val="1"/>
      <w:marLeft w:val="0"/>
      <w:marRight w:val="0"/>
      <w:marTop w:val="0"/>
      <w:marBottom w:val="0"/>
      <w:divBdr>
        <w:top w:val="none" w:sz="0" w:space="0" w:color="auto"/>
        <w:left w:val="none" w:sz="0" w:space="0" w:color="auto"/>
        <w:bottom w:val="none" w:sz="0" w:space="0" w:color="auto"/>
        <w:right w:val="none" w:sz="0" w:space="0" w:color="auto"/>
      </w:divBdr>
    </w:div>
    <w:div w:id="1594163700">
      <w:bodyDiv w:val="1"/>
      <w:marLeft w:val="0"/>
      <w:marRight w:val="0"/>
      <w:marTop w:val="0"/>
      <w:marBottom w:val="0"/>
      <w:divBdr>
        <w:top w:val="none" w:sz="0" w:space="0" w:color="auto"/>
        <w:left w:val="none" w:sz="0" w:space="0" w:color="auto"/>
        <w:bottom w:val="none" w:sz="0" w:space="0" w:color="auto"/>
        <w:right w:val="none" w:sz="0" w:space="0" w:color="auto"/>
      </w:divBdr>
    </w:div>
    <w:div w:id="1596472552">
      <w:bodyDiv w:val="1"/>
      <w:marLeft w:val="0"/>
      <w:marRight w:val="0"/>
      <w:marTop w:val="0"/>
      <w:marBottom w:val="0"/>
      <w:divBdr>
        <w:top w:val="none" w:sz="0" w:space="0" w:color="auto"/>
        <w:left w:val="none" w:sz="0" w:space="0" w:color="auto"/>
        <w:bottom w:val="none" w:sz="0" w:space="0" w:color="auto"/>
        <w:right w:val="none" w:sz="0" w:space="0" w:color="auto"/>
      </w:divBdr>
    </w:div>
    <w:div w:id="1597860771">
      <w:bodyDiv w:val="1"/>
      <w:marLeft w:val="0"/>
      <w:marRight w:val="0"/>
      <w:marTop w:val="0"/>
      <w:marBottom w:val="0"/>
      <w:divBdr>
        <w:top w:val="none" w:sz="0" w:space="0" w:color="auto"/>
        <w:left w:val="none" w:sz="0" w:space="0" w:color="auto"/>
        <w:bottom w:val="none" w:sz="0" w:space="0" w:color="auto"/>
        <w:right w:val="none" w:sz="0" w:space="0" w:color="auto"/>
      </w:divBdr>
    </w:div>
    <w:div w:id="1605261193">
      <w:bodyDiv w:val="1"/>
      <w:marLeft w:val="0"/>
      <w:marRight w:val="0"/>
      <w:marTop w:val="0"/>
      <w:marBottom w:val="0"/>
      <w:divBdr>
        <w:top w:val="none" w:sz="0" w:space="0" w:color="auto"/>
        <w:left w:val="none" w:sz="0" w:space="0" w:color="auto"/>
        <w:bottom w:val="none" w:sz="0" w:space="0" w:color="auto"/>
        <w:right w:val="none" w:sz="0" w:space="0" w:color="auto"/>
      </w:divBdr>
    </w:div>
    <w:div w:id="1617131102">
      <w:bodyDiv w:val="1"/>
      <w:marLeft w:val="0"/>
      <w:marRight w:val="0"/>
      <w:marTop w:val="0"/>
      <w:marBottom w:val="0"/>
      <w:divBdr>
        <w:top w:val="none" w:sz="0" w:space="0" w:color="auto"/>
        <w:left w:val="none" w:sz="0" w:space="0" w:color="auto"/>
        <w:bottom w:val="none" w:sz="0" w:space="0" w:color="auto"/>
        <w:right w:val="none" w:sz="0" w:space="0" w:color="auto"/>
      </w:divBdr>
    </w:div>
    <w:div w:id="1627351431">
      <w:bodyDiv w:val="1"/>
      <w:marLeft w:val="0"/>
      <w:marRight w:val="0"/>
      <w:marTop w:val="0"/>
      <w:marBottom w:val="0"/>
      <w:divBdr>
        <w:top w:val="none" w:sz="0" w:space="0" w:color="auto"/>
        <w:left w:val="none" w:sz="0" w:space="0" w:color="auto"/>
        <w:bottom w:val="none" w:sz="0" w:space="0" w:color="auto"/>
        <w:right w:val="none" w:sz="0" w:space="0" w:color="auto"/>
      </w:divBdr>
    </w:div>
    <w:div w:id="1635139365">
      <w:bodyDiv w:val="1"/>
      <w:marLeft w:val="0"/>
      <w:marRight w:val="0"/>
      <w:marTop w:val="0"/>
      <w:marBottom w:val="0"/>
      <w:divBdr>
        <w:top w:val="none" w:sz="0" w:space="0" w:color="auto"/>
        <w:left w:val="none" w:sz="0" w:space="0" w:color="auto"/>
        <w:bottom w:val="none" w:sz="0" w:space="0" w:color="auto"/>
        <w:right w:val="none" w:sz="0" w:space="0" w:color="auto"/>
      </w:divBdr>
    </w:div>
    <w:div w:id="1650745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0986">
          <w:marLeft w:val="0"/>
          <w:marRight w:val="0"/>
          <w:marTop w:val="0"/>
          <w:marBottom w:val="0"/>
          <w:divBdr>
            <w:top w:val="none" w:sz="0" w:space="0" w:color="auto"/>
            <w:left w:val="none" w:sz="0" w:space="0" w:color="auto"/>
            <w:bottom w:val="none" w:sz="0" w:space="0" w:color="auto"/>
            <w:right w:val="none" w:sz="0" w:space="0" w:color="auto"/>
          </w:divBdr>
          <w:divsChild>
            <w:div w:id="1691836929">
              <w:marLeft w:val="0"/>
              <w:marRight w:val="0"/>
              <w:marTop w:val="0"/>
              <w:marBottom w:val="0"/>
              <w:divBdr>
                <w:top w:val="none" w:sz="0" w:space="0" w:color="auto"/>
                <w:left w:val="none" w:sz="0" w:space="0" w:color="auto"/>
                <w:bottom w:val="none" w:sz="0" w:space="0" w:color="auto"/>
                <w:right w:val="none" w:sz="0" w:space="0" w:color="auto"/>
              </w:divBdr>
              <w:divsChild>
                <w:div w:id="1473644167">
                  <w:marLeft w:val="0"/>
                  <w:marRight w:val="0"/>
                  <w:marTop w:val="0"/>
                  <w:marBottom w:val="0"/>
                  <w:divBdr>
                    <w:top w:val="none" w:sz="0" w:space="0" w:color="auto"/>
                    <w:left w:val="none" w:sz="0" w:space="0" w:color="auto"/>
                    <w:bottom w:val="none" w:sz="0" w:space="0" w:color="auto"/>
                    <w:right w:val="none" w:sz="0" w:space="0" w:color="auto"/>
                  </w:divBdr>
                  <w:divsChild>
                    <w:div w:id="886799711">
                      <w:marLeft w:val="0"/>
                      <w:marRight w:val="0"/>
                      <w:marTop w:val="0"/>
                      <w:marBottom w:val="0"/>
                      <w:divBdr>
                        <w:top w:val="none" w:sz="0" w:space="0" w:color="auto"/>
                        <w:left w:val="none" w:sz="0" w:space="0" w:color="auto"/>
                        <w:bottom w:val="none" w:sz="0" w:space="0" w:color="auto"/>
                        <w:right w:val="none" w:sz="0" w:space="0" w:color="auto"/>
                      </w:divBdr>
                      <w:divsChild>
                        <w:div w:id="268320146">
                          <w:marLeft w:val="0"/>
                          <w:marRight w:val="0"/>
                          <w:marTop w:val="0"/>
                          <w:marBottom w:val="0"/>
                          <w:divBdr>
                            <w:top w:val="none" w:sz="0" w:space="0" w:color="auto"/>
                            <w:left w:val="none" w:sz="0" w:space="0" w:color="auto"/>
                            <w:bottom w:val="none" w:sz="0" w:space="0" w:color="auto"/>
                            <w:right w:val="none" w:sz="0" w:space="0" w:color="auto"/>
                          </w:divBdr>
                          <w:divsChild>
                            <w:div w:id="319312041">
                              <w:marLeft w:val="0"/>
                              <w:marRight w:val="0"/>
                              <w:marTop w:val="0"/>
                              <w:marBottom w:val="0"/>
                              <w:divBdr>
                                <w:top w:val="none" w:sz="0" w:space="0" w:color="auto"/>
                                <w:left w:val="none" w:sz="0" w:space="0" w:color="auto"/>
                                <w:bottom w:val="none" w:sz="0" w:space="0" w:color="auto"/>
                                <w:right w:val="none" w:sz="0" w:space="0" w:color="auto"/>
                              </w:divBdr>
                              <w:divsChild>
                                <w:div w:id="900409721">
                                  <w:marLeft w:val="0"/>
                                  <w:marRight w:val="0"/>
                                  <w:marTop w:val="0"/>
                                  <w:marBottom w:val="0"/>
                                  <w:divBdr>
                                    <w:top w:val="none" w:sz="0" w:space="0" w:color="auto"/>
                                    <w:left w:val="none" w:sz="0" w:space="0" w:color="auto"/>
                                    <w:bottom w:val="none" w:sz="0" w:space="0" w:color="auto"/>
                                    <w:right w:val="none" w:sz="0" w:space="0" w:color="auto"/>
                                  </w:divBdr>
                                  <w:divsChild>
                                    <w:div w:id="4955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079459">
      <w:bodyDiv w:val="1"/>
      <w:marLeft w:val="0"/>
      <w:marRight w:val="0"/>
      <w:marTop w:val="0"/>
      <w:marBottom w:val="0"/>
      <w:divBdr>
        <w:top w:val="none" w:sz="0" w:space="0" w:color="auto"/>
        <w:left w:val="none" w:sz="0" w:space="0" w:color="auto"/>
        <w:bottom w:val="none" w:sz="0" w:space="0" w:color="auto"/>
        <w:right w:val="none" w:sz="0" w:space="0" w:color="auto"/>
      </w:divBdr>
    </w:div>
    <w:div w:id="1671636785">
      <w:bodyDiv w:val="1"/>
      <w:marLeft w:val="0"/>
      <w:marRight w:val="0"/>
      <w:marTop w:val="0"/>
      <w:marBottom w:val="0"/>
      <w:divBdr>
        <w:top w:val="none" w:sz="0" w:space="0" w:color="auto"/>
        <w:left w:val="none" w:sz="0" w:space="0" w:color="auto"/>
        <w:bottom w:val="none" w:sz="0" w:space="0" w:color="auto"/>
        <w:right w:val="none" w:sz="0" w:space="0" w:color="auto"/>
      </w:divBdr>
      <w:divsChild>
        <w:div w:id="913471112">
          <w:marLeft w:val="0"/>
          <w:marRight w:val="0"/>
          <w:marTop w:val="0"/>
          <w:marBottom w:val="0"/>
          <w:divBdr>
            <w:top w:val="none" w:sz="0" w:space="0" w:color="auto"/>
            <w:left w:val="none" w:sz="0" w:space="0" w:color="auto"/>
            <w:bottom w:val="none" w:sz="0" w:space="0" w:color="auto"/>
            <w:right w:val="none" w:sz="0" w:space="0" w:color="auto"/>
          </w:divBdr>
          <w:divsChild>
            <w:div w:id="1693991238">
              <w:marLeft w:val="0"/>
              <w:marRight w:val="0"/>
              <w:marTop w:val="0"/>
              <w:marBottom w:val="0"/>
              <w:divBdr>
                <w:top w:val="none" w:sz="0" w:space="0" w:color="auto"/>
                <w:left w:val="none" w:sz="0" w:space="0" w:color="auto"/>
                <w:bottom w:val="none" w:sz="0" w:space="0" w:color="auto"/>
                <w:right w:val="none" w:sz="0" w:space="0" w:color="auto"/>
              </w:divBdr>
              <w:divsChild>
                <w:div w:id="6713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51540">
      <w:bodyDiv w:val="1"/>
      <w:marLeft w:val="0"/>
      <w:marRight w:val="0"/>
      <w:marTop w:val="0"/>
      <w:marBottom w:val="0"/>
      <w:divBdr>
        <w:top w:val="none" w:sz="0" w:space="0" w:color="auto"/>
        <w:left w:val="none" w:sz="0" w:space="0" w:color="auto"/>
        <w:bottom w:val="none" w:sz="0" w:space="0" w:color="auto"/>
        <w:right w:val="none" w:sz="0" w:space="0" w:color="auto"/>
      </w:divBdr>
    </w:div>
    <w:div w:id="1719235724">
      <w:bodyDiv w:val="1"/>
      <w:marLeft w:val="0"/>
      <w:marRight w:val="0"/>
      <w:marTop w:val="0"/>
      <w:marBottom w:val="0"/>
      <w:divBdr>
        <w:top w:val="none" w:sz="0" w:space="0" w:color="auto"/>
        <w:left w:val="none" w:sz="0" w:space="0" w:color="auto"/>
        <w:bottom w:val="none" w:sz="0" w:space="0" w:color="auto"/>
        <w:right w:val="none" w:sz="0" w:space="0" w:color="auto"/>
      </w:divBdr>
    </w:div>
    <w:div w:id="1741903102">
      <w:bodyDiv w:val="1"/>
      <w:marLeft w:val="0"/>
      <w:marRight w:val="0"/>
      <w:marTop w:val="0"/>
      <w:marBottom w:val="0"/>
      <w:divBdr>
        <w:top w:val="none" w:sz="0" w:space="0" w:color="auto"/>
        <w:left w:val="none" w:sz="0" w:space="0" w:color="auto"/>
        <w:bottom w:val="none" w:sz="0" w:space="0" w:color="auto"/>
        <w:right w:val="none" w:sz="0" w:space="0" w:color="auto"/>
      </w:divBdr>
    </w:div>
    <w:div w:id="1752653634">
      <w:bodyDiv w:val="1"/>
      <w:marLeft w:val="0"/>
      <w:marRight w:val="0"/>
      <w:marTop w:val="0"/>
      <w:marBottom w:val="0"/>
      <w:divBdr>
        <w:top w:val="none" w:sz="0" w:space="0" w:color="auto"/>
        <w:left w:val="none" w:sz="0" w:space="0" w:color="auto"/>
        <w:bottom w:val="none" w:sz="0" w:space="0" w:color="auto"/>
        <w:right w:val="none" w:sz="0" w:space="0" w:color="auto"/>
      </w:divBdr>
    </w:div>
    <w:div w:id="1753354318">
      <w:bodyDiv w:val="1"/>
      <w:marLeft w:val="0"/>
      <w:marRight w:val="0"/>
      <w:marTop w:val="0"/>
      <w:marBottom w:val="0"/>
      <w:divBdr>
        <w:top w:val="none" w:sz="0" w:space="0" w:color="auto"/>
        <w:left w:val="none" w:sz="0" w:space="0" w:color="auto"/>
        <w:bottom w:val="none" w:sz="0" w:space="0" w:color="auto"/>
        <w:right w:val="none" w:sz="0" w:space="0" w:color="auto"/>
      </w:divBdr>
    </w:div>
    <w:div w:id="1758820825">
      <w:bodyDiv w:val="1"/>
      <w:marLeft w:val="0"/>
      <w:marRight w:val="0"/>
      <w:marTop w:val="0"/>
      <w:marBottom w:val="0"/>
      <w:divBdr>
        <w:top w:val="none" w:sz="0" w:space="0" w:color="auto"/>
        <w:left w:val="none" w:sz="0" w:space="0" w:color="auto"/>
        <w:bottom w:val="none" w:sz="0" w:space="0" w:color="auto"/>
        <w:right w:val="none" w:sz="0" w:space="0" w:color="auto"/>
      </w:divBdr>
    </w:div>
    <w:div w:id="1792241664">
      <w:bodyDiv w:val="1"/>
      <w:marLeft w:val="0"/>
      <w:marRight w:val="0"/>
      <w:marTop w:val="0"/>
      <w:marBottom w:val="0"/>
      <w:divBdr>
        <w:top w:val="none" w:sz="0" w:space="0" w:color="auto"/>
        <w:left w:val="none" w:sz="0" w:space="0" w:color="auto"/>
        <w:bottom w:val="none" w:sz="0" w:space="0" w:color="auto"/>
        <w:right w:val="none" w:sz="0" w:space="0" w:color="auto"/>
      </w:divBdr>
    </w:div>
    <w:div w:id="1792899531">
      <w:bodyDiv w:val="1"/>
      <w:marLeft w:val="0"/>
      <w:marRight w:val="0"/>
      <w:marTop w:val="0"/>
      <w:marBottom w:val="0"/>
      <w:divBdr>
        <w:top w:val="none" w:sz="0" w:space="0" w:color="auto"/>
        <w:left w:val="none" w:sz="0" w:space="0" w:color="auto"/>
        <w:bottom w:val="none" w:sz="0" w:space="0" w:color="auto"/>
        <w:right w:val="none" w:sz="0" w:space="0" w:color="auto"/>
      </w:divBdr>
    </w:div>
    <w:div w:id="1793674032">
      <w:bodyDiv w:val="1"/>
      <w:marLeft w:val="0"/>
      <w:marRight w:val="0"/>
      <w:marTop w:val="0"/>
      <w:marBottom w:val="0"/>
      <w:divBdr>
        <w:top w:val="none" w:sz="0" w:space="0" w:color="auto"/>
        <w:left w:val="none" w:sz="0" w:space="0" w:color="auto"/>
        <w:bottom w:val="none" w:sz="0" w:space="0" w:color="auto"/>
        <w:right w:val="none" w:sz="0" w:space="0" w:color="auto"/>
      </w:divBdr>
    </w:div>
    <w:div w:id="1811631477">
      <w:bodyDiv w:val="1"/>
      <w:marLeft w:val="0"/>
      <w:marRight w:val="0"/>
      <w:marTop w:val="0"/>
      <w:marBottom w:val="0"/>
      <w:divBdr>
        <w:top w:val="none" w:sz="0" w:space="0" w:color="auto"/>
        <w:left w:val="none" w:sz="0" w:space="0" w:color="auto"/>
        <w:bottom w:val="none" w:sz="0" w:space="0" w:color="auto"/>
        <w:right w:val="none" w:sz="0" w:space="0" w:color="auto"/>
      </w:divBdr>
    </w:div>
    <w:div w:id="1819346797">
      <w:bodyDiv w:val="1"/>
      <w:marLeft w:val="0"/>
      <w:marRight w:val="0"/>
      <w:marTop w:val="0"/>
      <w:marBottom w:val="0"/>
      <w:divBdr>
        <w:top w:val="none" w:sz="0" w:space="0" w:color="auto"/>
        <w:left w:val="none" w:sz="0" w:space="0" w:color="auto"/>
        <w:bottom w:val="none" w:sz="0" w:space="0" w:color="auto"/>
        <w:right w:val="none" w:sz="0" w:space="0" w:color="auto"/>
      </w:divBdr>
    </w:div>
    <w:div w:id="1827670152">
      <w:bodyDiv w:val="1"/>
      <w:marLeft w:val="0"/>
      <w:marRight w:val="0"/>
      <w:marTop w:val="0"/>
      <w:marBottom w:val="0"/>
      <w:divBdr>
        <w:top w:val="none" w:sz="0" w:space="0" w:color="auto"/>
        <w:left w:val="none" w:sz="0" w:space="0" w:color="auto"/>
        <w:bottom w:val="none" w:sz="0" w:space="0" w:color="auto"/>
        <w:right w:val="none" w:sz="0" w:space="0" w:color="auto"/>
      </w:divBdr>
    </w:div>
    <w:div w:id="1849982348">
      <w:bodyDiv w:val="1"/>
      <w:marLeft w:val="0"/>
      <w:marRight w:val="0"/>
      <w:marTop w:val="0"/>
      <w:marBottom w:val="0"/>
      <w:divBdr>
        <w:top w:val="none" w:sz="0" w:space="0" w:color="auto"/>
        <w:left w:val="none" w:sz="0" w:space="0" w:color="auto"/>
        <w:bottom w:val="none" w:sz="0" w:space="0" w:color="auto"/>
        <w:right w:val="none" w:sz="0" w:space="0" w:color="auto"/>
      </w:divBdr>
    </w:div>
    <w:div w:id="1851749743">
      <w:bodyDiv w:val="1"/>
      <w:marLeft w:val="0"/>
      <w:marRight w:val="0"/>
      <w:marTop w:val="0"/>
      <w:marBottom w:val="0"/>
      <w:divBdr>
        <w:top w:val="none" w:sz="0" w:space="0" w:color="auto"/>
        <w:left w:val="none" w:sz="0" w:space="0" w:color="auto"/>
        <w:bottom w:val="none" w:sz="0" w:space="0" w:color="auto"/>
        <w:right w:val="none" w:sz="0" w:space="0" w:color="auto"/>
      </w:divBdr>
    </w:div>
    <w:div w:id="1861577866">
      <w:bodyDiv w:val="1"/>
      <w:marLeft w:val="0"/>
      <w:marRight w:val="0"/>
      <w:marTop w:val="0"/>
      <w:marBottom w:val="0"/>
      <w:divBdr>
        <w:top w:val="none" w:sz="0" w:space="0" w:color="auto"/>
        <w:left w:val="none" w:sz="0" w:space="0" w:color="auto"/>
        <w:bottom w:val="none" w:sz="0" w:space="0" w:color="auto"/>
        <w:right w:val="none" w:sz="0" w:space="0" w:color="auto"/>
      </w:divBdr>
    </w:div>
    <w:div w:id="1863546287">
      <w:bodyDiv w:val="1"/>
      <w:marLeft w:val="0"/>
      <w:marRight w:val="0"/>
      <w:marTop w:val="0"/>
      <w:marBottom w:val="0"/>
      <w:divBdr>
        <w:top w:val="none" w:sz="0" w:space="0" w:color="auto"/>
        <w:left w:val="none" w:sz="0" w:space="0" w:color="auto"/>
        <w:bottom w:val="none" w:sz="0" w:space="0" w:color="auto"/>
        <w:right w:val="none" w:sz="0" w:space="0" w:color="auto"/>
      </w:divBdr>
      <w:divsChild>
        <w:div w:id="918639801">
          <w:marLeft w:val="0"/>
          <w:marRight w:val="0"/>
          <w:marTop w:val="0"/>
          <w:marBottom w:val="0"/>
          <w:divBdr>
            <w:top w:val="none" w:sz="0" w:space="0" w:color="auto"/>
            <w:left w:val="none" w:sz="0" w:space="0" w:color="auto"/>
            <w:bottom w:val="none" w:sz="0" w:space="0" w:color="auto"/>
            <w:right w:val="none" w:sz="0" w:space="0" w:color="auto"/>
          </w:divBdr>
          <w:divsChild>
            <w:div w:id="1859269216">
              <w:marLeft w:val="0"/>
              <w:marRight w:val="0"/>
              <w:marTop w:val="0"/>
              <w:marBottom w:val="0"/>
              <w:divBdr>
                <w:top w:val="none" w:sz="0" w:space="0" w:color="auto"/>
                <w:left w:val="none" w:sz="0" w:space="0" w:color="auto"/>
                <w:bottom w:val="none" w:sz="0" w:space="0" w:color="auto"/>
                <w:right w:val="none" w:sz="0" w:space="0" w:color="auto"/>
              </w:divBdr>
              <w:divsChild>
                <w:div w:id="206114229">
                  <w:marLeft w:val="0"/>
                  <w:marRight w:val="0"/>
                  <w:marTop w:val="0"/>
                  <w:marBottom w:val="0"/>
                  <w:divBdr>
                    <w:top w:val="none" w:sz="0" w:space="0" w:color="auto"/>
                    <w:left w:val="none" w:sz="0" w:space="0" w:color="auto"/>
                    <w:bottom w:val="none" w:sz="0" w:space="0" w:color="auto"/>
                    <w:right w:val="none" w:sz="0" w:space="0" w:color="auto"/>
                  </w:divBdr>
                  <w:divsChild>
                    <w:div w:id="1438522780">
                      <w:marLeft w:val="0"/>
                      <w:marRight w:val="0"/>
                      <w:marTop w:val="0"/>
                      <w:marBottom w:val="0"/>
                      <w:divBdr>
                        <w:top w:val="none" w:sz="0" w:space="0" w:color="auto"/>
                        <w:left w:val="none" w:sz="0" w:space="0" w:color="auto"/>
                        <w:bottom w:val="none" w:sz="0" w:space="0" w:color="auto"/>
                        <w:right w:val="none" w:sz="0" w:space="0" w:color="auto"/>
                      </w:divBdr>
                      <w:divsChild>
                        <w:div w:id="343409530">
                          <w:marLeft w:val="0"/>
                          <w:marRight w:val="0"/>
                          <w:marTop w:val="0"/>
                          <w:marBottom w:val="0"/>
                          <w:divBdr>
                            <w:top w:val="none" w:sz="0" w:space="0" w:color="auto"/>
                            <w:left w:val="none" w:sz="0" w:space="0" w:color="auto"/>
                            <w:bottom w:val="none" w:sz="0" w:space="0" w:color="auto"/>
                            <w:right w:val="none" w:sz="0" w:space="0" w:color="auto"/>
                          </w:divBdr>
                          <w:divsChild>
                            <w:div w:id="2020233149">
                              <w:marLeft w:val="0"/>
                              <w:marRight w:val="0"/>
                              <w:marTop w:val="0"/>
                              <w:marBottom w:val="0"/>
                              <w:divBdr>
                                <w:top w:val="none" w:sz="0" w:space="0" w:color="auto"/>
                                <w:left w:val="none" w:sz="0" w:space="0" w:color="auto"/>
                                <w:bottom w:val="none" w:sz="0" w:space="0" w:color="auto"/>
                                <w:right w:val="none" w:sz="0" w:space="0" w:color="auto"/>
                              </w:divBdr>
                              <w:divsChild>
                                <w:div w:id="754211396">
                                  <w:marLeft w:val="0"/>
                                  <w:marRight w:val="0"/>
                                  <w:marTop w:val="0"/>
                                  <w:marBottom w:val="0"/>
                                  <w:divBdr>
                                    <w:top w:val="none" w:sz="0" w:space="0" w:color="auto"/>
                                    <w:left w:val="none" w:sz="0" w:space="0" w:color="auto"/>
                                    <w:bottom w:val="none" w:sz="0" w:space="0" w:color="auto"/>
                                    <w:right w:val="none" w:sz="0" w:space="0" w:color="auto"/>
                                  </w:divBdr>
                                  <w:divsChild>
                                    <w:div w:id="180207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869816">
      <w:bodyDiv w:val="1"/>
      <w:marLeft w:val="0"/>
      <w:marRight w:val="0"/>
      <w:marTop w:val="0"/>
      <w:marBottom w:val="0"/>
      <w:divBdr>
        <w:top w:val="none" w:sz="0" w:space="0" w:color="auto"/>
        <w:left w:val="none" w:sz="0" w:space="0" w:color="auto"/>
        <w:bottom w:val="none" w:sz="0" w:space="0" w:color="auto"/>
        <w:right w:val="none" w:sz="0" w:space="0" w:color="auto"/>
      </w:divBdr>
    </w:div>
    <w:div w:id="1881235206">
      <w:bodyDiv w:val="1"/>
      <w:marLeft w:val="0"/>
      <w:marRight w:val="0"/>
      <w:marTop w:val="0"/>
      <w:marBottom w:val="0"/>
      <w:divBdr>
        <w:top w:val="none" w:sz="0" w:space="0" w:color="auto"/>
        <w:left w:val="none" w:sz="0" w:space="0" w:color="auto"/>
        <w:bottom w:val="none" w:sz="0" w:space="0" w:color="auto"/>
        <w:right w:val="none" w:sz="0" w:space="0" w:color="auto"/>
      </w:divBdr>
    </w:div>
    <w:div w:id="1896697946">
      <w:bodyDiv w:val="1"/>
      <w:marLeft w:val="0"/>
      <w:marRight w:val="0"/>
      <w:marTop w:val="0"/>
      <w:marBottom w:val="0"/>
      <w:divBdr>
        <w:top w:val="none" w:sz="0" w:space="0" w:color="auto"/>
        <w:left w:val="none" w:sz="0" w:space="0" w:color="auto"/>
        <w:bottom w:val="none" w:sz="0" w:space="0" w:color="auto"/>
        <w:right w:val="none" w:sz="0" w:space="0" w:color="auto"/>
      </w:divBdr>
    </w:div>
    <w:div w:id="1909876709">
      <w:bodyDiv w:val="1"/>
      <w:marLeft w:val="0"/>
      <w:marRight w:val="0"/>
      <w:marTop w:val="0"/>
      <w:marBottom w:val="0"/>
      <w:divBdr>
        <w:top w:val="none" w:sz="0" w:space="0" w:color="auto"/>
        <w:left w:val="none" w:sz="0" w:space="0" w:color="auto"/>
        <w:bottom w:val="none" w:sz="0" w:space="0" w:color="auto"/>
        <w:right w:val="none" w:sz="0" w:space="0" w:color="auto"/>
      </w:divBdr>
    </w:div>
    <w:div w:id="1911501100">
      <w:bodyDiv w:val="1"/>
      <w:marLeft w:val="0"/>
      <w:marRight w:val="0"/>
      <w:marTop w:val="0"/>
      <w:marBottom w:val="0"/>
      <w:divBdr>
        <w:top w:val="none" w:sz="0" w:space="0" w:color="auto"/>
        <w:left w:val="none" w:sz="0" w:space="0" w:color="auto"/>
        <w:bottom w:val="none" w:sz="0" w:space="0" w:color="auto"/>
        <w:right w:val="none" w:sz="0" w:space="0" w:color="auto"/>
      </w:divBdr>
    </w:div>
    <w:div w:id="1914001550">
      <w:bodyDiv w:val="1"/>
      <w:marLeft w:val="0"/>
      <w:marRight w:val="0"/>
      <w:marTop w:val="0"/>
      <w:marBottom w:val="0"/>
      <w:divBdr>
        <w:top w:val="none" w:sz="0" w:space="0" w:color="auto"/>
        <w:left w:val="none" w:sz="0" w:space="0" w:color="auto"/>
        <w:bottom w:val="none" w:sz="0" w:space="0" w:color="auto"/>
        <w:right w:val="none" w:sz="0" w:space="0" w:color="auto"/>
      </w:divBdr>
    </w:div>
    <w:div w:id="1915627159">
      <w:bodyDiv w:val="1"/>
      <w:marLeft w:val="0"/>
      <w:marRight w:val="0"/>
      <w:marTop w:val="0"/>
      <w:marBottom w:val="0"/>
      <w:divBdr>
        <w:top w:val="none" w:sz="0" w:space="0" w:color="auto"/>
        <w:left w:val="none" w:sz="0" w:space="0" w:color="auto"/>
        <w:bottom w:val="none" w:sz="0" w:space="0" w:color="auto"/>
        <w:right w:val="none" w:sz="0" w:space="0" w:color="auto"/>
      </w:divBdr>
      <w:divsChild>
        <w:div w:id="667943252">
          <w:marLeft w:val="0"/>
          <w:marRight w:val="0"/>
          <w:marTop w:val="0"/>
          <w:marBottom w:val="0"/>
          <w:divBdr>
            <w:top w:val="none" w:sz="0" w:space="0" w:color="auto"/>
            <w:left w:val="none" w:sz="0" w:space="0" w:color="auto"/>
            <w:bottom w:val="none" w:sz="0" w:space="0" w:color="auto"/>
            <w:right w:val="none" w:sz="0" w:space="0" w:color="auto"/>
          </w:divBdr>
          <w:divsChild>
            <w:div w:id="213536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10724">
      <w:bodyDiv w:val="1"/>
      <w:marLeft w:val="0"/>
      <w:marRight w:val="0"/>
      <w:marTop w:val="0"/>
      <w:marBottom w:val="0"/>
      <w:divBdr>
        <w:top w:val="none" w:sz="0" w:space="0" w:color="auto"/>
        <w:left w:val="none" w:sz="0" w:space="0" w:color="auto"/>
        <w:bottom w:val="none" w:sz="0" w:space="0" w:color="auto"/>
        <w:right w:val="none" w:sz="0" w:space="0" w:color="auto"/>
      </w:divBdr>
    </w:div>
    <w:div w:id="1924219148">
      <w:bodyDiv w:val="1"/>
      <w:marLeft w:val="0"/>
      <w:marRight w:val="0"/>
      <w:marTop w:val="0"/>
      <w:marBottom w:val="0"/>
      <w:divBdr>
        <w:top w:val="none" w:sz="0" w:space="0" w:color="auto"/>
        <w:left w:val="none" w:sz="0" w:space="0" w:color="auto"/>
        <w:bottom w:val="none" w:sz="0" w:space="0" w:color="auto"/>
        <w:right w:val="none" w:sz="0" w:space="0" w:color="auto"/>
      </w:divBdr>
      <w:divsChild>
        <w:div w:id="173612384">
          <w:marLeft w:val="0"/>
          <w:marRight w:val="0"/>
          <w:marTop w:val="0"/>
          <w:marBottom w:val="0"/>
          <w:divBdr>
            <w:top w:val="none" w:sz="0" w:space="0" w:color="auto"/>
            <w:left w:val="none" w:sz="0" w:space="0" w:color="auto"/>
            <w:bottom w:val="none" w:sz="0" w:space="0" w:color="auto"/>
            <w:right w:val="none" w:sz="0" w:space="0" w:color="auto"/>
          </w:divBdr>
          <w:divsChild>
            <w:div w:id="12845496">
              <w:marLeft w:val="0"/>
              <w:marRight w:val="0"/>
              <w:marTop w:val="0"/>
              <w:marBottom w:val="0"/>
              <w:divBdr>
                <w:top w:val="none" w:sz="0" w:space="0" w:color="auto"/>
                <w:left w:val="none" w:sz="0" w:space="0" w:color="auto"/>
                <w:bottom w:val="none" w:sz="0" w:space="0" w:color="auto"/>
                <w:right w:val="none" w:sz="0" w:space="0" w:color="auto"/>
              </w:divBdr>
              <w:divsChild>
                <w:div w:id="633213149">
                  <w:marLeft w:val="0"/>
                  <w:marRight w:val="0"/>
                  <w:marTop w:val="0"/>
                  <w:marBottom w:val="0"/>
                  <w:divBdr>
                    <w:top w:val="none" w:sz="0" w:space="0" w:color="auto"/>
                    <w:left w:val="none" w:sz="0" w:space="0" w:color="auto"/>
                    <w:bottom w:val="none" w:sz="0" w:space="0" w:color="auto"/>
                    <w:right w:val="none" w:sz="0" w:space="0" w:color="auto"/>
                  </w:divBdr>
                  <w:divsChild>
                    <w:div w:id="1687555811">
                      <w:marLeft w:val="0"/>
                      <w:marRight w:val="0"/>
                      <w:marTop w:val="0"/>
                      <w:marBottom w:val="0"/>
                      <w:divBdr>
                        <w:top w:val="none" w:sz="0" w:space="0" w:color="auto"/>
                        <w:left w:val="none" w:sz="0" w:space="0" w:color="auto"/>
                        <w:bottom w:val="none" w:sz="0" w:space="0" w:color="auto"/>
                        <w:right w:val="none" w:sz="0" w:space="0" w:color="auto"/>
                      </w:divBdr>
                      <w:divsChild>
                        <w:div w:id="235433511">
                          <w:marLeft w:val="0"/>
                          <w:marRight w:val="0"/>
                          <w:marTop w:val="0"/>
                          <w:marBottom w:val="0"/>
                          <w:divBdr>
                            <w:top w:val="none" w:sz="0" w:space="0" w:color="auto"/>
                            <w:left w:val="none" w:sz="0" w:space="0" w:color="auto"/>
                            <w:bottom w:val="none" w:sz="0" w:space="0" w:color="auto"/>
                            <w:right w:val="none" w:sz="0" w:space="0" w:color="auto"/>
                          </w:divBdr>
                          <w:divsChild>
                            <w:div w:id="2095544786">
                              <w:marLeft w:val="0"/>
                              <w:marRight w:val="0"/>
                              <w:marTop w:val="0"/>
                              <w:marBottom w:val="0"/>
                              <w:divBdr>
                                <w:top w:val="none" w:sz="0" w:space="0" w:color="auto"/>
                                <w:left w:val="none" w:sz="0" w:space="0" w:color="auto"/>
                                <w:bottom w:val="none" w:sz="0" w:space="0" w:color="auto"/>
                                <w:right w:val="none" w:sz="0" w:space="0" w:color="auto"/>
                              </w:divBdr>
                              <w:divsChild>
                                <w:div w:id="2014799562">
                                  <w:marLeft w:val="0"/>
                                  <w:marRight w:val="0"/>
                                  <w:marTop w:val="0"/>
                                  <w:marBottom w:val="0"/>
                                  <w:divBdr>
                                    <w:top w:val="none" w:sz="0" w:space="0" w:color="auto"/>
                                    <w:left w:val="none" w:sz="0" w:space="0" w:color="auto"/>
                                    <w:bottom w:val="none" w:sz="0" w:space="0" w:color="auto"/>
                                    <w:right w:val="none" w:sz="0" w:space="0" w:color="auto"/>
                                  </w:divBdr>
                                  <w:divsChild>
                                    <w:div w:id="120495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5626671">
      <w:bodyDiv w:val="1"/>
      <w:marLeft w:val="0"/>
      <w:marRight w:val="0"/>
      <w:marTop w:val="0"/>
      <w:marBottom w:val="0"/>
      <w:divBdr>
        <w:top w:val="none" w:sz="0" w:space="0" w:color="auto"/>
        <w:left w:val="none" w:sz="0" w:space="0" w:color="auto"/>
        <w:bottom w:val="none" w:sz="0" w:space="0" w:color="auto"/>
        <w:right w:val="none" w:sz="0" w:space="0" w:color="auto"/>
      </w:divBdr>
      <w:divsChild>
        <w:div w:id="1785731714">
          <w:marLeft w:val="0"/>
          <w:marRight w:val="0"/>
          <w:marTop w:val="0"/>
          <w:marBottom w:val="0"/>
          <w:divBdr>
            <w:top w:val="none" w:sz="0" w:space="0" w:color="auto"/>
            <w:left w:val="none" w:sz="0" w:space="0" w:color="auto"/>
            <w:bottom w:val="none" w:sz="0" w:space="0" w:color="auto"/>
            <w:right w:val="none" w:sz="0" w:space="0" w:color="auto"/>
          </w:divBdr>
          <w:divsChild>
            <w:div w:id="39794388">
              <w:marLeft w:val="0"/>
              <w:marRight w:val="0"/>
              <w:marTop w:val="0"/>
              <w:marBottom w:val="0"/>
              <w:divBdr>
                <w:top w:val="none" w:sz="0" w:space="0" w:color="auto"/>
                <w:left w:val="none" w:sz="0" w:space="0" w:color="auto"/>
                <w:bottom w:val="none" w:sz="0" w:space="0" w:color="auto"/>
                <w:right w:val="none" w:sz="0" w:space="0" w:color="auto"/>
              </w:divBdr>
              <w:divsChild>
                <w:div w:id="7825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92145">
      <w:bodyDiv w:val="1"/>
      <w:marLeft w:val="0"/>
      <w:marRight w:val="0"/>
      <w:marTop w:val="0"/>
      <w:marBottom w:val="0"/>
      <w:divBdr>
        <w:top w:val="none" w:sz="0" w:space="0" w:color="auto"/>
        <w:left w:val="none" w:sz="0" w:space="0" w:color="auto"/>
        <w:bottom w:val="none" w:sz="0" w:space="0" w:color="auto"/>
        <w:right w:val="none" w:sz="0" w:space="0" w:color="auto"/>
      </w:divBdr>
    </w:div>
    <w:div w:id="2004770446">
      <w:bodyDiv w:val="1"/>
      <w:marLeft w:val="0"/>
      <w:marRight w:val="0"/>
      <w:marTop w:val="0"/>
      <w:marBottom w:val="0"/>
      <w:divBdr>
        <w:top w:val="none" w:sz="0" w:space="0" w:color="auto"/>
        <w:left w:val="none" w:sz="0" w:space="0" w:color="auto"/>
        <w:bottom w:val="none" w:sz="0" w:space="0" w:color="auto"/>
        <w:right w:val="none" w:sz="0" w:space="0" w:color="auto"/>
      </w:divBdr>
      <w:divsChild>
        <w:div w:id="1021083583">
          <w:marLeft w:val="0"/>
          <w:marRight w:val="0"/>
          <w:marTop w:val="0"/>
          <w:marBottom w:val="0"/>
          <w:divBdr>
            <w:top w:val="none" w:sz="0" w:space="0" w:color="auto"/>
            <w:left w:val="none" w:sz="0" w:space="0" w:color="auto"/>
            <w:bottom w:val="none" w:sz="0" w:space="0" w:color="auto"/>
            <w:right w:val="none" w:sz="0" w:space="0" w:color="auto"/>
          </w:divBdr>
          <w:divsChild>
            <w:div w:id="2139226290">
              <w:marLeft w:val="0"/>
              <w:marRight w:val="0"/>
              <w:marTop w:val="0"/>
              <w:marBottom w:val="0"/>
              <w:divBdr>
                <w:top w:val="none" w:sz="0" w:space="0" w:color="auto"/>
                <w:left w:val="none" w:sz="0" w:space="0" w:color="auto"/>
                <w:bottom w:val="none" w:sz="0" w:space="0" w:color="auto"/>
                <w:right w:val="none" w:sz="0" w:space="0" w:color="auto"/>
              </w:divBdr>
              <w:divsChild>
                <w:div w:id="1248265473">
                  <w:marLeft w:val="0"/>
                  <w:marRight w:val="0"/>
                  <w:marTop w:val="0"/>
                  <w:marBottom w:val="0"/>
                  <w:divBdr>
                    <w:top w:val="none" w:sz="0" w:space="0" w:color="auto"/>
                    <w:left w:val="none" w:sz="0" w:space="0" w:color="auto"/>
                    <w:bottom w:val="none" w:sz="0" w:space="0" w:color="auto"/>
                    <w:right w:val="none" w:sz="0" w:space="0" w:color="auto"/>
                  </w:divBdr>
                  <w:divsChild>
                    <w:div w:id="963123684">
                      <w:marLeft w:val="0"/>
                      <w:marRight w:val="0"/>
                      <w:marTop w:val="0"/>
                      <w:marBottom w:val="0"/>
                      <w:divBdr>
                        <w:top w:val="none" w:sz="0" w:space="0" w:color="auto"/>
                        <w:left w:val="none" w:sz="0" w:space="0" w:color="auto"/>
                        <w:bottom w:val="none" w:sz="0" w:space="0" w:color="auto"/>
                        <w:right w:val="none" w:sz="0" w:space="0" w:color="auto"/>
                      </w:divBdr>
                      <w:divsChild>
                        <w:div w:id="1914774135">
                          <w:marLeft w:val="0"/>
                          <w:marRight w:val="0"/>
                          <w:marTop w:val="0"/>
                          <w:marBottom w:val="0"/>
                          <w:divBdr>
                            <w:top w:val="none" w:sz="0" w:space="0" w:color="auto"/>
                            <w:left w:val="none" w:sz="0" w:space="0" w:color="auto"/>
                            <w:bottom w:val="none" w:sz="0" w:space="0" w:color="auto"/>
                            <w:right w:val="none" w:sz="0" w:space="0" w:color="auto"/>
                          </w:divBdr>
                          <w:divsChild>
                            <w:div w:id="759831570">
                              <w:marLeft w:val="0"/>
                              <w:marRight w:val="0"/>
                              <w:marTop w:val="0"/>
                              <w:marBottom w:val="0"/>
                              <w:divBdr>
                                <w:top w:val="none" w:sz="0" w:space="0" w:color="auto"/>
                                <w:left w:val="none" w:sz="0" w:space="0" w:color="auto"/>
                                <w:bottom w:val="none" w:sz="0" w:space="0" w:color="auto"/>
                                <w:right w:val="none" w:sz="0" w:space="0" w:color="auto"/>
                              </w:divBdr>
                              <w:divsChild>
                                <w:div w:id="1578713494">
                                  <w:marLeft w:val="0"/>
                                  <w:marRight w:val="0"/>
                                  <w:marTop w:val="0"/>
                                  <w:marBottom w:val="0"/>
                                  <w:divBdr>
                                    <w:top w:val="none" w:sz="0" w:space="0" w:color="auto"/>
                                    <w:left w:val="none" w:sz="0" w:space="0" w:color="auto"/>
                                    <w:bottom w:val="none" w:sz="0" w:space="0" w:color="auto"/>
                                    <w:right w:val="none" w:sz="0" w:space="0" w:color="auto"/>
                                  </w:divBdr>
                                  <w:divsChild>
                                    <w:div w:id="172930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426704">
      <w:bodyDiv w:val="1"/>
      <w:marLeft w:val="0"/>
      <w:marRight w:val="0"/>
      <w:marTop w:val="0"/>
      <w:marBottom w:val="0"/>
      <w:divBdr>
        <w:top w:val="none" w:sz="0" w:space="0" w:color="auto"/>
        <w:left w:val="none" w:sz="0" w:space="0" w:color="auto"/>
        <w:bottom w:val="none" w:sz="0" w:space="0" w:color="auto"/>
        <w:right w:val="none" w:sz="0" w:space="0" w:color="auto"/>
      </w:divBdr>
    </w:div>
    <w:div w:id="2049719817">
      <w:bodyDiv w:val="1"/>
      <w:marLeft w:val="0"/>
      <w:marRight w:val="0"/>
      <w:marTop w:val="0"/>
      <w:marBottom w:val="0"/>
      <w:divBdr>
        <w:top w:val="none" w:sz="0" w:space="0" w:color="auto"/>
        <w:left w:val="none" w:sz="0" w:space="0" w:color="auto"/>
        <w:bottom w:val="none" w:sz="0" w:space="0" w:color="auto"/>
        <w:right w:val="none" w:sz="0" w:space="0" w:color="auto"/>
      </w:divBdr>
    </w:div>
    <w:div w:id="2055495598">
      <w:bodyDiv w:val="1"/>
      <w:marLeft w:val="0"/>
      <w:marRight w:val="0"/>
      <w:marTop w:val="0"/>
      <w:marBottom w:val="0"/>
      <w:divBdr>
        <w:top w:val="none" w:sz="0" w:space="0" w:color="auto"/>
        <w:left w:val="none" w:sz="0" w:space="0" w:color="auto"/>
        <w:bottom w:val="none" w:sz="0" w:space="0" w:color="auto"/>
        <w:right w:val="none" w:sz="0" w:space="0" w:color="auto"/>
      </w:divBdr>
    </w:div>
    <w:div w:id="2067416528">
      <w:bodyDiv w:val="1"/>
      <w:marLeft w:val="0"/>
      <w:marRight w:val="0"/>
      <w:marTop w:val="0"/>
      <w:marBottom w:val="0"/>
      <w:divBdr>
        <w:top w:val="none" w:sz="0" w:space="0" w:color="auto"/>
        <w:left w:val="none" w:sz="0" w:space="0" w:color="auto"/>
        <w:bottom w:val="none" w:sz="0" w:space="0" w:color="auto"/>
        <w:right w:val="none" w:sz="0" w:space="0" w:color="auto"/>
      </w:divBdr>
    </w:div>
    <w:div w:id="2093776064">
      <w:bodyDiv w:val="1"/>
      <w:marLeft w:val="0"/>
      <w:marRight w:val="0"/>
      <w:marTop w:val="0"/>
      <w:marBottom w:val="0"/>
      <w:divBdr>
        <w:top w:val="none" w:sz="0" w:space="0" w:color="auto"/>
        <w:left w:val="none" w:sz="0" w:space="0" w:color="auto"/>
        <w:bottom w:val="none" w:sz="0" w:space="0" w:color="auto"/>
        <w:right w:val="none" w:sz="0" w:space="0" w:color="auto"/>
      </w:divBdr>
    </w:div>
    <w:div w:id="2126728668">
      <w:bodyDiv w:val="1"/>
      <w:marLeft w:val="0"/>
      <w:marRight w:val="0"/>
      <w:marTop w:val="0"/>
      <w:marBottom w:val="0"/>
      <w:divBdr>
        <w:top w:val="none" w:sz="0" w:space="0" w:color="auto"/>
        <w:left w:val="none" w:sz="0" w:space="0" w:color="auto"/>
        <w:bottom w:val="none" w:sz="0" w:space="0" w:color="auto"/>
        <w:right w:val="none" w:sz="0" w:space="0" w:color="auto"/>
      </w:divBdr>
    </w:div>
    <w:div w:id="2127001835">
      <w:bodyDiv w:val="1"/>
      <w:marLeft w:val="0"/>
      <w:marRight w:val="0"/>
      <w:marTop w:val="0"/>
      <w:marBottom w:val="0"/>
      <w:divBdr>
        <w:top w:val="none" w:sz="0" w:space="0" w:color="auto"/>
        <w:left w:val="none" w:sz="0" w:space="0" w:color="auto"/>
        <w:bottom w:val="none" w:sz="0" w:space="0" w:color="auto"/>
        <w:right w:val="none" w:sz="0" w:space="0" w:color="auto"/>
      </w:divBdr>
    </w:div>
    <w:div w:id="2143110137">
      <w:bodyDiv w:val="1"/>
      <w:marLeft w:val="0"/>
      <w:marRight w:val="0"/>
      <w:marTop w:val="0"/>
      <w:marBottom w:val="0"/>
      <w:divBdr>
        <w:top w:val="none" w:sz="0" w:space="0" w:color="auto"/>
        <w:left w:val="none" w:sz="0" w:space="0" w:color="auto"/>
        <w:bottom w:val="none" w:sz="0" w:space="0" w:color="auto"/>
        <w:right w:val="none" w:sz="0" w:space="0" w:color="auto"/>
      </w:divBdr>
    </w:div>
    <w:div w:id="214561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59093-58D1-42C3-81C6-B6531D3E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3987</TotalTime>
  <Pages>15</Pages>
  <Words>10848</Words>
  <Characters>58585</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dc:creator>
  <cp:keywords/>
  <dc:description/>
  <cp:lastModifiedBy>Usuario</cp:lastModifiedBy>
  <cp:revision>82</cp:revision>
  <cp:lastPrinted>2026-08-04T11:08:00Z</cp:lastPrinted>
  <dcterms:created xsi:type="dcterms:W3CDTF">2024-01-26T17:02:00Z</dcterms:created>
  <dcterms:modified xsi:type="dcterms:W3CDTF">2026-08-04T11:08:00Z</dcterms:modified>
</cp:coreProperties>
</file>