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95C4D" w14:textId="77777777" w:rsidR="00C34BA6" w:rsidRPr="00982319" w:rsidRDefault="00C34BA6" w:rsidP="00920F82">
      <w:pPr>
        <w:spacing w:after="0" w:line="276" w:lineRule="auto"/>
        <w:jc w:val="center"/>
        <w:rPr>
          <w:rFonts w:ascii="Times" w:hAnsi="Times"/>
          <w:b/>
          <w:sz w:val="20"/>
          <w:szCs w:val="20"/>
          <w:u w:val="single"/>
        </w:rPr>
      </w:pPr>
    </w:p>
    <w:p w14:paraId="006E7852" w14:textId="1BBE3C3B" w:rsidR="00946A5B" w:rsidRPr="00982319" w:rsidRDefault="00946A5B" w:rsidP="00920F82">
      <w:pPr>
        <w:spacing w:after="0" w:line="276" w:lineRule="auto"/>
        <w:jc w:val="center"/>
        <w:rPr>
          <w:rFonts w:ascii="Times" w:hAnsi="Times"/>
          <w:b/>
          <w:sz w:val="32"/>
          <w:szCs w:val="32"/>
          <w:u w:val="single"/>
        </w:rPr>
      </w:pPr>
      <w:r w:rsidRPr="00982319">
        <w:rPr>
          <w:rFonts w:ascii="Times" w:hAnsi="Times"/>
          <w:b/>
          <w:sz w:val="32"/>
          <w:szCs w:val="32"/>
          <w:u w:val="single"/>
        </w:rPr>
        <w:t>TERMO DE REFERÊNCIA</w:t>
      </w:r>
    </w:p>
    <w:p w14:paraId="155AEB66" w14:textId="77777777" w:rsidR="000B2EAE" w:rsidRPr="00982319" w:rsidRDefault="000B2EAE" w:rsidP="00920F82">
      <w:pPr>
        <w:spacing w:after="0" w:line="276" w:lineRule="auto"/>
        <w:rPr>
          <w:rFonts w:ascii="Times" w:hAnsi="Times"/>
          <w:sz w:val="20"/>
          <w:szCs w:val="20"/>
        </w:rPr>
      </w:pPr>
    </w:p>
    <w:p w14:paraId="5C05598B" w14:textId="77777777" w:rsidR="00946A5B"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CAPÍTULO I</w:t>
      </w:r>
    </w:p>
    <w:p w14:paraId="12CADC85" w14:textId="2C31B99D" w:rsidR="00C86F0D"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DA DEFINIÇÃO DO OBJETO:</w:t>
      </w:r>
    </w:p>
    <w:p w14:paraId="0B7A87F4" w14:textId="77777777" w:rsidR="00946A5B" w:rsidRPr="00330FDA" w:rsidRDefault="00946A5B" w:rsidP="00920F82">
      <w:pPr>
        <w:spacing w:after="0" w:line="276" w:lineRule="auto"/>
        <w:rPr>
          <w:rFonts w:ascii="Times" w:hAnsi="Times"/>
          <w:b/>
          <w:sz w:val="20"/>
          <w:szCs w:val="20"/>
        </w:rPr>
      </w:pPr>
      <w:r w:rsidRPr="00330FDA">
        <w:rPr>
          <w:rFonts w:ascii="Times" w:hAnsi="Times"/>
          <w:b/>
          <w:sz w:val="20"/>
          <w:szCs w:val="20"/>
        </w:rPr>
        <w:t xml:space="preserve">1. </w:t>
      </w:r>
      <w:r w:rsidR="00E2079F" w:rsidRPr="00330FDA">
        <w:rPr>
          <w:rFonts w:ascii="Times" w:hAnsi="Times"/>
          <w:b/>
          <w:sz w:val="20"/>
          <w:szCs w:val="20"/>
        </w:rPr>
        <w:t xml:space="preserve">DO </w:t>
      </w:r>
      <w:r w:rsidRPr="00330FDA">
        <w:rPr>
          <w:rFonts w:ascii="Times" w:hAnsi="Times"/>
          <w:b/>
          <w:sz w:val="20"/>
          <w:szCs w:val="20"/>
        </w:rPr>
        <w:t>OBJETO:</w:t>
      </w:r>
    </w:p>
    <w:p w14:paraId="2710EDC4" w14:textId="77777777" w:rsidR="000B72D3" w:rsidRPr="000B72D3" w:rsidRDefault="000B72D3" w:rsidP="000B72D3">
      <w:pPr>
        <w:spacing w:after="0" w:line="276" w:lineRule="auto"/>
        <w:jc w:val="both"/>
        <w:rPr>
          <w:rFonts w:ascii="Times" w:hAnsi="Times"/>
          <w:sz w:val="20"/>
          <w:szCs w:val="20"/>
        </w:rPr>
      </w:pPr>
      <w:r w:rsidRPr="000B72D3">
        <w:rPr>
          <w:rFonts w:ascii="Times" w:hAnsi="Times"/>
          <w:sz w:val="20"/>
          <w:szCs w:val="20"/>
        </w:rPr>
        <w:t>1.1. O presente Termo de Referência tem por objeto a aquisição eventual e parcelada, por meio de Sistema de Registro de Preços, de equipamentos novos destinados à execução e ao apoio das atividades de manutenção, conservação, limpeza, manejo de vegetação, processamento de resíduos vegetais e demais serviços operacionais desenvolvidos em áreas urbanas e rurais do Município de Paverama, conforme especificações técnicas, quantitativos e condições estabelecidas neste instrumento.</w:t>
      </w:r>
    </w:p>
    <w:p w14:paraId="3407C21A" w14:textId="0A3744D9" w:rsidR="00A1521B" w:rsidRDefault="000B72D3" w:rsidP="00A1521B">
      <w:pPr>
        <w:spacing w:after="0" w:line="276" w:lineRule="auto"/>
        <w:jc w:val="both"/>
        <w:rPr>
          <w:rFonts w:ascii="Times" w:hAnsi="Times"/>
          <w:sz w:val="20"/>
          <w:szCs w:val="20"/>
        </w:rPr>
      </w:pPr>
      <w:r w:rsidRPr="000B72D3">
        <w:rPr>
          <w:rFonts w:ascii="Times" w:hAnsi="Times"/>
          <w:sz w:val="20"/>
          <w:szCs w:val="20"/>
        </w:rPr>
        <w:t>1.2. O fornecimento abrangerá equipamentos novos, de primeiro uso, devidamente montados ou preparados para operação, acompanhados de todos os componentes, acessórios e dispositivos de segurança necessários ao seu pleno funcionamento, bem como manuais técnicos em língua portuguesa, garantia, assistência técnica e, quando aplicável, entrega técnica e orientações operacionais, observadas as condições estabelecidas neste Termo de Referência.</w:t>
      </w:r>
    </w:p>
    <w:p w14:paraId="130C661A" w14:textId="77777777" w:rsidR="00982319" w:rsidRPr="00330FDA" w:rsidRDefault="00982319" w:rsidP="00A1521B">
      <w:pPr>
        <w:spacing w:after="0" w:line="276" w:lineRule="auto"/>
        <w:jc w:val="both"/>
        <w:rPr>
          <w:rFonts w:ascii="Times" w:hAnsi="Times"/>
          <w:sz w:val="20"/>
          <w:szCs w:val="20"/>
        </w:rPr>
      </w:pPr>
    </w:p>
    <w:tbl>
      <w:tblPr>
        <w:tblpPr w:leftFromText="141" w:rightFromText="141" w:vertAnchor="text" w:tblpX="-1067" w:tblpY="1"/>
        <w:tblOverlap w:val="never"/>
        <w:tblW w:w="10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
        <w:gridCol w:w="735"/>
        <w:gridCol w:w="863"/>
        <w:gridCol w:w="6012"/>
        <w:gridCol w:w="1418"/>
        <w:gridCol w:w="1275"/>
      </w:tblGrid>
      <w:tr w:rsidR="0018788B" w:rsidRPr="00330FDA" w14:paraId="524C9F8B" w14:textId="02DAE64C" w:rsidTr="00F4073B">
        <w:trPr>
          <w:trHeight w:val="285"/>
        </w:trPr>
        <w:tc>
          <w:tcPr>
            <w:tcW w:w="540" w:type="dxa"/>
            <w:shd w:val="clear" w:color="000000" w:fill="FFFFFF"/>
            <w:noWrap/>
            <w:vAlign w:val="center"/>
            <w:hideMark/>
          </w:tcPr>
          <w:p w14:paraId="6986C014" w14:textId="77777777" w:rsidR="0018788B" w:rsidRPr="00330FDA" w:rsidRDefault="0018788B" w:rsidP="00F4073B">
            <w:pPr>
              <w:spacing w:after="0" w:line="276" w:lineRule="auto"/>
              <w:jc w:val="center"/>
              <w:rPr>
                <w:rFonts w:ascii="Times" w:hAnsi="Times"/>
                <w:b/>
                <w:bCs/>
                <w:sz w:val="20"/>
                <w:szCs w:val="20"/>
              </w:rPr>
            </w:pPr>
            <w:r w:rsidRPr="00330FDA">
              <w:rPr>
                <w:rFonts w:ascii="Times" w:hAnsi="Times"/>
                <w:b/>
                <w:bCs/>
                <w:sz w:val="20"/>
                <w:szCs w:val="20"/>
              </w:rPr>
              <w:t>Item</w:t>
            </w:r>
          </w:p>
        </w:tc>
        <w:tc>
          <w:tcPr>
            <w:tcW w:w="735" w:type="dxa"/>
            <w:shd w:val="clear" w:color="000000" w:fill="FFFFFF"/>
            <w:noWrap/>
            <w:vAlign w:val="center"/>
            <w:hideMark/>
          </w:tcPr>
          <w:p w14:paraId="7183B62D" w14:textId="5F03ABA6" w:rsidR="0018788B" w:rsidRPr="00330FDA" w:rsidRDefault="0018788B" w:rsidP="00F4073B">
            <w:pPr>
              <w:spacing w:after="0" w:line="276" w:lineRule="auto"/>
              <w:jc w:val="center"/>
              <w:rPr>
                <w:rFonts w:ascii="Times" w:hAnsi="Times"/>
                <w:b/>
                <w:bCs/>
                <w:sz w:val="20"/>
                <w:szCs w:val="20"/>
              </w:rPr>
            </w:pPr>
            <w:r w:rsidRPr="00330FDA">
              <w:rPr>
                <w:rFonts w:ascii="Times" w:hAnsi="Times"/>
                <w:b/>
                <w:bCs/>
                <w:sz w:val="20"/>
                <w:szCs w:val="20"/>
              </w:rPr>
              <w:t>Quant.</w:t>
            </w:r>
          </w:p>
        </w:tc>
        <w:tc>
          <w:tcPr>
            <w:tcW w:w="863" w:type="dxa"/>
            <w:shd w:val="clear" w:color="000000" w:fill="FFFFFF"/>
          </w:tcPr>
          <w:p w14:paraId="086B39DF" w14:textId="59C7A194" w:rsidR="0018788B" w:rsidRPr="00330FDA" w:rsidRDefault="0018788B" w:rsidP="00F4073B">
            <w:pPr>
              <w:spacing w:after="0" w:line="276" w:lineRule="auto"/>
              <w:jc w:val="center"/>
              <w:rPr>
                <w:rFonts w:ascii="Times" w:hAnsi="Times"/>
                <w:b/>
                <w:bCs/>
                <w:sz w:val="20"/>
                <w:szCs w:val="20"/>
              </w:rPr>
            </w:pPr>
            <w:r>
              <w:rPr>
                <w:rFonts w:ascii="Times" w:hAnsi="Times"/>
                <w:b/>
                <w:bCs/>
                <w:sz w:val="20"/>
                <w:szCs w:val="20"/>
              </w:rPr>
              <w:t>Unidade</w:t>
            </w:r>
          </w:p>
        </w:tc>
        <w:tc>
          <w:tcPr>
            <w:tcW w:w="6012" w:type="dxa"/>
            <w:shd w:val="clear" w:color="000000" w:fill="FFFFFF"/>
            <w:noWrap/>
            <w:vAlign w:val="center"/>
            <w:hideMark/>
          </w:tcPr>
          <w:p w14:paraId="64F0C04D" w14:textId="40012EBF" w:rsidR="0018788B" w:rsidRPr="00330FDA" w:rsidRDefault="0018788B" w:rsidP="00F4073B">
            <w:pPr>
              <w:spacing w:after="0" w:line="276" w:lineRule="auto"/>
              <w:jc w:val="center"/>
              <w:rPr>
                <w:rFonts w:ascii="Times" w:hAnsi="Times"/>
                <w:b/>
                <w:bCs/>
                <w:sz w:val="20"/>
                <w:szCs w:val="20"/>
              </w:rPr>
            </w:pPr>
            <w:r w:rsidRPr="00330FDA">
              <w:rPr>
                <w:rFonts w:ascii="Times" w:hAnsi="Times"/>
                <w:b/>
                <w:bCs/>
                <w:sz w:val="20"/>
                <w:szCs w:val="20"/>
              </w:rPr>
              <w:t>Descrição</w:t>
            </w:r>
          </w:p>
        </w:tc>
        <w:tc>
          <w:tcPr>
            <w:tcW w:w="1418" w:type="dxa"/>
            <w:shd w:val="clear" w:color="000000" w:fill="FFFFFF"/>
            <w:noWrap/>
            <w:vAlign w:val="center"/>
            <w:hideMark/>
          </w:tcPr>
          <w:p w14:paraId="030E2FCE" w14:textId="6D09E919" w:rsidR="0018788B" w:rsidRPr="00330FDA" w:rsidRDefault="0018788B" w:rsidP="00F4073B">
            <w:pPr>
              <w:spacing w:after="0" w:line="276" w:lineRule="auto"/>
              <w:jc w:val="center"/>
              <w:rPr>
                <w:rFonts w:ascii="Times" w:hAnsi="Times"/>
                <w:b/>
                <w:bCs/>
                <w:sz w:val="20"/>
                <w:szCs w:val="20"/>
              </w:rPr>
            </w:pPr>
            <w:r w:rsidRPr="00330FDA">
              <w:rPr>
                <w:rFonts w:ascii="Times" w:hAnsi="Times"/>
                <w:b/>
                <w:bCs/>
                <w:sz w:val="20"/>
                <w:szCs w:val="20"/>
              </w:rPr>
              <w:t xml:space="preserve">Valor </w:t>
            </w:r>
            <w:r>
              <w:rPr>
                <w:rFonts w:ascii="Times" w:hAnsi="Times"/>
                <w:b/>
                <w:bCs/>
                <w:sz w:val="20"/>
                <w:szCs w:val="20"/>
              </w:rPr>
              <w:t>Unitário</w:t>
            </w:r>
          </w:p>
        </w:tc>
        <w:tc>
          <w:tcPr>
            <w:tcW w:w="1275" w:type="dxa"/>
            <w:shd w:val="clear" w:color="000000" w:fill="FFFFFF"/>
          </w:tcPr>
          <w:p w14:paraId="22C19BCC" w14:textId="07D401A9" w:rsidR="0018788B" w:rsidRPr="00330FDA" w:rsidRDefault="0018788B" w:rsidP="00F4073B">
            <w:pPr>
              <w:spacing w:after="0" w:line="276" w:lineRule="auto"/>
              <w:jc w:val="center"/>
              <w:rPr>
                <w:rFonts w:ascii="Times" w:hAnsi="Times"/>
                <w:b/>
                <w:bCs/>
                <w:sz w:val="20"/>
                <w:szCs w:val="20"/>
              </w:rPr>
            </w:pPr>
            <w:r>
              <w:rPr>
                <w:rFonts w:ascii="Times" w:hAnsi="Times"/>
                <w:b/>
                <w:bCs/>
                <w:sz w:val="20"/>
                <w:szCs w:val="20"/>
              </w:rPr>
              <w:t>Valor Total</w:t>
            </w:r>
          </w:p>
        </w:tc>
      </w:tr>
      <w:tr w:rsidR="0018788B" w:rsidRPr="00330FDA" w14:paraId="0895E727" w14:textId="78829EB3" w:rsidTr="00F4073B">
        <w:trPr>
          <w:trHeight w:val="70"/>
        </w:trPr>
        <w:tc>
          <w:tcPr>
            <w:tcW w:w="540" w:type="dxa"/>
            <w:shd w:val="clear" w:color="000000" w:fill="FFFFFF"/>
            <w:noWrap/>
            <w:vAlign w:val="center"/>
          </w:tcPr>
          <w:p w14:paraId="05061D93" w14:textId="00E28220" w:rsidR="0018788B" w:rsidRPr="00330FDA" w:rsidRDefault="0018788B" w:rsidP="00F4073B">
            <w:pPr>
              <w:spacing w:after="0" w:line="276" w:lineRule="auto"/>
              <w:jc w:val="center"/>
              <w:rPr>
                <w:rFonts w:ascii="Times" w:hAnsi="Times"/>
                <w:sz w:val="20"/>
                <w:szCs w:val="20"/>
              </w:rPr>
            </w:pPr>
            <w:r>
              <w:rPr>
                <w:rFonts w:ascii="Times" w:hAnsi="Times"/>
                <w:sz w:val="20"/>
                <w:szCs w:val="20"/>
              </w:rPr>
              <w:t>1</w:t>
            </w:r>
          </w:p>
        </w:tc>
        <w:tc>
          <w:tcPr>
            <w:tcW w:w="735" w:type="dxa"/>
            <w:shd w:val="clear" w:color="000000" w:fill="FFFFFF"/>
            <w:noWrap/>
            <w:vAlign w:val="center"/>
          </w:tcPr>
          <w:p w14:paraId="56A946E0" w14:textId="7234D655" w:rsidR="0018788B" w:rsidRPr="00330FDA" w:rsidRDefault="0018788B" w:rsidP="00F4073B">
            <w:pPr>
              <w:spacing w:after="0" w:line="276" w:lineRule="auto"/>
              <w:jc w:val="center"/>
              <w:rPr>
                <w:rFonts w:ascii="Times" w:hAnsi="Times"/>
                <w:sz w:val="20"/>
                <w:szCs w:val="20"/>
              </w:rPr>
            </w:pPr>
            <w:r>
              <w:rPr>
                <w:rFonts w:ascii="Times" w:hAnsi="Times"/>
                <w:sz w:val="20"/>
                <w:szCs w:val="20"/>
              </w:rPr>
              <w:t>6</w:t>
            </w:r>
          </w:p>
        </w:tc>
        <w:tc>
          <w:tcPr>
            <w:tcW w:w="863" w:type="dxa"/>
            <w:shd w:val="clear" w:color="000000" w:fill="FFFFFF"/>
            <w:vAlign w:val="center"/>
          </w:tcPr>
          <w:p w14:paraId="3710DB3D" w14:textId="458035EA" w:rsidR="0018788B" w:rsidRPr="00330FDA" w:rsidRDefault="0018788B" w:rsidP="00F4073B">
            <w:pPr>
              <w:spacing w:after="0" w:line="276" w:lineRule="auto"/>
              <w:jc w:val="center"/>
              <w:rPr>
                <w:rFonts w:ascii="Times" w:hAnsi="Times"/>
                <w:color w:val="000000"/>
                <w:sz w:val="20"/>
                <w:szCs w:val="20"/>
              </w:rPr>
            </w:pPr>
            <w:r>
              <w:rPr>
                <w:rFonts w:ascii="Times" w:hAnsi="Times"/>
                <w:color w:val="000000"/>
                <w:sz w:val="20"/>
                <w:szCs w:val="20"/>
              </w:rPr>
              <w:t>Unidade</w:t>
            </w:r>
          </w:p>
        </w:tc>
        <w:tc>
          <w:tcPr>
            <w:tcW w:w="6012" w:type="dxa"/>
            <w:shd w:val="clear" w:color="000000" w:fill="FFFFFF"/>
            <w:vAlign w:val="center"/>
          </w:tcPr>
          <w:p w14:paraId="1CB7812A" w14:textId="2911EC2D" w:rsidR="0018788B" w:rsidRPr="00632CA2" w:rsidRDefault="0048798A" w:rsidP="00F4073B">
            <w:pPr>
              <w:spacing w:after="0" w:line="276" w:lineRule="auto"/>
              <w:jc w:val="both"/>
              <w:rPr>
                <w:rFonts w:ascii="Times" w:hAnsi="Times"/>
                <w:color w:val="000000"/>
                <w:sz w:val="20"/>
                <w:szCs w:val="20"/>
                <w:lang w:eastAsia="pt-BR"/>
              </w:rPr>
            </w:pPr>
            <w:r w:rsidRPr="00632CA2">
              <w:rPr>
                <w:rFonts w:ascii="Times" w:hAnsi="Times"/>
                <w:b/>
                <w:bCs/>
                <w:color w:val="000000"/>
                <w:sz w:val="20"/>
                <w:szCs w:val="20"/>
              </w:rPr>
              <w:t>ROÇADEIRA LATERAL PROFISSIONAL</w:t>
            </w:r>
            <w:r w:rsidR="00632CA2">
              <w:rPr>
                <w:rFonts w:ascii="Times" w:hAnsi="Times"/>
                <w:color w:val="000000"/>
                <w:sz w:val="20"/>
                <w:szCs w:val="20"/>
              </w:rPr>
              <w:t>, c</w:t>
            </w:r>
            <w:r w:rsidRPr="00632CA2">
              <w:rPr>
                <w:rFonts w:ascii="Times" w:hAnsi="Times"/>
                <w:color w:val="000000"/>
                <w:sz w:val="20"/>
                <w:szCs w:val="20"/>
              </w:rPr>
              <w:t>om eixo reto, para uso com lâmina de três pontas e carretel de nylon, motor com dois tempos à gasolina, com características mínimas comprovadas pelo manual do fabricante: com capacidade do tanque de no mínimo 0,75 litros;</w:t>
            </w:r>
            <w:r w:rsidR="00632CA2">
              <w:rPr>
                <w:rFonts w:ascii="Times" w:hAnsi="Times"/>
                <w:color w:val="000000"/>
                <w:sz w:val="20"/>
                <w:szCs w:val="20"/>
              </w:rPr>
              <w:t xml:space="preserve"> </w:t>
            </w:r>
            <w:r w:rsidRPr="00632CA2">
              <w:rPr>
                <w:rFonts w:ascii="Times" w:hAnsi="Times"/>
                <w:color w:val="000000"/>
                <w:sz w:val="20"/>
                <w:szCs w:val="20"/>
              </w:rPr>
              <w:t>com cilindrada mínima de 37,7cm³;</w:t>
            </w:r>
            <w:r w:rsidR="00632CA2">
              <w:rPr>
                <w:rFonts w:ascii="Times" w:hAnsi="Times"/>
                <w:color w:val="000000"/>
                <w:sz w:val="20"/>
                <w:szCs w:val="20"/>
              </w:rPr>
              <w:t xml:space="preserve"> </w:t>
            </w:r>
            <w:r w:rsidRPr="00632CA2">
              <w:rPr>
                <w:rFonts w:ascii="Times" w:hAnsi="Times"/>
                <w:color w:val="000000"/>
                <w:sz w:val="20"/>
                <w:szCs w:val="20"/>
              </w:rPr>
              <w:t>potência igual ou maior que 1.7/2,3 kW/cv; peso aproximado do equipamento de 7,7 kg; diâmetro de corte do disco de corte de no mínimo 300 mm. Deve permitir o uso de ferramentas de corte (todos os tipos), e possuir peças de fixação para ferramentas de corte (prato de rolamento, porca, etc.) e todas proteções das ferramentas de corte. O ano de construção e o número da máquina deverão estar indicados no equipamento. O equipamento poderá ser superior a especificação indicada. Deve ser entregue nova, montada, com ferramenta de corte lâmina de três pontas, proteção, encosto e cinto. Deve possuir e ser informado local de assistência técnica no Município de Paverama. Garantia mínima de 24 (vinte e quatro) meses.</w:t>
            </w:r>
          </w:p>
        </w:tc>
        <w:tc>
          <w:tcPr>
            <w:tcW w:w="1418" w:type="dxa"/>
            <w:shd w:val="clear" w:color="000000" w:fill="FFFFFF"/>
            <w:noWrap/>
            <w:vAlign w:val="center"/>
          </w:tcPr>
          <w:p w14:paraId="46E2DF1B" w14:textId="1A443402"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R$ 3.735,33</w:t>
            </w:r>
          </w:p>
        </w:tc>
        <w:tc>
          <w:tcPr>
            <w:tcW w:w="1275" w:type="dxa"/>
            <w:shd w:val="clear" w:color="000000" w:fill="FFFFFF"/>
            <w:vAlign w:val="center"/>
          </w:tcPr>
          <w:p w14:paraId="460F35B5" w14:textId="7886569C" w:rsidR="0018788B" w:rsidRPr="0018788B" w:rsidRDefault="00632CA2" w:rsidP="00F4073B">
            <w:pPr>
              <w:spacing w:after="0" w:line="276" w:lineRule="auto"/>
              <w:jc w:val="center"/>
              <w:rPr>
                <w:rFonts w:ascii="Times" w:hAnsi="Times"/>
                <w:sz w:val="20"/>
                <w:szCs w:val="20"/>
              </w:rPr>
            </w:pPr>
            <w:r w:rsidRPr="00632CA2">
              <w:rPr>
                <w:rFonts w:ascii="Times" w:hAnsi="Times"/>
                <w:sz w:val="20"/>
                <w:szCs w:val="20"/>
              </w:rPr>
              <w:t>R$ 22.411,98</w:t>
            </w:r>
          </w:p>
        </w:tc>
      </w:tr>
      <w:tr w:rsidR="0018788B" w:rsidRPr="00330FDA" w14:paraId="0F097517" w14:textId="508C442F" w:rsidTr="00F4073B">
        <w:trPr>
          <w:trHeight w:val="70"/>
        </w:trPr>
        <w:tc>
          <w:tcPr>
            <w:tcW w:w="540" w:type="dxa"/>
            <w:shd w:val="clear" w:color="000000" w:fill="FFFFFF"/>
            <w:noWrap/>
            <w:vAlign w:val="center"/>
          </w:tcPr>
          <w:p w14:paraId="49AF5776" w14:textId="211502A7" w:rsidR="0018788B" w:rsidRPr="00330FDA" w:rsidRDefault="000B42AA" w:rsidP="00F4073B">
            <w:pPr>
              <w:spacing w:after="0" w:line="276" w:lineRule="auto"/>
              <w:jc w:val="center"/>
              <w:rPr>
                <w:rFonts w:ascii="Times" w:hAnsi="Times"/>
                <w:sz w:val="20"/>
                <w:szCs w:val="20"/>
              </w:rPr>
            </w:pPr>
            <w:r>
              <w:rPr>
                <w:rFonts w:ascii="Times" w:hAnsi="Times"/>
                <w:sz w:val="20"/>
                <w:szCs w:val="20"/>
              </w:rPr>
              <w:t>2</w:t>
            </w:r>
          </w:p>
        </w:tc>
        <w:tc>
          <w:tcPr>
            <w:tcW w:w="735" w:type="dxa"/>
            <w:shd w:val="clear" w:color="000000" w:fill="FFFFFF"/>
            <w:noWrap/>
            <w:vAlign w:val="center"/>
          </w:tcPr>
          <w:p w14:paraId="66BB2235" w14:textId="4F84E916" w:rsidR="0018788B" w:rsidRPr="00330FDA" w:rsidRDefault="005F7199" w:rsidP="00F4073B">
            <w:pPr>
              <w:spacing w:after="0" w:line="276" w:lineRule="auto"/>
              <w:jc w:val="center"/>
              <w:rPr>
                <w:rFonts w:ascii="Times" w:hAnsi="Times"/>
                <w:sz w:val="20"/>
                <w:szCs w:val="20"/>
              </w:rPr>
            </w:pPr>
            <w:r>
              <w:rPr>
                <w:rFonts w:ascii="Times" w:hAnsi="Times"/>
                <w:sz w:val="20"/>
                <w:szCs w:val="20"/>
              </w:rPr>
              <w:t>2</w:t>
            </w:r>
          </w:p>
        </w:tc>
        <w:tc>
          <w:tcPr>
            <w:tcW w:w="863" w:type="dxa"/>
            <w:shd w:val="clear" w:color="000000" w:fill="FFFFFF"/>
            <w:vAlign w:val="center"/>
          </w:tcPr>
          <w:p w14:paraId="341C2B03" w14:textId="5D27497A" w:rsidR="0018788B" w:rsidRPr="00330FDA" w:rsidRDefault="0018788B" w:rsidP="00F4073B">
            <w:pPr>
              <w:spacing w:after="0" w:line="276" w:lineRule="auto"/>
              <w:jc w:val="center"/>
              <w:rPr>
                <w:rFonts w:ascii="Times" w:hAnsi="Times"/>
                <w:color w:val="000000"/>
                <w:sz w:val="20"/>
                <w:szCs w:val="20"/>
              </w:rPr>
            </w:pPr>
            <w:r>
              <w:rPr>
                <w:rFonts w:ascii="Times" w:hAnsi="Times"/>
                <w:color w:val="000000"/>
                <w:sz w:val="20"/>
                <w:szCs w:val="20"/>
              </w:rPr>
              <w:t>Unidade</w:t>
            </w:r>
          </w:p>
        </w:tc>
        <w:tc>
          <w:tcPr>
            <w:tcW w:w="6012" w:type="dxa"/>
            <w:shd w:val="clear" w:color="000000" w:fill="FFFFFF"/>
            <w:vAlign w:val="center"/>
          </w:tcPr>
          <w:p w14:paraId="37AAF12D" w14:textId="28B90946" w:rsidR="0018788B" w:rsidRPr="00330FDA" w:rsidRDefault="0018788B" w:rsidP="00F4073B">
            <w:pPr>
              <w:spacing w:after="0" w:line="276" w:lineRule="auto"/>
              <w:jc w:val="both"/>
              <w:rPr>
                <w:rFonts w:ascii="Times" w:hAnsi="Times"/>
                <w:b/>
                <w:bCs/>
                <w:color w:val="000000"/>
                <w:sz w:val="20"/>
                <w:szCs w:val="20"/>
                <w:lang w:eastAsia="pt-BR"/>
              </w:rPr>
            </w:pPr>
            <w:r w:rsidRPr="00330FDA">
              <w:rPr>
                <w:rFonts w:ascii="Times" w:hAnsi="Times"/>
                <w:b/>
                <w:bCs/>
                <w:color w:val="000000"/>
                <w:sz w:val="20"/>
                <w:szCs w:val="20"/>
              </w:rPr>
              <w:t xml:space="preserve">MOTOPODA TELESCÓPICA A GASOLINA </w:t>
            </w:r>
            <w:r w:rsidRPr="00330FDA">
              <w:rPr>
                <w:rFonts w:ascii="Times" w:hAnsi="Times"/>
                <w:color w:val="000000"/>
                <w:sz w:val="20"/>
                <w:szCs w:val="20"/>
              </w:rPr>
              <w:t>com conjunto de corte com baixo nível de rebote e com alcance de aproximadamente 5 metros de altura (considerando a altura do operador). Com características mínimas comprovadas pelo manual do fabricante: - cilindrada mínima de (cm³): 25.4; potência (kW/cv): 0.95/1.3; comprimento do sabre de 30 cm; e peso do equipamento de 6.6 kg. O ano de construção e o número da máquina deverão estar indicados no equipamento. O equipamento poderá ser superior a especificação indicada. Deve ser entregue nova, montada, com todos os acessórios necessários para o perfeito uso. Deve possuir e ser informado local de assistência técnica no Município de Paverama. Garantia mínima de 24 (vinte e quatro) meses.</w:t>
            </w:r>
          </w:p>
        </w:tc>
        <w:tc>
          <w:tcPr>
            <w:tcW w:w="1418" w:type="dxa"/>
            <w:shd w:val="clear" w:color="000000" w:fill="FFFFFF"/>
            <w:noWrap/>
            <w:vAlign w:val="center"/>
          </w:tcPr>
          <w:p w14:paraId="33F31215" w14:textId="1DE13A55"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R$ 4.339,33</w:t>
            </w:r>
          </w:p>
        </w:tc>
        <w:tc>
          <w:tcPr>
            <w:tcW w:w="1275" w:type="dxa"/>
            <w:shd w:val="clear" w:color="000000" w:fill="FFFFFF"/>
            <w:vAlign w:val="center"/>
          </w:tcPr>
          <w:p w14:paraId="30209A57" w14:textId="04F09668"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R$ 8.678,66</w:t>
            </w:r>
          </w:p>
        </w:tc>
      </w:tr>
      <w:tr w:rsidR="0018788B" w:rsidRPr="00330FDA" w14:paraId="2B0842CE" w14:textId="6DCDB838" w:rsidTr="00F4073B">
        <w:trPr>
          <w:trHeight w:val="70"/>
        </w:trPr>
        <w:tc>
          <w:tcPr>
            <w:tcW w:w="540" w:type="dxa"/>
            <w:shd w:val="clear" w:color="000000" w:fill="FFFFFF"/>
            <w:noWrap/>
            <w:vAlign w:val="center"/>
          </w:tcPr>
          <w:p w14:paraId="1A519083" w14:textId="3E1381B5" w:rsidR="0018788B" w:rsidRPr="00330FDA" w:rsidRDefault="000B42AA" w:rsidP="00F4073B">
            <w:pPr>
              <w:spacing w:after="0" w:line="276" w:lineRule="auto"/>
              <w:jc w:val="center"/>
              <w:rPr>
                <w:rFonts w:ascii="Times" w:hAnsi="Times"/>
                <w:sz w:val="20"/>
                <w:szCs w:val="20"/>
              </w:rPr>
            </w:pPr>
            <w:r>
              <w:rPr>
                <w:rFonts w:ascii="Times" w:hAnsi="Times"/>
                <w:sz w:val="20"/>
                <w:szCs w:val="20"/>
              </w:rPr>
              <w:t>3</w:t>
            </w:r>
          </w:p>
        </w:tc>
        <w:tc>
          <w:tcPr>
            <w:tcW w:w="735" w:type="dxa"/>
            <w:shd w:val="clear" w:color="000000" w:fill="FFFFFF"/>
            <w:noWrap/>
            <w:vAlign w:val="center"/>
          </w:tcPr>
          <w:p w14:paraId="4621B4F3" w14:textId="3E12E617" w:rsidR="0018788B" w:rsidRPr="00330FDA" w:rsidRDefault="005F7199" w:rsidP="00F4073B">
            <w:pPr>
              <w:spacing w:after="0" w:line="276" w:lineRule="auto"/>
              <w:jc w:val="center"/>
              <w:rPr>
                <w:rFonts w:ascii="Times" w:hAnsi="Times"/>
                <w:sz w:val="20"/>
                <w:szCs w:val="20"/>
              </w:rPr>
            </w:pPr>
            <w:r>
              <w:rPr>
                <w:rFonts w:ascii="Times" w:hAnsi="Times"/>
                <w:sz w:val="20"/>
                <w:szCs w:val="20"/>
              </w:rPr>
              <w:t>2</w:t>
            </w:r>
          </w:p>
        </w:tc>
        <w:tc>
          <w:tcPr>
            <w:tcW w:w="863" w:type="dxa"/>
            <w:shd w:val="clear" w:color="000000" w:fill="FFFFFF"/>
            <w:vAlign w:val="center"/>
          </w:tcPr>
          <w:p w14:paraId="1627B36F" w14:textId="473AA716" w:rsidR="0018788B" w:rsidRPr="00330FDA" w:rsidRDefault="0018788B" w:rsidP="00F4073B">
            <w:pPr>
              <w:spacing w:after="0" w:line="276" w:lineRule="auto"/>
              <w:jc w:val="center"/>
              <w:rPr>
                <w:rFonts w:ascii="Times" w:hAnsi="Times"/>
                <w:color w:val="000000"/>
                <w:sz w:val="20"/>
                <w:szCs w:val="20"/>
              </w:rPr>
            </w:pPr>
            <w:r>
              <w:rPr>
                <w:rFonts w:ascii="Times" w:hAnsi="Times"/>
                <w:color w:val="000000"/>
                <w:sz w:val="20"/>
                <w:szCs w:val="20"/>
              </w:rPr>
              <w:t>Unidade</w:t>
            </w:r>
          </w:p>
        </w:tc>
        <w:tc>
          <w:tcPr>
            <w:tcW w:w="6012" w:type="dxa"/>
            <w:shd w:val="clear" w:color="000000" w:fill="FFFFFF"/>
            <w:vAlign w:val="center"/>
          </w:tcPr>
          <w:p w14:paraId="0C1B650C" w14:textId="782E1D79" w:rsidR="0018788B" w:rsidRPr="00330FDA" w:rsidRDefault="000B72D3" w:rsidP="00F4073B">
            <w:pPr>
              <w:spacing w:after="0" w:line="276" w:lineRule="auto"/>
              <w:jc w:val="both"/>
              <w:rPr>
                <w:rFonts w:ascii="Times" w:hAnsi="Times"/>
                <w:b/>
                <w:bCs/>
                <w:color w:val="000000"/>
                <w:sz w:val="20"/>
                <w:szCs w:val="20"/>
                <w:lang w:eastAsia="pt-BR"/>
              </w:rPr>
            </w:pPr>
            <w:r w:rsidRPr="000B72D3">
              <w:rPr>
                <w:rFonts w:ascii="Times" w:hAnsi="Times"/>
                <w:b/>
                <w:bCs/>
                <w:color w:val="000000"/>
                <w:sz w:val="20"/>
                <w:szCs w:val="20"/>
              </w:rPr>
              <w:t>SOPRADOR COSTAL PROFISSIONAL</w:t>
            </w:r>
            <w:r w:rsidRPr="000B72D3">
              <w:rPr>
                <w:rFonts w:ascii="Times" w:hAnsi="Times"/>
                <w:color w:val="000000"/>
                <w:sz w:val="20"/>
                <w:szCs w:val="20"/>
              </w:rPr>
              <w:t xml:space="preserve">, com motorização a gasolina, ciclo 2 tempos. Características mínimas comprovadas pelo manual do fabricante: cilindrada mínima de 56,5 cm³; potência de 2,6 kW/3,5 cv; vazão máxima de ar de 1.260 m³/h; e peso aproximado de 9 kg. O ano de fabricação e o número de série deverão estar identificados no equipamento. Deverá ser entregue novo, montado e acompanhado de todos os acessórios necessários ao perfeito funcionamento. Garantia </w:t>
            </w:r>
            <w:r w:rsidRPr="000B72D3">
              <w:rPr>
                <w:rFonts w:ascii="Times" w:hAnsi="Times"/>
                <w:color w:val="000000"/>
                <w:sz w:val="20"/>
                <w:szCs w:val="20"/>
              </w:rPr>
              <w:lastRenderedPageBreak/>
              <w:t>mínima de 24 (vinte e quatro) meses.</w:t>
            </w:r>
          </w:p>
        </w:tc>
        <w:tc>
          <w:tcPr>
            <w:tcW w:w="1418" w:type="dxa"/>
            <w:shd w:val="clear" w:color="000000" w:fill="FFFFFF"/>
            <w:noWrap/>
            <w:vAlign w:val="center"/>
          </w:tcPr>
          <w:p w14:paraId="120027EC" w14:textId="3A39148B"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lastRenderedPageBreak/>
              <w:t>R$ 3.330,51</w:t>
            </w:r>
          </w:p>
        </w:tc>
        <w:tc>
          <w:tcPr>
            <w:tcW w:w="1275" w:type="dxa"/>
            <w:shd w:val="clear" w:color="000000" w:fill="FFFFFF"/>
            <w:vAlign w:val="center"/>
          </w:tcPr>
          <w:p w14:paraId="08213A87" w14:textId="58E73AA4"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R$ 6.661,02</w:t>
            </w:r>
          </w:p>
        </w:tc>
      </w:tr>
      <w:tr w:rsidR="0018788B" w:rsidRPr="00330FDA" w14:paraId="382C3F06" w14:textId="7DCEFC05" w:rsidTr="00F4073B">
        <w:trPr>
          <w:trHeight w:val="70"/>
        </w:trPr>
        <w:tc>
          <w:tcPr>
            <w:tcW w:w="540" w:type="dxa"/>
            <w:shd w:val="clear" w:color="000000" w:fill="FFFFFF"/>
            <w:noWrap/>
            <w:vAlign w:val="center"/>
          </w:tcPr>
          <w:p w14:paraId="33092751" w14:textId="0D63C9B5" w:rsidR="0018788B" w:rsidRPr="00330FDA" w:rsidRDefault="000B42AA" w:rsidP="00F4073B">
            <w:pPr>
              <w:spacing w:after="0" w:line="276" w:lineRule="auto"/>
              <w:jc w:val="center"/>
              <w:rPr>
                <w:rFonts w:ascii="Times" w:hAnsi="Times"/>
                <w:sz w:val="20"/>
                <w:szCs w:val="20"/>
              </w:rPr>
            </w:pPr>
            <w:r>
              <w:rPr>
                <w:rFonts w:ascii="Times" w:hAnsi="Times"/>
                <w:sz w:val="20"/>
                <w:szCs w:val="20"/>
              </w:rPr>
              <w:t>4</w:t>
            </w:r>
          </w:p>
        </w:tc>
        <w:tc>
          <w:tcPr>
            <w:tcW w:w="735" w:type="dxa"/>
            <w:shd w:val="clear" w:color="000000" w:fill="FFFFFF"/>
            <w:noWrap/>
            <w:vAlign w:val="center"/>
          </w:tcPr>
          <w:p w14:paraId="01361071" w14:textId="76437902" w:rsidR="0018788B" w:rsidRPr="00330FDA" w:rsidRDefault="005F7199" w:rsidP="00F4073B">
            <w:pPr>
              <w:spacing w:after="0" w:line="276" w:lineRule="auto"/>
              <w:jc w:val="center"/>
              <w:rPr>
                <w:rFonts w:ascii="Times" w:hAnsi="Times"/>
                <w:sz w:val="20"/>
                <w:szCs w:val="20"/>
              </w:rPr>
            </w:pPr>
            <w:r>
              <w:rPr>
                <w:rFonts w:ascii="Times" w:hAnsi="Times"/>
                <w:sz w:val="20"/>
                <w:szCs w:val="20"/>
              </w:rPr>
              <w:t>3</w:t>
            </w:r>
          </w:p>
        </w:tc>
        <w:tc>
          <w:tcPr>
            <w:tcW w:w="863" w:type="dxa"/>
            <w:shd w:val="clear" w:color="000000" w:fill="FFFFFF"/>
            <w:vAlign w:val="center"/>
          </w:tcPr>
          <w:p w14:paraId="12217381" w14:textId="3028C1B2" w:rsidR="0018788B" w:rsidRPr="00330FDA" w:rsidRDefault="0018788B" w:rsidP="00F4073B">
            <w:pPr>
              <w:spacing w:after="0" w:line="276" w:lineRule="auto"/>
              <w:jc w:val="center"/>
              <w:rPr>
                <w:rFonts w:ascii="Times" w:hAnsi="Times"/>
                <w:color w:val="000000"/>
                <w:sz w:val="20"/>
                <w:szCs w:val="20"/>
              </w:rPr>
            </w:pPr>
            <w:r>
              <w:rPr>
                <w:rFonts w:ascii="Times" w:hAnsi="Times"/>
                <w:color w:val="000000"/>
                <w:sz w:val="20"/>
                <w:szCs w:val="20"/>
              </w:rPr>
              <w:t>Unidade</w:t>
            </w:r>
          </w:p>
        </w:tc>
        <w:tc>
          <w:tcPr>
            <w:tcW w:w="6012" w:type="dxa"/>
            <w:shd w:val="clear" w:color="000000" w:fill="FFFFFF"/>
            <w:vAlign w:val="center"/>
          </w:tcPr>
          <w:p w14:paraId="2858D509" w14:textId="7258DED8" w:rsidR="0018788B" w:rsidRPr="00330FDA" w:rsidRDefault="000B72D3" w:rsidP="00F4073B">
            <w:pPr>
              <w:spacing w:after="0" w:line="276" w:lineRule="auto"/>
              <w:jc w:val="both"/>
              <w:rPr>
                <w:rFonts w:ascii="Times" w:hAnsi="Times"/>
                <w:b/>
                <w:bCs/>
                <w:color w:val="000000"/>
                <w:sz w:val="20"/>
                <w:szCs w:val="20"/>
                <w:lang w:eastAsia="pt-BR"/>
              </w:rPr>
            </w:pPr>
            <w:r w:rsidRPr="000B72D3">
              <w:rPr>
                <w:rFonts w:ascii="Times" w:hAnsi="Times"/>
                <w:b/>
                <w:bCs/>
                <w:color w:val="000000"/>
                <w:sz w:val="20"/>
                <w:szCs w:val="20"/>
              </w:rPr>
              <w:t>MOTOSSERRA DE USO PROFISSIONAL</w:t>
            </w:r>
            <w:r w:rsidRPr="000B72D3">
              <w:rPr>
                <w:rFonts w:ascii="Times" w:hAnsi="Times"/>
                <w:color w:val="000000"/>
                <w:sz w:val="20"/>
                <w:szCs w:val="20"/>
              </w:rPr>
              <w:t>, com motorização a gasolina, ciclo 2 tempos, tensor lateral da corrente e comando por uma só alavanca. Características mínimas comprovadas pelo manual do fabricante: tanque de combustível de aproximadamente 460 ml; cilindrada de 50,2 cm³; corrente com passo .325" e espessura do elo de tração de 1,6 mm/0,063"; peso aproximado de 4,8 kg, sem combustível, sabre e corrente; e potência de 2,6 kW/3,5 cv. O ano de fabricação e o número de série deverão estar identificados no equipamento. Deverá ser entregue nova, montada, com corrente, proteção e demais acessórios necessários. Garantia mínima de 24 (vinte e quatro) meses.</w:t>
            </w:r>
          </w:p>
        </w:tc>
        <w:tc>
          <w:tcPr>
            <w:tcW w:w="1418" w:type="dxa"/>
            <w:shd w:val="clear" w:color="000000" w:fill="FFFFFF"/>
            <w:noWrap/>
            <w:vAlign w:val="center"/>
          </w:tcPr>
          <w:p w14:paraId="72F18FF2" w14:textId="7A8A5E70"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R$ 2.724,30</w:t>
            </w:r>
          </w:p>
        </w:tc>
        <w:tc>
          <w:tcPr>
            <w:tcW w:w="1275" w:type="dxa"/>
            <w:shd w:val="clear" w:color="000000" w:fill="FFFFFF"/>
            <w:vAlign w:val="center"/>
          </w:tcPr>
          <w:p w14:paraId="08A747C0" w14:textId="40013775" w:rsidR="0018788B" w:rsidRPr="00330FDA" w:rsidRDefault="00632CA2" w:rsidP="00F4073B">
            <w:pPr>
              <w:spacing w:after="0" w:line="276" w:lineRule="auto"/>
              <w:jc w:val="center"/>
              <w:rPr>
                <w:rFonts w:ascii="Times" w:hAnsi="Times"/>
                <w:sz w:val="20"/>
                <w:szCs w:val="20"/>
              </w:rPr>
            </w:pPr>
            <w:r w:rsidRPr="00632CA2">
              <w:rPr>
                <w:rFonts w:ascii="Times" w:hAnsi="Times"/>
                <w:sz w:val="20"/>
                <w:szCs w:val="20"/>
              </w:rPr>
              <w:t>R$ 8.172,90</w:t>
            </w:r>
          </w:p>
        </w:tc>
      </w:tr>
      <w:tr w:rsidR="005F7199" w:rsidRPr="00330FDA" w14:paraId="1D043D7D" w14:textId="77777777" w:rsidTr="00F4073B">
        <w:trPr>
          <w:trHeight w:val="70"/>
        </w:trPr>
        <w:tc>
          <w:tcPr>
            <w:tcW w:w="540" w:type="dxa"/>
            <w:shd w:val="clear" w:color="000000" w:fill="FFFFFF"/>
            <w:noWrap/>
            <w:vAlign w:val="center"/>
          </w:tcPr>
          <w:p w14:paraId="66135DBE" w14:textId="483DED22" w:rsidR="005F7199" w:rsidRPr="00330FDA" w:rsidRDefault="000B42AA" w:rsidP="00F4073B">
            <w:pPr>
              <w:spacing w:after="0" w:line="276" w:lineRule="auto"/>
              <w:jc w:val="center"/>
              <w:rPr>
                <w:rFonts w:ascii="Times" w:hAnsi="Times"/>
                <w:sz w:val="20"/>
                <w:szCs w:val="20"/>
              </w:rPr>
            </w:pPr>
            <w:r>
              <w:rPr>
                <w:rFonts w:ascii="Times" w:hAnsi="Times"/>
                <w:sz w:val="20"/>
                <w:szCs w:val="20"/>
              </w:rPr>
              <w:t>5</w:t>
            </w:r>
          </w:p>
        </w:tc>
        <w:tc>
          <w:tcPr>
            <w:tcW w:w="735" w:type="dxa"/>
            <w:shd w:val="clear" w:color="000000" w:fill="FFFFFF"/>
            <w:noWrap/>
            <w:vAlign w:val="center"/>
          </w:tcPr>
          <w:p w14:paraId="10002BFA" w14:textId="72043B40" w:rsidR="005F7199" w:rsidRDefault="005F7199" w:rsidP="00F4073B">
            <w:pPr>
              <w:spacing w:after="0" w:line="276" w:lineRule="auto"/>
              <w:jc w:val="center"/>
              <w:rPr>
                <w:rFonts w:ascii="Times" w:hAnsi="Times"/>
                <w:sz w:val="20"/>
                <w:szCs w:val="20"/>
              </w:rPr>
            </w:pPr>
            <w:r>
              <w:rPr>
                <w:rFonts w:ascii="Times" w:hAnsi="Times"/>
                <w:sz w:val="20"/>
                <w:szCs w:val="20"/>
              </w:rPr>
              <w:t>1</w:t>
            </w:r>
          </w:p>
        </w:tc>
        <w:tc>
          <w:tcPr>
            <w:tcW w:w="863" w:type="dxa"/>
            <w:shd w:val="clear" w:color="000000" w:fill="FFFFFF"/>
            <w:vAlign w:val="center"/>
          </w:tcPr>
          <w:p w14:paraId="71A3C326" w14:textId="2FAC33C8" w:rsidR="005F7199" w:rsidRDefault="005F7199" w:rsidP="00F4073B">
            <w:pPr>
              <w:spacing w:after="0" w:line="276" w:lineRule="auto"/>
              <w:jc w:val="center"/>
              <w:rPr>
                <w:rFonts w:ascii="Times" w:hAnsi="Times"/>
                <w:color w:val="000000"/>
                <w:sz w:val="20"/>
                <w:szCs w:val="20"/>
              </w:rPr>
            </w:pPr>
            <w:r>
              <w:rPr>
                <w:rFonts w:ascii="Times" w:hAnsi="Times"/>
                <w:color w:val="000000"/>
                <w:sz w:val="20"/>
                <w:szCs w:val="20"/>
              </w:rPr>
              <w:t>Unidade</w:t>
            </w:r>
          </w:p>
        </w:tc>
        <w:tc>
          <w:tcPr>
            <w:tcW w:w="6012" w:type="dxa"/>
            <w:shd w:val="clear" w:color="000000" w:fill="FFFFFF"/>
            <w:vAlign w:val="center"/>
          </w:tcPr>
          <w:p w14:paraId="328284E3" w14:textId="73C5A1FB" w:rsidR="005F7199" w:rsidRPr="00330FDA" w:rsidRDefault="005F7199" w:rsidP="00F4073B">
            <w:pPr>
              <w:spacing w:after="0" w:line="276" w:lineRule="auto"/>
              <w:jc w:val="both"/>
              <w:rPr>
                <w:rFonts w:ascii="Times" w:hAnsi="Times"/>
                <w:b/>
                <w:bCs/>
                <w:color w:val="000000"/>
                <w:sz w:val="20"/>
                <w:szCs w:val="20"/>
              </w:rPr>
            </w:pPr>
            <w:r w:rsidRPr="005F7199">
              <w:rPr>
                <w:rFonts w:ascii="Times" w:hAnsi="Times"/>
                <w:b/>
                <w:bCs/>
                <w:color w:val="000000"/>
                <w:sz w:val="20"/>
                <w:szCs w:val="20"/>
              </w:rPr>
              <w:t xml:space="preserve">CORTADOR DE GRAMA </w:t>
            </w:r>
            <w:r w:rsidRPr="005F7199">
              <w:rPr>
                <w:rFonts w:ascii="Times" w:hAnsi="Times"/>
                <w:color w:val="000000"/>
                <w:sz w:val="20"/>
                <w:szCs w:val="20"/>
              </w:rPr>
              <w:t xml:space="preserve">4 tempos com </w:t>
            </w:r>
            <w:r>
              <w:rPr>
                <w:rFonts w:ascii="Times" w:hAnsi="Times"/>
                <w:color w:val="000000"/>
                <w:sz w:val="20"/>
                <w:szCs w:val="20"/>
              </w:rPr>
              <w:t>S</w:t>
            </w:r>
            <w:r w:rsidRPr="005F7199">
              <w:rPr>
                <w:rFonts w:ascii="Times" w:hAnsi="Times"/>
                <w:color w:val="000000"/>
                <w:sz w:val="20"/>
                <w:szCs w:val="20"/>
              </w:rPr>
              <w:t xml:space="preserve">istema de </w:t>
            </w:r>
            <w:r>
              <w:rPr>
                <w:rFonts w:ascii="Times" w:hAnsi="Times"/>
                <w:color w:val="000000"/>
                <w:sz w:val="20"/>
                <w:szCs w:val="20"/>
              </w:rPr>
              <w:t>T</w:t>
            </w:r>
            <w:r w:rsidRPr="005F7199">
              <w:rPr>
                <w:rFonts w:ascii="Times" w:hAnsi="Times"/>
                <w:color w:val="000000"/>
                <w:sz w:val="20"/>
                <w:szCs w:val="20"/>
              </w:rPr>
              <w:t>ração</w:t>
            </w:r>
            <w:r>
              <w:rPr>
                <w:rFonts w:ascii="Times" w:hAnsi="Times"/>
                <w:color w:val="000000"/>
                <w:sz w:val="20"/>
                <w:szCs w:val="20"/>
              </w:rPr>
              <w:t>. P</w:t>
            </w:r>
            <w:r w:rsidRPr="005F7199">
              <w:rPr>
                <w:rFonts w:ascii="Times" w:hAnsi="Times"/>
                <w:color w:val="000000"/>
                <w:sz w:val="20"/>
                <w:szCs w:val="20"/>
              </w:rPr>
              <w:t>ot</w:t>
            </w:r>
            <w:r>
              <w:rPr>
                <w:rFonts w:ascii="Times" w:hAnsi="Times"/>
                <w:color w:val="000000"/>
                <w:sz w:val="20"/>
                <w:szCs w:val="20"/>
              </w:rPr>
              <w:t>ê</w:t>
            </w:r>
            <w:r w:rsidRPr="005F7199">
              <w:rPr>
                <w:rFonts w:ascii="Times" w:hAnsi="Times"/>
                <w:color w:val="000000"/>
                <w:sz w:val="20"/>
                <w:szCs w:val="20"/>
              </w:rPr>
              <w:t xml:space="preserve">ncia igual ou superior 1,8/2,5 </w:t>
            </w:r>
            <w:r>
              <w:rPr>
                <w:rFonts w:ascii="Times" w:hAnsi="Times"/>
                <w:color w:val="000000"/>
                <w:sz w:val="20"/>
                <w:szCs w:val="20"/>
              </w:rPr>
              <w:t>K</w:t>
            </w:r>
            <w:r w:rsidRPr="005F7199">
              <w:rPr>
                <w:rFonts w:ascii="Times" w:hAnsi="Times"/>
                <w:color w:val="000000"/>
                <w:sz w:val="20"/>
                <w:szCs w:val="20"/>
              </w:rPr>
              <w:t>w/</w:t>
            </w:r>
            <w:r>
              <w:rPr>
                <w:rFonts w:ascii="Times" w:hAnsi="Times"/>
                <w:color w:val="000000"/>
                <w:sz w:val="20"/>
                <w:szCs w:val="20"/>
              </w:rPr>
              <w:t>c</w:t>
            </w:r>
            <w:r w:rsidRPr="005F7199">
              <w:rPr>
                <w:rFonts w:ascii="Times" w:hAnsi="Times"/>
                <w:color w:val="000000"/>
                <w:sz w:val="20"/>
                <w:szCs w:val="20"/>
              </w:rPr>
              <w:t>v, motor com</w:t>
            </w:r>
            <w:r>
              <w:rPr>
                <w:rFonts w:ascii="Times" w:hAnsi="Times"/>
                <w:color w:val="000000"/>
                <w:sz w:val="20"/>
                <w:szCs w:val="20"/>
              </w:rPr>
              <w:t xml:space="preserve"> </w:t>
            </w:r>
            <w:r w:rsidRPr="005F7199">
              <w:rPr>
                <w:rFonts w:ascii="Times" w:hAnsi="Times"/>
                <w:color w:val="000000"/>
                <w:sz w:val="20"/>
                <w:szCs w:val="20"/>
              </w:rPr>
              <w:t>aproximadamente 127</w:t>
            </w:r>
            <w:r>
              <w:rPr>
                <w:rFonts w:ascii="Times" w:hAnsi="Times"/>
                <w:color w:val="000000"/>
                <w:sz w:val="20"/>
                <w:szCs w:val="20"/>
              </w:rPr>
              <w:t xml:space="preserve"> </w:t>
            </w:r>
            <w:r w:rsidRPr="005F7199">
              <w:rPr>
                <w:rFonts w:ascii="Times" w:hAnsi="Times"/>
                <w:color w:val="000000"/>
                <w:sz w:val="20"/>
                <w:szCs w:val="20"/>
              </w:rPr>
              <w:t>cm³, di</w:t>
            </w:r>
            <w:r>
              <w:rPr>
                <w:rFonts w:ascii="Times" w:hAnsi="Times"/>
                <w:color w:val="000000"/>
                <w:sz w:val="20"/>
                <w:szCs w:val="20"/>
              </w:rPr>
              <w:t>â</w:t>
            </w:r>
            <w:r w:rsidRPr="005F7199">
              <w:rPr>
                <w:rFonts w:ascii="Times" w:hAnsi="Times"/>
                <w:color w:val="000000"/>
                <w:sz w:val="20"/>
                <w:szCs w:val="20"/>
              </w:rPr>
              <w:t>metro de corte aproximado</w:t>
            </w:r>
            <w:r>
              <w:rPr>
                <w:rFonts w:ascii="Times" w:hAnsi="Times"/>
                <w:color w:val="000000"/>
                <w:sz w:val="20"/>
                <w:szCs w:val="20"/>
              </w:rPr>
              <w:t xml:space="preserve"> de</w:t>
            </w:r>
            <w:r w:rsidRPr="005F7199">
              <w:rPr>
                <w:rFonts w:ascii="Times" w:hAnsi="Times"/>
                <w:color w:val="000000"/>
                <w:sz w:val="20"/>
                <w:szCs w:val="20"/>
              </w:rPr>
              <w:t xml:space="preserve"> 51 cm e capacidade de tanque de 0,8l</w:t>
            </w:r>
            <w:r>
              <w:rPr>
                <w:rFonts w:ascii="Times" w:hAnsi="Times"/>
                <w:color w:val="000000"/>
                <w:sz w:val="20"/>
                <w:szCs w:val="20"/>
              </w:rPr>
              <w:t>.</w:t>
            </w:r>
          </w:p>
        </w:tc>
        <w:tc>
          <w:tcPr>
            <w:tcW w:w="1418" w:type="dxa"/>
            <w:shd w:val="clear" w:color="000000" w:fill="FFFFFF"/>
            <w:noWrap/>
            <w:vAlign w:val="center"/>
          </w:tcPr>
          <w:p w14:paraId="5430CA83" w14:textId="59808116" w:rsidR="005F7199" w:rsidRPr="00330FDA" w:rsidRDefault="00632CA2" w:rsidP="00F4073B">
            <w:pPr>
              <w:spacing w:after="0" w:line="276" w:lineRule="auto"/>
              <w:jc w:val="center"/>
              <w:rPr>
                <w:rFonts w:ascii="Times" w:hAnsi="Times"/>
                <w:sz w:val="20"/>
                <w:szCs w:val="20"/>
              </w:rPr>
            </w:pPr>
            <w:r w:rsidRPr="00632CA2">
              <w:rPr>
                <w:rFonts w:ascii="Times" w:hAnsi="Times"/>
                <w:sz w:val="20"/>
                <w:szCs w:val="20"/>
              </w:rPr>
              <w:t>R$ 4.275,81</w:t>
            </w:r>
          </w:p>
        </w:tc>
        <w:tc>
          <w:tcPr>
            <w:tcW w:w="1275" w:type="dxa"/>
            <w:shd w:val="clear" w:color="000000" w:fill="FFFFFF"/>
            <w:vAlign w:val="center"/>
          </w:tcPr>
          <w:p w14:paraId="6ED5D975" w14:textId="44379D3E" w:rsidR="005F7199" w:rsidRPr="00330FDA" w:rsidRDefault="00632CA2" w:rsidP="00F4073B">
            <w:pPr>
              <w:spacing w:after="0" w:line="276" w:lineRule="auto"/>
              <w:jc w:val="center"/>
              <w:rPr>
                <w:rFonts w:ascii="Times" w:hAnsi="Times"/>
                <w:sz w:val="20"/>
                <w:szCs w:val="20"/>
              </w:rPr>
            </w:pPr>
            <w:r w:rsidRPr="00632CA2">
              <w:rPr>
                <w:rFonts w:ascii="Times" w:hAnsi="Times"/>
                <w:sz w:val="20"/>
                <w:szCs w:val="20"/>
              </w:rPr>
              <w:t>R$ 4.275,81</w:t>
            </w:r>
          </w:p>
        </w:tc>
      </w:tr>
      <w:tr w:rsidR="000B72D3" w:rsidRPr="00330FDA" w14:paraId="298E694E" w14:textId="77777777" w:rsidTr="00F4073B">
        <w:trPr>
          <w:trHeight w:val="3396"/>
        </w:trPr>
        <w:tc>
          <w:tcPr>
            <w:tcW w:w="540" w:type="dxa"/>
            <w:shd w:val="clear" w:color="000000" w:fill="FFFFFF"/>
            <w:noWrap/>
            <w:vAlign w:val="center"/>
          </w:tcPr>
          <w:p w14:paraId="1B0583ED" w14:textId="66501B48" w:rsidR="000B72D3" w:rsidRDefault="00632CA2" w:rsidP="00F4073B">
            <w:pPr>
              <w:spacing w:after="0" w:line="276" w:lineRule="auto"/>
              <w:jc w:val="center"/>
              <w:rPr>
                <w:rFonts w:ascii="Times" w:hAnsi="Times"/>
                <w:sz w:val="20"/>
                <w:szCs w:val="20"/>
              </w:rPr>
            </w:pPr>
            <w:r>
              <w:rPr>
                <w:rFonts w:ascii="Times" w:hAnsi="Times"/>
                <w:sz w:val="20"/>
                <w:szCs w:val="20"/>
              </w:rPr>
              <w:t>6</w:t>
            </w:r>
          </w:p>
        </w:tc>
        <w:tc>
          <w:tcPr>
            <w:tcW w:w="735" w:type="dxa"/>
            <w:shd w:val="clear" w:color="000000" w:fill="FFFFFF"/>
            <w:noWrap/>
            <w:vAlign w:val="center"/>
          </w:tcPr>
          <w:p w14:paraId="3DA2E26E" w14:textId="009890E8" w:rsidR="000B72D3" w:rsidRDefault="000B72D3" w:rsidP="00F4073B">
            <w:pPr>
              <w:spacing w:after="0" w:line="276" w:lineRule="auto"/>
              <w:jc w:val="center"/>
              <w:rPr>
                <w:rFonts w:ascii="Times" w:hAnsi="Times"/>
                <w:sz w:val="20"/>
                <w:szCs w:val="20"/>
              </w:rPr>
            </w:pPr>
            <w:r>
              <w:rPr>
                <w:rFonts w:ascii="Times New Roman" w:hAnsi="Times New Roman"/>
                <w:sz w:val="20"/>
                <w:szCs w:val="20"/>
              </w:rPr>
              <w:t>1</w:t>
            </w:r>
          </w:p>
        </w:tc>
        <w:tc>
          <w:tcPr>
            <w:tcW w:w="863" w:type="dxa"/>
            <w:shd w:val="clear" w:color="000000" w:fill="FFFFFF"/>
            <w:vAlign w:val="center"/>
          </w:tcPr>
          <w:p w14:paraId="2CD56CCE" w14:textId="77FBCFD9" w:rsidR="000B72D3" w:rsidRDefault="000B72D3" w:rsidP="00F4073B">
            <w:pPr>
              <w:spacing w:after="0" w:line="276" w:lineRule="auto"/>
              <w:jc w:val="center"/>
              <w:rPr>
                <w:rFonts w:ascii="Times" w:hAnsi="Times"/>
                <w:color w:val="000000"/>
                <w:sz w:val="20"/>
                <w:szCs w:val="20"/>
              </w:rPr>
            </w:pPr>
            <w:r>
              <w:rPr>
                <w:rFonts w:ascii="Times New Roman" w:hAnsi="Times New Roman"/>
                <w:color w:val="000000"/>
                <w:sz w:val="20"/>
                <w:szCs w:val="20"/>
              </w:rPr>
              <w:t>Unidade</w:t>
            </w:r>
          </w:p>
        </w:tc>
        <w:tc>
          <w:tcPr>
            <w:tcW w:w="6012" w:type="dxa"/>
            <w:shd w:val="clear" w:color="000000" w:fill="FFFFFF"/>
            <w:vAlign w:val="center"/>
          </w:tcPr>
          <w:p w14:paraId="12BBE252" w14:textId="007E8FB9" w:rsidR="000B72D3" w:rsidRPr="00F4073B" w:rsidRDefault="00F4073B" w:rsidP="00F4073B">
            <w:pPr>
              <w:spacing w:after="0" w:line="276" w:lineRule="auto"/>
              <w:jc w:val="both"/>
              <w:rPr>
                <w:rFonts w:ascii="Times New Roman" w:hAnsi="Times New Roman"/>
                <w:b/>
                <w:bCs/>
                <w:color w:val="000000"/>
                <w:sz w:val="20"/>
                <w:szCs w:val="20"/>
              </w:rPr>
            </w:pPr>
            <w:r w:rsidRPr="00F4073B">
              <w:rPr>
                <w:rFonts w:ascii="Times New Roman" w:hAnsi="Times New Roman"/>
                <w:b/>
                <w:bCs/>
                <w:color w:val="000000"/>
                <w:sz w:val="20"/>
                <w:szCs w:val="20"/>
              </w:rPr>
              <w:t>PICADOR E TRITURADOR MÓVEL DE GALHOS E TRONCOS REBOCÁVEL</w:t>
            </w:r>
            <w:r>
              <w:rPr>
                <w:rFonts w:ascii="Times New Roman" w:hAnsi="Times New Roman"/>
                <w:b/>
                <w:bCs/>
                <w:color w:val="000000"/>
                <w:sz w:val="20"/>
                <w:szCs w:val="20"/>
              </w:rPr>
              <w:t xml:space="preserve">. </w:t>
            </w:r>
            <w:r w:rsidRPr="00F4073B">
              <w:rPr>
                <w:rFonts w:ascii="Times New Roman" w:hAnsi="Times New Roman"/>
                <w:color w:val="000000"/>
                <w:sz w:val="20"/>
                <w:szCs w:val="20"/>
              </w:rPr>
              <w:t>Equipamento novo, sem uso anterior, destinado ao processamento e à redução volumétrica de resíduos verdes urbanos, rurais e florestais, incluindo galhos, podas, troncos, arbustos, fibras vegetais, folhas e materiais similares, próprio para utilização contínua em serviços municipais de manejo de vegetação, limpeza urbana e rural, manutenção de áreas verdes e destinação ou reaproveitamento de resíduos vegetais.</w:t>
            </w:r>
            <w:r>
              <w:rPr>
                <w:rFonts w:ascii="Times New Roman" w:hAnsi="Times New Roman"/>
                <w:color w:val="000000"/>
                <w:sz w:val="20"/>
                <w:szCs w:val="20"/>
              </w:rPr>
              <w:t xml:space="preserve"> </w:t>
            </w:r>
            <w:r w:rsidRPr="00F4073B">
              <w:rPr>
                <w:rFonts w:ascii="Times New Roman" w:hAnsi="Times New Roman"/>
                <w:color w:val="000000"/>
                <w:sz w:val="20"/>
                <w:szCs w:val="20"/>
              </w:rPr>
              <w:t>O equipamento deverá possuir configuração móvel e rebocável, montado sobre chassi rodoviário estruturalmente dimensionado para seu peso e condições de operação, confeccionado em aço estrutural de alta resistência ou material metálico de desempenho equivalente ou superior, com adequada proteção contra corrosão e intempéries. Deverá ser fornecido novo, acabado, montado e em condições de operação e, quando sujeito a registro, licenciamento ou homologação para circulação em vias públicas, deverá possuir toda a documentação exigível pela legislação brasileira, inclusive Certificado de Adequação à Legislação de Trânsito – CAT, quando aplicável, bem como demais certificados, inspeções ou documentos legalmente necessários à sua regularização.</w:t>
            </w:r>
            <w:r>
              <w:rPr>
                <w:rFonts w:ascii="Times New Roman" w:hAnsi="Times New Roman"/>
                <w:color w:val="000000"/>
                <w:sz w:val="20"/>
                <w:szCs w:val="20"/>
              </w:rPr>
              <w:t xml:space="preserve"> </w:t>
            </w:r>
            <w:r w:rsidRPr="00F4073B">
              <w:rPr>
                <w:rFonts w:ascii="Times New Roman" w:hAnsi="Times New Roman"/>
                <w:color w:val="000000"/>
                <w:sz w:val="20"/>
                <w:szCs w:val="20"/>
              </w:rPr>
              <w:t>Deverá possuir capacidade para processamento de troncos e galhos com diâmetro mínimo de 230 mm, admitindo capacidade superior. A boca ou garganta efetiva de alimentação deverá possuir dimensões mínimas aproximadas de 230 mm de altura por 350 mm de largura, ou área e configuração superiores que permitam o processamento de material volumoso e ramificado sem necessidade excessiva de preparação prévia.</w:t>
            </w:r>
            <w:r>
              <w:rPr>
                <w:rFonts w:ascii="Times New Roman" w:hAnsi="Times New Roman"/>
                <w:color w:val="000000"/>
                <w:sz w:val="20"/>
                <w:szCs w:val="20"/>
              </w:rPr>
              <w:t xml:space="preserve"> </w:t>
            </w:r>
            <w:r w:rsidRPr="00F4073B">
              <w:rPr>
                <w:rFonts w:ascii="Times New Roman" w:hAnsi="Times New Roman"/>
                <w:color w:val="000000"/>
                <w:sz w:val="20"/>
                <w:szCs w:val="20"/>
              </w:rPr>
              <w:t xml:space="preserve">Deverá apresentar capacidade operacional compatível com serviços de médio e grande porte, com produção capaz de atingir aproximadamente 12 m³/h de material triturado, considerada a natureza, densidade, umidade, geometria e forma de alimentação dos resíduos. Deverá proporcionar elevada redução volumétrica dos resíduos, tendo como referência operacional relações que possam alcançar aproximadamente 10 volumes de material bruto para 1 volume de material processado, conforme as características do material, sem que essa relação constitua índice invariável para todas as condições de trabalho. O material resultante deverá apresentar granulometria adequada ao transporte, reaproveitamento, cobertura vegetal e compostagem, preferencialmente na faixa de aproximadamente 10 a 20 mm quando tecnicamente </w:t>
            </w:r>
            <w:r w:rsidRPr="00F4073B">
              <w:rPr>
                <w:rFonts w:ascii="Times New Roman" w:hAnsi="Times New Roman"/>
                <w:color w:val="000000"/>
                <w:sz w:val="20"/>
                <w:szCs w:val="20"/>
              </w:rPr>
              <w:lastRenderedPageBreak/>
              <w:t>ajustável, admitidas variações inerentes à tecnologia de corte e ao material processado.</w:t>
            </w:r>
            <w:r w:rsidRPr="00F4073B">
              <w:rPr>
                <w:rFonts w:ascii="Times New Roman" w:hAnsi="Times New Roman"/>
                <w:b/>
                <w:bCs/>
                <w:color w:val="000000"/>
                <w:sz w:val="20"/>
                <w:szCs w:val="20"/>
              </w:rPr>
              <w:t xml:space="preserve"> </w:t>
            </w:r>
            <w:r w:rsidRPr="00F4073B">
              <w:rPr>
                <w:rFonts w:ascii="Times New Roman" w:hAnsi="Times New Roman"/>
                <w:color w:val="000000"/>
                <w:sz w:val="20"/>
                <w:szCs w:val="20"/>
              </w:rPr>
              <w:t xml:space="preserve">O sistema de alimentação deverá ser mecanizado e de acionamento hidráulico ou eletro-hidráulico, composto por no mínimo 01 (um) rolo </w:t>
            </w:r>
            <w:proofErr w:type="spellStart"/>
            <w:r w:rsidRPr="00F4073B">
              <w:rPr>
                <w:rFonts w:ascii="Times New Roman" w:hAnsi="Times New Roman"/>
                <w:color w:val="000000"/>
                <w:sz w:val="20"/>
                <w:szCs w:val="20"/>
              </w:rPr>
              <w:t>tracionador</w:t>
            </w:r>
            <w:proofErr w:type="spellEnd"/>
            <w:r w:rsidRPr="00F4073B">
              <w:rPr>
                <w:rFonts w:ascii="Times New Roman" w:hAnsi="Times New Roman"/>
                <w:color w:val="000000"/>
                <w:sz w:val="20"/>
                <w:szCs w:val="20"/>
              </w:rPr>
              <w:t xml:space="preserve"> em posição horizontal, ou solução funcional equivalente que preserve a alimentação mecanizada do material, dotado de elementos de tração adequados ao arraste de galhos e troncos. O sistema deverá permitir controle da alimentação, parada e reversão, bem como possuir gerenciamento automático ou eletrônico capaz de interromper, reduzir ou reverter a alimentação quando detectada sobrecarga ou redução excessiva da rotação do sistema de corte, protegendo o conjunto motriz e facilitando a desobstrução do equipamento.</w:t>
            </w:r>
            <w:r>
              <w:rPr>
                <w:rFonts w:ascii="Times New Roman" w:hAnsi="Times New Roman"/>
                <w:color w:val="000000"/>
                <w:sz w:val="20"/>
                <w:szCs w:val="20"/>
              </w:rPr>
              <w:t xml:space="preserve"> </w:t>
            </w:r>
            <w:r w:rsidRPr="00F4073B">
              <w:rPr>
                <w:rFonts w:ascii="Times New Roman" w:hAnsi="Times New Roman"/>
                <w:color w:val="000000"/>
                <w:sz w:val="20"/>
                <w:szCs w:val="20"/>
              </w:rPr>
              <w:t>O circuito hidráulico deverá ser independente ou integrado ao equipamento, devidamente dimensionado para o sistema de alimentação, com reservatório de óleo hidráulico de capacidade não inferior a aproximadamente 26 litros, sistema de filtragem e demais componentes necessários ao funcionamento contínuo e seguro.</w:t>
            </w:r>
            <w:r w:rsidRPr="00F4073B">
              <w:rPr>
                <w:rFonts w:ascii="Times New Roman" w:hAnsi="Times New Roman"/>
                <w:b/>
                <w:bCs/>
                <w:color w:val="000000"/>
                <w:sz w:val="20"/>
                <w:szCs w:val="20"/>
              </w:rPr>
              <w:t xml:space="preserve"> </w:t>
            </w:r>
            <w:r w:rsidRPr="00F4073B">
              <w:rPr>
                <w:rFonts w:ascii="Times New Roman" w:hAnsi="Times New Roman"/>
                <w:color w:val="000000"/>
                <w:sz w:val="20"/>
                <w:szCs w:val="20"/>
              </w:rPr>
              <w:t>A calha ou mesa de alimentação deverá possuir dimensões e configuração compatíveis com a introdução segura de galhos e materiais volumosos, com bandeja ou extensão de alimentação dobrável ou rebatível para transporte, proteções laterais e cortina, anteparo flexível ou dispositivo equivalente de contenção contra projeção de materiais. Deverá possuir dispositivos de parada de emergência e comandos de alimentação posicionados em local acessível ao operador, bem como todos os sistemas de proteção necessários ao atendimento da NR-12 e demais normas de segurança aplicáveis. O acionamento principal deverá ser realizado por motor diesel de no mínimo 59 HP, admitida potência superior, com 04 (quatro) cilindros, partida elétrica e compartimento ou proteção estrutural do motor que impeça contato acidental com componentes móveis ou aquecidos. O sistema de arrefecimento poderá utilizar ar e óleo, líquido ou tecnologia tecnicamente equivalente, desde que dimensionado pelo fabricante para permitir operação contínua nas condições previstas.</w:t>
            </w:r>
            <w:r w:rsidRPr="00F4073B">
              <w:rPr>
                <w:rFonts w:ascii="Times New Roman" w:hAnsi="Times New Roman"/>
                <w:b/>
                <w:bCs/>
                <w:color w:val="000000"/>
                <w:sz w:val="20"/>
                <w:szCs w:val="20"/>
              </w:rPr>
              <w:t xml:space="preserve"> </w:t>
            </w:r>
            <w:r>
              <w:rPr>
                <w:rFonts w:ascii="Times New Roman" w:hAnsi="Times New Roman"/>
                <w:b/>
                <w:bCs/>
                <w:color w:val="000000"/>
                <w:sz w:val="20"/>
                <w:szCs w:val="20"/>
              </w:rPr>
              <w:t xml:space="preserve"> </w:t>
            </w:r>
            <w:r w:rsidRPr="00F4073B">
              <w:rPr>
                <w:rFonts w:ascii="Times New Roman" w:hAnsi="Times New Roman"/>
                <w:color w:val="000000"/>
                <w:sz w:val="20"/>
                <w:szCs w:val="20"/>
              </w:rPr>
              <w:t>O tanque de combustível deverá possuir capacidade nominal de aproximadamente 65 litros ou superior, admitindo-se capacidade declarada menor quando decorrente da conversão da capacidade nominal adotada pelo fabricante, desde que suficiente à jornada operacional pretendida. O consumo médio de combustível deverá ser compatível com equipamentos profissionais dessa classe, tendo como referência até aproximadamente 6 litros por hora em condições normais de utilização, admitidas variações justificadas em função da potência, regime de carga, espécie e dimensão do material processado, desde que demonstrada eficiência energética compatível com o equipamento ofertado. O sistema elétrico deverá possuir bateria com capacidade compatível com a motorização, tendo como referência mínima de 70 Ah ou capacidade equivalente expressa em outro padrão técnico de desempenho, inclusive CCA, além de alternador e sistema de recarga adequadamente dimensionados.</w:t>
            </w:r>
            <w:r>
              <w:rPr>
                <w:rFonts w:ascii="Times New Roman" w:hAnsi="Times New Roman"/>
                <w:color w:val="000000"/>
                <w:sz w:val="20"/>
                <w:szCs w:val="20"/>
              </w:rPr>
              <w:t xml:space="preserve"> </w:t>
            </w:r>
            <w:r w:rsidRPr="00F4073B">
              <w:rPr>
                <w:rFonts w:ascii="Times New Roman" w:hAnsi="Times New Roman"/>
                <w:color w:val="000000"/>
                <w:sz w:val="20"/>
                <w:szCs w:val="20"/>
              </w:rPr>
              <w:t>Deverá possuir painel ou sistema de monitoramento e controle, digital, eletrônico ou eletromecânico, instalado em posição de fácil visualização e operação, contendo os comandos essenciais de partida, parada e controle do equipamento e, conforme a tecnologia adotada pelo fabricante, indicação ou monitoramento de parâmetros relevantes como horas de operação, rotação do motor ou sistema de corte, nível de combustível, tensão do sistema elétrico, temperatura, alertas operacionais e condição do sistema de alimentação. Serão admitidas diferentes arquiteturas de painel, desde que disponibilizem informações suficientes à operação segura, diagnóstico básico e manutenção preventiva.</w:t>
            </w:r>
            <w:r>
              <w:rPr>
                <w:rFonts w:ascii="Times New Roman" w:hAnsi="Times New Roman"/>
                <w:color w:val="000000"/>
                <w:sz w:val="20"/>
                <w:szCs w:val="20"/>
              </w:rPr>
              <w:t xml:space="preserve"> </w:t>
            </w:r>
            <w:r w:rsidRPr="00F4073B">
              <w:rPr>
                <w:rFonts w:ascii="Times New Roman" w:hAnsi="Times New Roman"/>
                <w:color w:val="000000"/>
                <w:sz w:val="20"/>
                <w:szCs w:val="20"/>
              </w:rPr>
              <w:t xml:space="preserve">O sistema de corte deverá ser formado por disco/rotor, tambor ou conjunto rotativo de tecnologia equivalente, robusto e balanceado, com diâmetro mínimo aproximado de 450 mm, dimensionado pelo fabricante para a capacidade de processamento exigida. Deverá possuir no mínimo 02 (duas) facas ou lâminas de corte, em aço de elevada resistência ao desgaste ou material tecnicamente equivalente, preferencialmente de dupla face, reversíveis e </w:t>
            </w:r>
            <w:proofErr w:type="spellStart"/>
            <w:r w:rsidRPr="00F4073B">
              <w:rPr>
                <w:rFonts w:ascii="Times New Roman" w:hAnsi="Times New Roman"/>
                <w:color w:val="000000"/>
                <w:sz w:val="20"/>
                <w:szCs w:val="20"/>
              </w:rPr>
              <w:t>reafiáveis</w:t>
            </w:r>
            <w:proofErr w:type="spellEnd"/>
            <w:r w:rsidRPr="00F4073B">
              <w:rPr>
                <w:rFonts w:ascii="Times New Roman" w:hAnsi="Times New Roman"/>
                <w:color w:val="000000"/>
                <w:sz w:val="20"/>
                <w:szCs w:val="20"/>
              </w:rPr>
              <w:t xml:space="preserve">, acompanhadas dos respectivos elementos de fixação e de </w:t>
            </w:r>
            <w:proofErr w:type="spellStart"/>
            <w:r w:rsidRPr="00F4073B">
              <w:rPr>
                <w:rFonts w:ascii="Times New Roman" w:hAnsi="Times New Roman"/>
                <w:color w:val="000000"/>
                <w:sz w:val="20"/>
                <w:szCs w:val="20"/>
              </w:rPr>
              <w:t>contra-faca</w:t>
            </w:r>
            <w:proofErr w:type="spellEnd"/>
            <w:r w:rsidRPr="00F4073B">
              <w:rPr>
                <w:rFonts w:ascii="Times New Roman" w:hAnsi="Times New Roman"/>
                <w:color w:val="000000"/>
                <w:sz w:val="20"/>
                <w:szCs w:val="20"/>
              </w:rPr>
              <w:t xml:space="preserve">, bigorna ou componente funcional equivalente. O acionamento do sistema de corte deverá possuir transmissão por correia ou conjunto de correias em “V”, correias de perfil equivalente ou sistema tecnicamente equivalente, com tensionamento adequado e sistema independente de engate ou acionamento por alavanca, comando mecânico, hidráulico ou eletrônico. Deverá existir proteção física dos elementos de transmissão e sistema que impeça ou minimize acionamentos indevidos e danos decorrentes de bloqueio do conjunto de corte. O equipamento deverá possuir bica ou duto de descarga elevada, com altura mínima aproximada de 2,55 m, apta a descarregar o material triturado diretamente em caçambas de caminhões ou em outro ponto determinado. O duto deverá possuir sistema giratório com amplitude mínima de 270°, trava de posicionamento e defletor ou sistema regulável na extremidade para direcionamento dos cavacos. O conjunto rodoviário deverá possuir lança ou estrutura frontal para reboque e engate compatível com veículos tratores, admitindo-se engate esférico de aproximadamente 50 mm ou outro sistema rodoviário homologado de capacidade igual ou superior, desde que a contratada forneça, sem custo adicional, todos os componentes ou adaptadores necessários à plena compatibilidade com o veículo indicado pela Administração. Deverá possuir eixo e suspensão adequados à massa total do equipamento, preferencialmente sistema por torção ou tecnologia equivalente, no mínimo 02 (duas) rodas, com pneus rodoviários de capacidade compatível e aro mínimo 15", admitidos aros superiores. Deverá possuir freio de estacionamento e sistema de frenagem próprio compatível com sua classificação e peso, podendo ser inercial, elétrico, hidráulico ou tecnologia equivalente legalmente admitida, além de cabo, corrente ou dispositivo de segurança para desacoplamento do veículo trator, para-lamas, pé ou macaco frontal de apoio e demais equipamentos exigíveis à circulação rodoviária. Deverá possuir sistema completo de sinalização para reboque, com lanternas traseiras e laterais quando exigíveis, luzes de freio, indicadores de direção, iluminação de placa, refletores e faixas refletivas, utilizando tecnologia LED sempre que compatível, bem como tomada e conexão elétrica compatíveis com o veículo trator e com a legislação de trânsito aplicável. O conjunto deverá possuir peso operacional mínimo aproximado de 1.800 kg, demonstrando construção compatível com utilização profissional e com a classe de capacidade exigida. Para fins de compatibilidade operacional e de transporte, serão admitidas dimensões aproximadas, em condição de transporte, compreendidas entre 2,55 m e 2,75 m de altura, 1,65 m e 2,30 m de largura e 3,40 m e 4,20 m de comprimento, admitidas pequenas variações decorrentes de elementos rebatíveis, engate, defletor ou configuração homologada do fabricante, desde que não comprometam a circulação, estabilidade, segurança e utilização pelo Município. O equipamento deverá ser entregue acompanhado de 01 (um) jogo completo adicional de facas ou lâminas de corte sobressalentes, compatíveis com o modelo ofertado, além das facas instaladas no equipamento. Deverá acompanhar 01 (uma) máquina própria para afiação das facas ou lâminas fornecidas, adequada à geometria e material das ferramentas de corte do equipamento ofertado, com motor elétrico de potência mínima de 0,5 CV, alimentação em 220 V, 60 Hz, admitida alimentação bivolt ou solução elétrica superior compatível, chave liga/desliga, rebolo tipo copo ou outro elemento abrasivo tecnicamente apropriado à afiação das facas, e base, morsa ou sistema de apoio e fixação que permita afiação uniforme e segura. O afiador deverá possuir estrutura rígida e estável e capacidade dimensional suficiente para afiar integralmente todas as facas fornecidas com o equipamento, dispensando adaptações improvisadas ou serviços externos para sua utilização. O equipamento deverá possuir garantia mínima de 12 (doze) meses, sem limitação de horas de operação, contados do recebimento definitivo, prevalecendo prazo superior eventualmente oferecido pela contratada ou pelo fabricante. </w:t>
            </w:r>
          </w:p>
        </w:tc>
        <w:tc>
          <w:tcPr>
            <w:tcW w:w="1418" w:type="dxa"/>
            <w:shd w:val="clear" w:color="000000" w:fill="FFFFFF"/>
            <w:noWrap/>
            <w:vAlign w:val="center"/>
          </w:tcPr>
          <w:p w14:paraId="4CE62234" w14:textId="2BA7A0A6" w:rsidR="000B72D3" w:rsidRPr="005F7199" w:rsidRDefault="00632CA2" w:rsidP="00F4073B">
            <w:pPr>
              <w:spacing w:after="0" w:line="276" w:lineRule="auto"/>
              <w:jc w:val="center"/>
              <w:rPr>
                <w:rFonts w:ascii="Times" w:hAnsi="Times"/>
                <w:sz w:val="20"/>
                <w:szCs w:val="20"/>
              </w:rPr>
            </w:pPr>
            <w:r w:rsidRPr="00632CA2">
              <w:rPr>
                <w:rFonts w:ascii="Times" w:hAnsi="Times"/>
                <w:sz w:val="20"/>
                <w:szCs w:val="20"/>
              </w:rPr>
              <w:lastRenderedPageBreak/>
              <w:t>R$ 261.369,80</w:t>
            </w:r>
          </w:p>
        </w:tc>
        <w:tc>
          <w:tcPr>
            <w:tcW w:w="1275" w:type="dxa"/>
            <w:shd w:val="clear" w:color="000000" w:fill="FFFFFF"/>
            <w:vAlign w:val="center"/>
          </w:tcPr>
          <w:p w14:paraId="33BB0A7F" w14:textId="5A7CFA97" w:rsidR="000B72D3" w:rsidRPr="005F7199" w:rsidRDefault="00632CA2" w:rsidP="00F4073B">
            <w:pPr>
              <w:spacing w:after="0" w:line="276" w:lineRule="auto"/>
              <w:jc w:val="center"/>
              <w:rPr>
                <w:rFonts w:ascii="Times" w:hAnsi="Times"/>
                <w:sz w:val="20"/>
                <w:szCs w:val="20"/>
              </w:rPr>
            </w:pPr>
            <w:r w:rsidRPr="00632CA2">
              <w:rPr>
                <w:rFonts w:ascii="Times" w:hAnsi="Times"/>
                <w:sz w:val="20"/>
                <w:szCs w:val="20"/>
              </w:rPr>
              <w:t>R$ 261.369,80</w:t>
            </w:r>
          </w:p>
        </w:tc>
      </w:tr>
    </w:tbl>
    <w:p w14:paraId="1D6E5812" w14:textId="65019ED5" w:rsidR="000B72D3" w:rsidRPr="000B72D3" w:rsidRDefault="000B72D3" w:rsidP="000B72D3">
      <w:pPr>
        <w:spacing w:after="0" w:line="276" w:lineRule="auto"/>
        <w:jc w:val="both"/>
        <w:rPr>
          <w:rFonts w:ascii="Times" w:hAnsi="Times"/>
          <w:sz w:val="20"/>
          <w:szCs w:val="20"/>
        </w:rPr>
      </w:pPr>
      <w:r>
        <w:rPr>
          <w:rFonts w:ascii="Times" w:hAnsi="Times"/>
          <w:sz w:val="20"/>
          <w:szCs w:val="20"/>
        </w:rPr>
        <w:br w:type="textWrapping" w:clear="all"/>
      </w:r>
      <w:r w:rsidRPr="000B72D3">
        <w:rPr>
          <w:rFonts w:ascii="Times" w:hAnsi="Times"/>
          <w:sz w:val="20"/>
          <w:szCs w:val="20"/>
        </w:rPr>
        <w:t>1.3. Serão admitidos equipamentos com características técnicas superiores às especificações mínimas estabelecidas, desde que permaneçam adequados à finalidade pretendida e não apresentem prejuízo quanto à operação, compatibilidade, segurança, mobilidade, ergonomia ou desempenho. As características ofertadas deverão ser comprovadas por catálogo, ficha técnica, manual oficial do fabricante ou documento técnico equivalente correspondente ao modelo proposto.</w:t>
      </w:r>
    </w:p>
    <w:p w14:paraId="2D35692E" w14:textId="77777777" w:rsidR="000B72D3" w:rsidRPr="000B72D3" w:rsidRDefault="000B72D3" w:rsidP="000B72D3">
      <w:pPr>
        <w:spacing w:after="0" w:line="276" w:lineRule="auto"/>
        <w:jc w:val="both"/>
        <w:rPr>
          <w:rFonts w:ascii="Times" w:hAnsi="Times"/>
          <w:sz w:val="20"/>
          <w:szCs w:val="20"/>
        </w:rPr>
      </w:pPr>
      <w:r w:rsidRPr="000B72D3">
        <w:rPr>
          <w:rFonts w:ascii="Times" w:hAnsi="Times"/>
          <w:sz w:val="20"/>
          <w:szCs w:val="20"/>
        </w:rPr>
        <w:t>1.4. A contratação destina-se a assegurar melhores condições para execução dos serviços de roçada, poda, corte e manejo de vegetação, manutenção de áreas verdes e rurais, processamento de resíduos vegetais e demais atividades operacionais, proporcionando maior capacidade de atuação e agilidade às equipes municipais.</w:t>
      </w:r>
    </w:p>
    <w:p w14:paraId="231BF3BA" w14:textId="50A1F8E9" w:rsidR="000B72D3" w:rsidRPr="000B72D3" w:rsidRDefault="000B72D3" w:rsidP="000B72D3">
      <w:pPr>
        <w:spacing w:after="0" w:line="276" w:lineRule="auto"/>
        <w:jc w:val="both"/>
        <w:rPr>
          <w:rFonts w:ascii="Times" w:hAnsi="Times"/>
          <w:sz w:val="20"/>
          <w:szCs w:val="20"/>
        </w:rPr>
      </w:pPr>
      <w:r w:rsidRPr="000B72D3">
        <w:rPr>
          <w:rFonts w:ascii="Times" w:hAnsi="Times"/>
          <w:sz w:val="20"/>
          <w:szCs w:val="20"/>
        </w:rPr>
        <w:t>1.5. O Edital e seus anexos, especialmente este Termo de Referência, deverão ser interpretados de forma integrada. Eventual inconsistência identificada entre os documentos deverá ser objeto de esclarecimento ou retificação formal pela Administração.</w:t>
      </w:r>
    </w:p>
    <w:p w14:paraId="0C7E1016" w14:textId="77777777" w:rsidR="00A1521B" w:rsidRPr="00330FDA" w:rsidRDefault="00A1521B" w:rsidP="00A1521B">
      <w:pPr>
        <w:spacing w:after="0" w:line="276" w:lineRule="auto"/>
        <w:jc w:val="both"/>
        <w:rPr>
          <w:rFonts w:ascii="Times" w:hAnsi="Times"/>
          <w:sz w:val="20"/>
          <w:szCs w:val="20"/>
        </w:rPr>
      </w:pPr>
    </w:p>
    <w:p w14:paraId="7B7FCC62" w14:textId="6295161C" w:rsidR="00946A5B" w:rsidRPr="00330FDA" w:rsidRDefault="00946A5B" w:rsidP="00A1521B">
      <w:pPr>
        <w:spacing w:after="0" w:line="276" w:lineRule="auto"/>
        <w:jc w:val="both"/>
        <w:rPr>
          <w:rFonts w:ascii="Times" w:hAnsi="Times"/>
          <w:b/>
          <w:sz w:val="20"/>
          <w:szCs w:val="20"/>
        </w:rPr>
      </w:pPr>
      <w:r w:rsidRPr="00330FDA">
        <w:rPr>
          <w:rFonts w:ascii="Times" w:hAnsi="Times"/>
          <w:b/>
          <w:sz w:val="20"/>
          <w:szCs w:val="20"/>
        </w:rPr>
        <w:t xml:space="preserve">2. </w:t>
      </w:r>
      <w:r w:rsidR="00E2079F" w:rsidRPr="00330FDA">
        <w:rPr>
          <w:rFonts w:ascii="Times" w:hAnsi="Times"/>
          <w:b/>
          <w:sz w:val="20"/>
          <w:szCs w:val="20"/>
        </w:rPr>
        <w:t xml:space="preserve">DA </w:t>
      </w:r>
      <w:r w:rsidRPr="00330FDA">
        <w:rPr>
          <w:rFonts w:ascii="Times" w:hAnsi="Times"/>
          <w:b/>
          <w:sz w:val="20"/>
          <w:szCs w:val="20"/>
        </w:rPr>
        <w:t>VIG</w:t>
      </w:r>
      <w:r w:rsidR="00B1436F" w:rsidRPr="00330FDA">
        <w:rPr>
          <w:rFonts w:ascii="Times" w:hAnsi="Times"/>
          <w:b/>
          <w:sz w:val="20"/>
          <w:szCs w:val="20"/>
        </w:rPr>
        <w:t>Ê</w:t>
      </w:r>
      <w:r w:rsidRPr="00330FDA">
        <w:rPr>
          <w:rFonts w:ascii="Times" w:hAnsi="Times"/>
          <w:b/>
          <w:sz w:val="20"/>
          <w:szCs w:val="20"/>
        </w:rPr>
        <w:t>NCIA E PRORROGAÇÃO:</w:t>
      </w:r>
    </w:p>
    <w:p w14:paraId="02D5020A" w14:textId="77777777" w:rsidR="000B72D3" w:rsidRPr="000B72D3" w:rsidRDefault="000B72D3" w:rsidP="000B72D3">
      <w:pPr>
        <w:spacing w:after="0" w:line="276" w:lineRule="auto"/>
        <w:jc w:val="both"/>
        <w:rPr>
          <w:rFonts w:ascii="Times" w:hAnsi="Times"/>
          <w:sz w:val="20"/>
          <w:szCs w:val="20"/>
        </w:rPr>
      </w:pPr>
      <w:r w:rsidRPr="000B72D3">
        <w:rPr>
          <w:rFonts w:ascii="Times" w:hAnsi="Times"/>
          <w:sz w:val="20"/>
          <w:szCs w:val="20"/>
        </w:rPr>
        <w:t>2.1. A Ata de Registro de Preços terá vigência de 1 (um) ano, contado do primeiro dia útil subsequente à data de sua divulgação no Portal Nacional de Contratações Públicas – PNCP, podendo ser prorrogada uma única vez, por igual período, desde que comprovada a vantajosidade dos preços registrados e observadas as condições previstas no edital, na regulamentação municipal aplicável e no art. 84 da Lei Federal nº 14.133/2021.</w:t>
      </w:r>
    </w:p>
    <w:p w14:paraId="40BBF4C0" w14:textId="77777777" w:rsidR="000B72D3" w:rsidRPr="000B72D3" w:rsidRDefault="000B72D3" w:rsidP="000B72D3">
      <w:pPr>
        <w:spacing w:after="0" w:line="276" w:lineRule="auto"/>
        <w:jc w:val="both"/>
        <w:rPr>
          <w:rFonts w:ascii="Times" w:hAnsi="Times"/>
          <w:sz w:val="20"/>
          <w:szCs w:val="20"/>
        </w:rPr>
      </w:pPr>
      <w:r w:rsidRPr="000B72D3">
        <w:rPr>
          <w:rFonts w:ascii="Times" w:hAnsi="Times"/>
          <w:sz w:val="20"/>
          <w:szCs w:val="20"/>
        </w:rPr>
        <w:tab/>
        <w:t>2.1.1. A eventual prorrogação dependerá de procedimento administrativo próprio, devidamente motivado e concluído antes do término da vigência da Ata, mediante demonstração da permanência da necessidade administrativa, da vantajosidade dos preços registrados e da manutenção das condições necessárias à continuidade do fornecimento.</w:t>
      </w:r>
    </w:p>
    <w:p w14:paraId="70667BCE" w14:textId="77777777" w:rsidR="000A3C4B" w:rsidRPr="000A3C4B" w:rsidRDefault="000B72D3" w:rsidP="000A3C4B">
      <w:pPr>
        <w:spacing w:after="0" w:line="276" w:lineRule="auto"/>
        <w:jc w:val="both"/>
        <w:rPr>
          <w:rFonts w:ascii="Times" w:hAnsi="Times"/>
          <w:sz w:val="20"/>
          <w:szCs w:val="20"/>
        </w:rPr>
      </w:pPr>
      <w:r w:rsidRPr="000A3C4B">
        <w:rPr>
          <w:rFonts w:ascii="Times" w:hAnsi="Times"/>
          <w:sz w:val="20"/>
          <w:szCs w:val="20"/>
        </w:rPr>
        <w:tab/>
      </w:r>
      <w:r w:rsidR="000A3C4B" w:rsidRPr="000A3C4B">
        <w:rPr>
          <w:rFonts w:ascii="Times" w:hAnsi="Times"/>
          <w:sz w:val="20"/>
          <w:szCs w:val="20"/>
        </w:rPr>
        <w:t>2.2. A existência de preços registrados não obriga o Município a realizar as aquisições, que ocorrerão conforme as necessidades efetivamente verificadas durante a vigência da Ata de Registro de Preços. Cada aquisição será formalizada mediante contrato administrativo decorrente da Ata, observadas a disponibilidade orçamentária e financeira, a emissão do correspondente empenho e as demais condições estabelecidas nos documentos da contratação.</w:t>
      </w:r>
    </w:p>
    <w:p w14:paraId="26A87218" w14:textId="77777777" w:rsidR="000A3C4B" w:rsidRPr="000A3C4B" w:rsidRDefault="000A3C4B" w:rsidP="000A3C4B">
      <w:pPr>
        <w:spacing w:after="0" w:line="276" w:lineRule="auto"/>
        <w:jc w:val="both"/>
        <w:rPr>
          <w:rFonts w:ascii="Times" w:hAnsi="Times"/>
          <w:sz w:val="20"/>
          <w:szCs w:val="20"/>
        </w:rPr>
      </w:pPr>
      <w:r w:rsidRPr="000A3C4B">
        <w:rPr>
          <w:rFonts w:ascii="Times" w:hAnsi="Times"/>
          <w:sz w:val="20"/>
          <w:szCs w:val="20"/>
        </w:rPr>
        <w:t>2.3. Os contratos decorrentes da Ata de Registro de Preços deverão ser formalizados durante o respectivo prazo de vigência, com indicação dos itens e quantitativos efetivamente contratados, observadas as condições estabelecidas no Edital, neste Termo de Referência, na proposta vencedora e na própria Ata.</w:t>
      </w:r>
    </w:p>
    <w:p w14:paraId="272DB7B2" w14:textId="208DA7F3" w:rsidR="000A3C4B" w:rsidRPr="000A3C4B" w:rsidRDefault="000A3C4B" w:rsidP="000A3C4B">
      <w:pPr>
        <w:spacing w:after="0" w:line="276" w:lineRule="auto"/>
        <w:jc w:val="both"/>
        <w:rPr>
          <w:rFonts w:ascii="Times" w:hAnsi="Times"/>
          <w:sz w:val="20"/>
          <w:szCs w:val="20"/>
        </w:rPr>
      </w:pPr>
      <w:r>
        <w:rPr>
          <w:rFonts w:ascii="Times" w:hAnsi="Times"/>
          <w:sz w:val="20"/>
          <w:szCs w:val="20"/>
        </w:rPr>
        <w:tab/>
      </w:r>
      <w:r w:rsidRPr="000A3C4B">
        <w:rPr>
          <w:rFonts w:ascii="Times" w:hAnsi="Times"/>
          <w:sz w:val="20"/>
          <w:szCs w:val="20"/>
        </w:rPr>
        <w:t>2.3.1. Os contratos decorrentes da Ata possuirão vigência própria, a ser definida no respectivo instrumento em prazo compatível com o fornecimento, recebimento e pagamento dos equipamentos e com o cumprimento das obrigações futuras de garantia, assistência técnica, revisões e manutenções previstas neste Termo de Referência. A extinção da vigência da Ata de Registro de Preços não prejudicará a execução dos contratos regularmente formalizados durante sua vigência.</w:t>
      </w:r>
    </w:p>
    <w:p w14:paraId="4A2DF2A1" w14:textId="1FECEB40" w:rsidR="000B72D3" w:rsidRPr="000B72D3" w:rsidRDefault="000B72D3" w:rsidP="000A3C4B">
      <w:pPr>
        <w:spacing w:after="0" w:line="276" w:lineRule="auto"/>
        <w:jc w:val="both"/>
        <w:rPr>
          <w:rFonts w:ascii="Times" w:hAnsi="Times"/>
          <w:sz w:val="20"/>
          <w:szCs w:val="20"/>
        </w:rPr>
      </w:pPr>
      <w:r w:rsidRPr="000B72D3">
        <w:rPr>
          <w:rFonts w:ascii="Times" w:hAnsi="Times"/>
          <w:sz w:val="20"/>
          <w:szCs w:val="20"/>
        </w:rPr>
        <w:t>2.4. A revisão dos preços registrados, o cancelamento do registro do fornecedor ou dos preços e as demais ocorrências relativas ao gerenciamento da Ata observarão a Lei Federal nº 14.133/2021, a regulamentação municipal aplicável e as condições estabelecidas no edital e na Ata de Registro de Preços.</w:t>
      </w:r>
    </w:p>
    <w:p w14:paraId="4925EEF4" w14:textId="77777777" w:rsidR="0048371A" w:rsidRPr="00330FDA" w:rsidRDefault="0048371A" w:rsidP="00920F82">
      <w:pPr>
        <w:spacing w:after="0" w:line="276" w:lineRule="auto"/>
        <w:jc w:val="both"/>
        <w:rPr>
          <w:rFonts w:ascii="Times" w:hAnsi="Times"/>
          <w:b/>
          <w:sz w:val="20"/>
          <w:szCs w:val="20"/>
        </w:rPr>
      </w:pPr>
    </w:p>
    <w:p w14:paraId="4F4CF0D0" w14:textId="7687A916" w:rsidR="00946A5B" w:rsidRPr="00330FDA" w:rsidRDefault="00946A5B" w:rsidP="00920F82">
      <w:pPr>
        <w:spacing w:after="0" w:line="276" w:lineRule="auto"/>
        <w:jc w:val="both"/>
        <w:rPr>
          <w:rFonts w:ascii="Times" w:hAnsi="Times"/>
          <w:b/>
          <w:sz w:val="20"/>
          <w:szCs w:val="20"/>
        </w:rPr>
      </w:pPr>
      <w:r w:rsidRPr="00330FDA">
        <w:rPr>
          <w:rFonts w:ascii="Times" w:hAnsi="Times"/>
          <w:b/>
          <w:sz w:val="20"/>
          <w:szCs w:val="20"/>
        </w:rPr>
        <w:t>3. CLASSIFICAÇÃO DOS BENS</w:t>
      </w:r>
      <w:r w:rsidR="000B72D3">
        <w:rPr>
          <w:rFonts w:ascii="Times" w:hAnsi="Times"/>
          <w:b/>
          <w:sz w:val="20"/>
          <w:szCs w:val="20"/>
        </w:rPr>
        <w:t xml:space="preserve"> OU </w:t>
      </w:r>
      <w:r w:rsidRPr="00330FDA">
        <w:rPr>
          <w:rFonts w:ascii="Times" w:hAnsi="Times"/>
          <w:b/>
          <w:sz w:val="20"/>
          <w:szCs w:val="20"/>
        </w:rPr>
        <w:t>SERVIÇOS:</w:t>
      </w:r>
    </w:p>
    <w:p w14:paraId="55BF4429" w14:textId="77777777" w:rsidR="00946A5B" w:rsidRPr="00330FDA" w:rsidRDefault="00946A5B" w:rsidP="00920F82">
      <w:pPr>
        <w:spacing w:after="0" w:line="276" w:lineRule="auto"/>
        <w:jc w:val="both"/>
        <w:rPr>
          <w:rFonts w:ascii="Times" w:hAnsi="Times"/>
          <w:sz w:val="20"/>
          <w:szCs w:val="20"/>
        </w:rPr>
      </w:pPr>
      <w:r w:rsidRPr="00330FDA">
        <w:rPr>
          <w:rFonts w:ascii="Times" w:hAnsi="Times"/>
          <w:sz w:val="20"/>
          <w:szCs w:val="20"/>
        </w:rPr>
        <w:t>3.1. Os bens a serem adquiridos enquadram-se na classificação:</w:t>
      </w:r>
    </w:p>
    <w:p w14:paraId="25A6C89D" w14:textId="77777777" w:rsidR="00946A5B" w:rsidRPr="00330FDA" w:rsidRDefault="00946A5B" w:rsidP="00920F82">
      <w:pPr>
        <w:spacing w:after="0" w:line="276" w:lineRule="auto"/>
        <w:ind w:firstLine="567"/>
        <w:jc w:val="both"/>
        <w:rPr>
          <w:rFonts w:ascii="Times" w:hAnsi="Times"/>
          <w:sz w:val="20"/>
          <w:szCs w:val="20"/>
        </w:rPr>
      </w:pPr>
      <w:proofErr w:type="gramStart"/>
      <w:r w:rsidRPr="00330FDA">
        <w:rPr>
          <w:rFonts w:ascii="Times" w:hAnsi="Times"/>
          <w:sz w:val="20"/>
          <w:szCs w:val="20"/>
        </w:rPr>
        <w:t>(  )</w:t>
      </w:r>
      <w:proofErr w:type="gramEnd"/>
      <w:r w:rsidRPr="00330FDA">
        <w:rPr>
          <w:rFonts w:ascii="Times" w:hAnsi="Times"/>
          <w:sz w:val="20"/>
          <w:szCs w:val="20"/>
        </w:rPr>
        <w:t xml:space="preserve"> Bens ou serviços especiais (art. 6°, inciso XIV, Lei n° 14.133/2021);</w:t>
      </w:r>
    </w:p>
    <w:p w14:paraId="4640768F" w14:textId="3A53640A" w:rsidR="00946A5B" w:rsidRPr="00330FDA" w:rsidRDefault="00946A5B" w:rsidP="00920F82">
      <w:pPr>
        <w:spacing w:after="0" w:line="276" w:lineRule="auto"/>
        <w:ind w:firstLine="567"/>
        <w:jc w:val="both"/>
        <w:rPr>
          <w:rFonts w:ascii="Times" w:hAnsi="Times"/>
          <w:sz w:val="20"/>
          <w:szCs w:val="20"/>
        </w:rPr>
      </w:pPr>
      <w:r w:rsidRPr="000B72D3">
        <w:rPr>
          <w:rFonts w:ascii="Times" w:hAnsi="Times"/>
          <w:b/>
          <w:bCs/>
          <w:sz w:val="20"/>
          <w:szCs w:val="20"/>
        </w:rPr>
        <w:t>(X) Bens ou serviços comuns (art. 6°, inciso XIII, Lei n° 14.133/2021)</w:t>
      </w:r>
      <w:r w:rsidRPr="00330FDA">
        <w:rPr>
          <w:rFonts w:ascii="Times" w:hAnsi="Times"/>
          <w:sz w:val="20"/>
          <w:szCs w:val="20"/>
        </w:rPr>
        <w:t>, cujos padrões de desempenho e qualidade podem ser objetivamente definidos pelo edital, por meio de especificações usuais de mercado.</w:t>
      </w:r>
    </w:p>
    <w:p w14:paraId="3211147B" w14:textId="77777777" w:rsidR="00C86F0D" w:rsidRPr="00330FDA" w:rsidRDefault="00C86F0D" w:rsidP="00920F82">
      <w:pPr>
        <w:spacing w:after="0" w:line="276" w:lineRule="auto"/>
        <w:jc w:val="both"/>
        <w:rPr>
          <w:rFonts w:ascii="Times" w:hAnsi="Times"/>
          <w:sz w:val="20"/>
          <w:szCs w:val="20"/>
        </w:rPr>
      </w:pPr>
    </w:p>
    <w:p w14:paraId="544B85EE" w14:textId="77777777" w:rsidR="00C86F0D"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CAPÍTULO II</w:t>
      </w:r>
    </w:p>
    <w:p w14:paraId="705DCDBB" w14:textId="77777777" w:rsidR="00946A5B"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DA FUNDAMENTAÇÃO DA CONTRATAÇÃO, DESCRIÇÃO DA SOLUÇÃO</w:t>
      </w:r>
    </w:p>
    <w:p w14:paraId="59AA69B5" w14:textId="77777777" w:rsidR="00946A5B" w:rsidRPr="00330FDA" w:rsidRDefault="00946A5B" w:rsidP="00920F82">
      <w:pPr>
        <w:spacing w:after="0" w:line="276" w:lineRule="auto"/>
        <w:jc w:val="both"/>
        <w:rPr>
          <w:rFonts w:ascii="Times" w:hAnsi="Times"/>
          <w:b/>
          <w:sz w:val="20"/>
          <w:szCs w:val="20"/>
        </w:rPr>
      </w:pPr>
      <w:r w:rsidRPr="00330FDA">
        <w:rPr>
          <w:rFonts w:ascii="Times" w:hAnsi="Times"/>
          <w:b/>
          <w:sz w:val="20"/>
          <w:szCs w:val="20"/>
        </w:rPr>
        <w:t>4. NECESSIDADE DA CONTRATAÇÃO:</w:t>
      </w:r>
    </w:p>
    <w:p w14:paraId="15FA1AC3" w14:textId="29DDE539" w:rsidR="000B0396" w:rsidRPr="000B0396" w:rsidRDefault="000B0396" w:rsidP="000B0396">
      <w:pPr>
        <w:spacing w:after="0" w:line="276" w:lineRule="auto"/>
        <w:jc w:val="both"/>
        <w:rPr>
          <w:rFonts w:ascii="Times" w:hAnsi="Times"/>
          <w:b/>
          <w:bCs/>
          <w:sz w:val="20"/>
          <w:szCs w:val="20"/>
        </w:rPr>
      </w:pPr>
      <w:r w:rsidRPr="000B0396">
        <w:rPr>
          <w:rFonts w:ascii="Times" w:hAnsi="Times"/>
          <w:b/>
          <w:bCs/>
          <w:sz w:val="20"/>
          <w:szCs w:val="20"/>
        </w:rPr>
        <w:t>4.1. FUNDAMENTOS DE FATO</w:t>
      </w:r>
      <w:r>
        <w:rPr>
          <w:rFonts w:ascii="Times" w:hAnsi="Times"/>
          <w:b/>
          <w:bCs/>
          <w:sz w:val="20"/>
          <w:szCs w:val="20"/>
        </w:rPr>
        <w:t xml:space="preserve">: </w:t>
      </w:r>
    </w:p>
    <w:p w14:paraId="7531C0BA" w14:textId="77777777" w:rsidR="000B72D3" w:rsidRPr="000B72D3" w:rsidRDefault="000B72D3" w:rsidP="000B72D3">
      <w:pPr>
        <w:spacing w:after="0" w:line="276" w:lineRule="auto"/>
        <w:ind w:firstLine="709"/>
        <w:jc w:val="both"/>
        <w:rPr>
          <w:rFonts w:ascii="Times" w:hAnsi="Times"/>
          <w:sz w:val="20"/>
          <w:szCs w:val="20"/>
        </w:rPr>
      </w:pPr>
      <w:r w:rsidRPr="000B72D3">
        <w:rPr>
          <w:rFonts w:ascii="Times" w:hAnsi="Times"/>
          <w:sz w:val="20"/>
          <w:szCs w:val="20"/>
        </w:rPr>
        <w:t>A necessidade de aquisição dos equipamentos destinados às atividades de roçada, poda, manejo de vegetação, manutenção de áreas públicas e rurais, processamento de resíduos vegetais e apoio às demais atividades operacionais encontra-se tecnicamente demonstrada no Estudo Técnico Preliminar – ETP. Os equipamentos objeto da presente contratação destinam-se ao atendimento das demandas da Secretaria Municipal de Agricultura, Meio Ambiente e Saneamento, especialmente nas atividades relacionadas à conservação de áreas públicas e rurais, manejo de vegetação, manutenção de áreas verdes, apoio às ações de infraestrutura rural e demais serviços de campo. Tais atividades possuem caráter contínuo e são relevantes para assegurar condições adequadas de mobilidade, segurança, conservação e atendimento das necessidades da população.</w:t>
      </w:r>
    </w:p>
    <w:p w14:paraId="10BB9CDB" w14:textId="77777777" w:rsidR="000B72D3" w:rsidRPr="000B72D3" w:rsidRDefault="000B72D3" w:rsidP="000B72D3">
      <w:pPr>
        <w:spacing w:after="0" w:line="276" w:lineRule="auto"/>
        <w:ind w:firstLine="709"/>
        <w:jc w:val="both"/>
        <w:rPr>
          <w:rFonts w:ascii="Times" w:hAnsi="Times"/>
          <w:sz w:val="20"/>
          <w:szCs w:val="20"/>
        </w:rPr>
      </w:pPr>
      <w:r w:rsidRPr="000B72D3">
        <w:rPr>
          <w:rFonts w:ascii="Times" w:hAnsi="Times"/>
          <w:sz w:val="20"/>
          <w:szCs w:val="20"/>
        </w:rPr>
        <w:t>A insuficiência ou inadequação de equipamentos específicos para execução dessas atividades compromete a eficiência das intervenções realizadas pelas equipes municipais, podendo resultar em aumento do tempo de resposta, redução da produtividade e limitação da capacidade de atendimento das demandas urbanas e rurais. Nesse contexto, a disponibilização de equipamentos adequados permitirá maior eficiência na execução dos serviços de roçada, poda, limpeza, corte e manejo de vegetação, bem como no processamento dos resíduos decorrentes dessas atividades, contribuindo para melhores condições de conservação das vias, áreas públicas e demais espaços sob responsabilidade municipal.</w:t>
      </w:r>
    </w:p>
    <w:p w14:paraId="087D25A6" w14:textId="77777777" w:rsidR="000B72D3" w:rsidRPr="000B72D3" w:rsidRDefault="000B72D3" w:rsidP="000B72D3">
      <w:pPr>
        <w:spacing w:after="0" w:line="276" w:lineRule="auto"/>
        <w:ind w:firstLine="709"/>
        <w:jc w:val="both"/>
        <w:rPr>
          <w:rFonts w:ascii="Times" w:hAnsi="Times"/>
          <w:sz w:val="20"/>
          <w:szCs w:val="20"/>
        </w:rPr>
      </w:pPr>
      <w:r w:rsidRPr="000B72D3">
        <w:rPr>
          <w:rFonts w:ascii="Times" w:hAnsi="Times"/>
          <w:sz w:val="20"/>
          <w:szCs w:val="20"/>
        </w:rPr>
        <w:t>Além disso, a aquisição permitirá ampliar a autonomia operacional da Administração Municipal, reduzindo a dependência de soluções externas para atividades que podem ser executadas diretamente pelas equipes municipais e proporcionando maior agilidade no atendimento de situações extraordinárias, como obstruções de vias, excesso de vegetação e demais ocorrências que demandem pronta intervenção. Dessa forma, a contratação contribui diretamente para o fortalecimento da estrutura operacional do Município e para a melhoria da prestação dos serviços públicos.</w:t>
      </w:r>
    </w:p>
    <w:p w14:paraId="12F69DF1" w14:textId="77777777" w:rsidR="000B0396" w:rsidRPr="000B0396" w:rsidRDefault="000B0396" w:rsidP="000B0396">
      <w:pPr>
        <w:spacing w:after="0" w:line="276" w:lineRule="auto"/>
        <w:jc w:val="both"/>
        <w:rPr>
          <w:rFonts w:ascii="Times" w:hAnsi="Times"/>
          <w:b/>
          <w:bCs/>
          <w:sz w:val="20"/>
          <w:szCs w:val="20"/>
        </w:rPr>
      </w:pPr>
      <w:r w:rsidRPr="000B0396">
        <w:rPr>
          <w:rFonts w:ascii="Times" w:hAnsi="Times"/>
          <w:b/>
          <w:bCs/>
          <w:sz w:val="20"/>
          <w:szCs w:val="20"/>
        </w:rPr>
        <w:t>4.2. FUNDAMENTOS DE DIREITO</w:t>
      </w:r>
    </w:p>
    <w:p w14:paraId="626C424B" w14:textId="77777777" w:rsidR="006334C5" w:rsidRPr="006334C5" w:rsidRDefault="006334C5" w:rsidP="006334C5">
      <w:pPr>
        <w:spacing w:after="0" w:line="276" w:lineRule="auto"/>
        <w:ind w:firstLine="709"/>
        <w:jc w:val="both"/>
        <w:rPr>
          <w:rFonts w:ascii="Times" w:hAnsi="Times"/>
          <w:sz w:val="20"/>
          <w:szCs w:val="20"/>
        </w:rPr>
      </w:pPr>
      <w:r w:rsidRPr="006334C5">
        <w:rPr>
          <w:rFonts w:ascii="Times" w:hAnsi="Times"/>
          <w:sz w:val="20"/>
          <w:szCs w:val="20"/>
        </w:rPr>
        <w:t>A presente contratação encontra amparo na Lei nº 14.133/2021, que estabelece as normas gerais de licitações e contratos administrativos e orienta a atuação da Administração pelos princípios do planejamento, eficiência, economicidade, transparência e interesse público. O Estudo Técnico Preliminar demonstrou a necessidade administrativa, a adequação da solução proposta e a viabilidade da aquisição, em consonância com as necessidades operacionais identificadas pelo Município. A contratação também se encontra alinhada ao planejamento municipal e ao Plano de Trabalho vinculado ao Convênio celebrado com a União para aquisição de máquinas e equipamentos.</w:t>
      </w:r>
    </w:p>
    <w:p w14:paraId="6E382A42" w14:textId="77777777" w:rsidR="006334C5" w:rsidRPr="006334C5" w:rsidRDefault="006334C5" w:rsidP="006334C5">
      <w:pPr>
        <w:spacing w:after="0" w:line="276" w:lineRule="auto"/>
        <w:ind w:firstLine="709"/>
        <w:jc w:val="both"/>
        <w:rPr>
          <w:rFonts w:ascii="Times" w:hAnsi="Times"/>
          <w:sz w:val="20"/>
          <w:szCs w:val="20"/>
        </w:rPr>
      </w:pPr>
      <w:r w:rsidRPr="006334C5">
        <w:rPr>
          <w:rFonts w:ascii="Times" w:hAnsi="Times"/>
          <w:sz w:val="20"/>
          <w:szCs w:val="20"/>
        </w:rPr>
        <w:t>Sob o aspecto jurídico-administrativo, a aquisição revela-se medida adequada e proporcional para assegurar melhores condições de execução das atividades de manutenção, manejo de vegetação, conservação de áreas públicas e atendimento das demais demandas abrangidas pelo objeto, contribuindo para maior eficiência e continuidade dos serviços públicos municipais.</w:t>
      </w:r>
    </w:p>
    <w:p w14:paraId="7BBA1F35" w14:textId="77777777" w:rsidR="006334C5" w:rsidRPr="006334C5" w:rsidRDefault="006334C5" w:rsidP="006334C5">
      <w:pPr>
        <w:spacing w:after="0" w:line="276" w:lineRule="auto"/>
        <w:ind w:firstLine="709"/>
        <w:jc w:val="both"/>
        <w:rPr>
          <w:rFonts w:ascii="Times" w:hAnsi="Times"/>
          <w:sz w:val="20"/>
          <w:szCs w:val="20"/>
        </w:rPr>
      </w:pPr>
      <w:r w:rsidRPr="006334C5">
        <w:rPr>
          <w:rFonts w:ascii="Times" w:hAnsi="Times"/>
          <w:sz w:val="20"/>
          <w:szCs w:val="20"/>
        </w:rPr>
        <w:t>Assim, encontra-se caracterizada a necessidade administrativa e demonstrada a pertinência técnica da contratação, constituindo a aquisição solução adequada ao atendimento das demandas operacionais identificadas e à correta aplicação dos recursos públicos destinados ao fortalecimento da estrutura material do Município.</w:t>
      </w:r>
    </w:p>
    <w:p w14:paraId="33E6DCD7" w14:textId="77777777" w:rsidR="000B0396" w:rsidRDefault="000B0396" w:rsidP="000B0396">
      <w:pPr>
        <w:spacing w:after="0" w:line="276" w:lineRule="auto"/>
        <w:jc w:val="both"/>
        <w:rPr>
          <w:rFonts w:ascii="Times" w:hAnsi="Times"/>
          <w:b/>
          <w:bCs/>
          <w:sz w:val="20"/>
          <w:szCs w:val="20"/>
        </w:rPr>
      </w:pPr>
    </w:p>
    <w:p w14:paraId="06EB3FF9" w14:textId="059157ED" w:rsidR="00946A5B" w:rsidRPr="00330FDA" w:rsidRDefault="00946A5B" w:rsidP="000B0396">
      <w:pPr>
        <w:spacing w:after="0" w:line="276" w:lineRule="auto"/>
        <w:jc w:val="both"/>
        <w:rPr>
          <w:rFonts w:ascii="Times" w:hAnsi="Times"/>
          <w:b/>
          <w:sz w:val="20"/>
          <w:szCs w:val="20"/>
        </w:rPr>
      </w:pPr>
      <w:r w:rsidRPr="00330FDA">
        <w:rPr>
          <w:rFonts w:ascii="Times" w:hAnsi="Times"/>
          <w:b/>
          <w:sz w:val="20"/>
          <w:szCs w:val="20"/>
        </w:rPr>
        <w:t>5. DESCRIÇÃO DA SOLUÇÃO:</w:t>
      </w:r>
    </w:p>
    <w:p w14:paraId="1B5F5E85" w14:textId="2E5CF836" w:rsidR="006334C5" w:rsidRPr="006334C5" w:rsidRDefault="006334C5" w:rsidP="006334C5">
      <w:pPr>
        <w:spacing w:after="0" w:line="276" w:lineRule="auto"/>
        <w:jc w:val="both"/>
        <w:rPr>
          <w:rFonts w:ascii="Times" w:hAnsi="Times"/>
          <w:sz w:val="20"/>
          <w:szCs w:val="20"/>
        </w:rPr>
      </w:pPr>
      <w:r w:rsidRPr="006334C5">
        <w:rPr>
          <w:rFonts w:ascii="Times" w:hAnsi="Times"/>
          <w:sz w:val="20"/>
          <w:szCs w:val="20"/>
        </w:rPr>
        <w:t>5.1. A solução proposta consiste na aquisição eventual e parcelada</w:t>
      </w:r>
      <w:r w:rsidR="008104D3">
        <w:rPr>
          <w:rFonts w:ascii="Times" w:hAnsi="Times"/>
          <w:sz w:val="20"/>
          <w:szCs w:val="20"/>
        </w:rPr>
        <w:t xml:space="preserve"> </w:t>
      </w:r>
      <w:r w:rsidRPr="006334C5">
        <w:rPr>
          <w:rFonts w:ascii="Times" w:hAnsi="Times"/>
          <w:sz w:val="20"/>
          <w:szCs w:val="20"/>
        </w:rPr>
        <w:t>de equipamentos destinados às atividades de manutenção, conservação, limpeza, manejo de vegetação, processamento de resíduos vegetais, manutenção de áreas públicas e rurais e apoio às demais atividades operacionais do Município. A contratação encontra-se vinculada ao Plano de Trabalho aprovado no âmbito de Convênio celebrado entre o Município de Paverama e a União, por intermédio do Ministério da Integração e do Desenvolvimento Regional, operacionalizado por meio da plataforma Transferegov.br.</w:t>
      </w:r>
    </w:p>
    <w:p w14:paraId="34B9DECC" w14:textId="77777777" w:rsidR="006334C5" w:rsidRPr="006334C5" w:rsidRDefault="006334C5" w:rsidP="006334C5">
      <w:pPr>
        <w:spacing w:after="0" w:line="276" w:lineRule="auto"/>
        <w:jc w:val="both"/>
        <w:rPr>
          <w:rFonts w:ascii="Times" w:hAnsi="Times"/>
          <w:sz w:val="20"/>
          <w:szCs w:val="20"/>
        </w:rPr>
      </w:pPr>
      <w:r w:rsidRPr="006334C5">
        <w:rPr>
          <w:rFonts w:ascii="Times" w:hAnsi="Times"/>
          <w:sz w:val="20"/>
          <w:szCs w:val="20"/>
        </w:rPr>
        <w:t>5.2. A solução foi definida a partir das conclusões do Estudo Técnico Preliminar – ETP, que identificou a necessidade de fortalecimento da capacidade operacional do Município. Os equipamentos permitirão maior eficiência na execução dos serviços de roçada, poda, corte e manejo de vegetação, manutenção de áreas verdes e rurais, processamento de resíduos vegetais e atendimento de outras necessidades operacionais, proporcionando maior autonomia e capacidade de resposta às equipes municipais.</w:t>
      </w:r>
    </w:p>
    <w:p w14:paraId="59A500B7" w14:textId="77777777" w:rsidR="006334C5" w:rsidRDefault="006334C5" w:rsidP="006334C5">
      <w:pPr>
        <w:spacing w:after="0" w:line="276" w:lineRule="auto"/>
        <w:jc w:val="both"/>
        <w:rPr>
          <w:rFonts w:ascii="Times" w:hAnsi="Times"/>
          <w:sz w:val="20"/>
          <w:szCs w:val="20"/>
        </w:rPr>
      </w:pPr>
      <w:r w:rsidRPr="006334C5">
        <w:rPr>
          <w:rFonts w:ascii="Times" w:hAnsi="Times"/>
          <w:sz w:val="20"/>
          <w:szCs w:val="20"/>
        </w:rPr>
        <w:t xml:space="preserve">5.3. A contratação será realizada mediante Sistema de Registro de Preços, possibilitando aquisições eventuais e parceladas conforme a necessidade efetivamente verificada durante a vigência da Ata, sem obrigação de aquisição integral dos quantitativos registrados. Esse modelo proporciona maior flexibilidade administrativa e permite adequar as aquisições às prioridades operacionais, à disponibilidade orçamentária e financeira e às </w:t>
      </w:r>
      <w:r w:rsidRPr="000A3C4B">
        <w:rPr>
          <w:rFonts w:ascii="Times" w:hAnsi="Times"/>
          <w:sz w:val="20"/>
          <w:szCs w:val="20"/>
        </w:rPr>
        <w:t>condições estabelecidas no instrumento de transferência de recursos.</w:t>
      </w:r>
    </w:p>
    <w:p w14:paraId="10B27636" w14:textId="667C075A" w:rsidR="008104D3" w:rsidRPr="008104D3" w:rsidRDefault="008104D3" w:rsidP="006334C5">
      <w:pPr>
        <w:spacing w:after="0" w:line="276" w:lineRule="auto"/>
        <w:jc w:val="both"/>
        <w:rPr>
          <w:rFonts w:ascii="Times" w:hAnsi="Times"/>
          <w:sz w:val="20"/>
          <w:szCs w:val="20"/>
        </w:rPr>
      </w:pPr>
      <w:r w:rsidRPr="008104D3">
        <w:rPr>
          <w:rFonts w:ascii="Times" w:hAnsi="Times"/>
          <w:sz w:val="20"/>
          <w:szCs w:val="20"/>
        </w:rPr>
        <w:tab/>
        <w:t>5.3.1. A inexistência de obrigação de aquisição integral dos quantitativos registrados decorre da sistemática própria do Sistema de Registro de Preços e disciplina a relação entre a Administração e os fornecedores registrados, não afastando o dever do Município de observar e executar as metas, etapas, quantitativos e demais obrigações assumidas no âmbito do Convênio nº 981455/2025 e de seu Plano de Trabalho, ressalvadas as alterações, reprogramações ou ajustes formalmente autorizados nos termos das normas aplicáveis ao instrumento de transferência.</w:t>
      </w:r>
    </w:p>
    <w:p w14:paraId="5577382F" w14:textId="77777777" w:rsidR="000A3C4B" w:rsidRPr="000A3C4B" w:rsidRDefault="000A3C4B" w:rsidP="006334C5">
      <w:pPr>
        <w:spacing w:after="0" w:line="276" w:lineRule="auto"/>
        <w:jc w:val="both"/>
        <w:rPr>
          <w:rFonts w:ascii="Times" w:hAnsi="Times"/>
          <w:sz w:val="20"/>
          <w:szCs w:val="20"/>
        </w:rPr>
      </w:pPr>
      <w:r>
        <w:rPr>
          <w:rFonts w:ascii="Times" w:hAnsi="Times"/>
          <w:sz w:val="20"/>
          <w:szCs w:val="20"/>
        </w:rPr>
        <w:t>5.4. A execução da solução compreenderá a formalização da Ata de Registro de Preços e, conforme as necessidades da Administração, a celebração dos respectivos contratos administrativos e a emissão das Ordens de Compra e correspondentes Notas de Empenho, o transporte e a entrega dos equipamentos, o recebimento provisório, a realização das verificações e testes de funcionamento e, posteriormente, o recebimento definitivo. Os equipamentos deverão ser novos, de primeiro uso, entregues montados ou preparados para operação, conforme aplicável, acompanhados dos manuais, documentos de garantia, acessórios, componentes e dispositivos necessários ao pleno funcionamento.</w:t>
      </w:r>
    </w:p>
    <w:p w14:paraId="26B9E8D1" w14:textId="66D005B1" w:rsidR="006334C5" w:rsidRPr="006334C5" w:rsidRDefault="006334C5" w:rsidP="006334C5">
      <w:pPr>
        <w:spacing w:after="0" w:line="276" w:lineRule="auto"/>
        <w:jc w:val="both"/>
        <w:rPr>
          <w:rFonts w:ascii="Times" w:hAnsi="Times"/>
          <w:sz w:val="20"/>
          <w:szCs w:val="20"/>
        </w:rPr>
      </w:pPr>
      <w:r w:rsidRPr="006334C5">
        <w:rPr>
          <w:rFonts w:ascii="Times" w:hAnsi="Times"/>
          <w:sz w:val="20"/>
          <w:szCs w:val="20"/>
        </w:rPr>
        <w:t>5.5. A solução contempla, ainda, as condições de garantia, assistência técnica, manutenção e entrega técnica estabelecidas neste Termo de Referência, buscando assegurar adequada disponibilidade operacional, durabilidade e conservação dos equipamentos. Dessa forma, a contratação contribui para o fortalecimento da estrutura material do Município, para o melhor aproveitamento dos recursos públicos e para maior eficiência na execução dos serviços abrangidos pelo objeto.</w:t>
      </w:r>
    </w:p>
    <w:p w14:paraId="3EDAA497" w14:textId="77777777" w:rsidR="00C34BA6" w:rsidRDefault="00C34BA6" w:rsidP="00A1521B">
      <w:pPr>
        <w:spacing w:after="0" w:line="276" w:lineRule="auto"/>
        <w:jc w:val="both"/>
        <w:rPr>
          <w:rFonts w:ascii="Times" w:hAnsi="Times"/>
          <w:sz w:val="20"/>
          <w:szCs w:val="20"/>
        </w:rPr>
      </w:pPr>
    </w:p>
    <w:p w14:paraId="194CE733" w14:textId="523CCB8F" w:rsidR="006334C5" w:rsidRPr="006334C5" w:rsidRDefault="006334C5" w:rsidP="00A1521B">
      <w:pPr>
        <w:spacing w:after="0" w:line="276" w:lineRule="auto"/>
        <w:jc w:val="both"/>
        <w:rPr>
          <w:rFonts w:ascii="Times" w:hAnsi="Times"/>
          <w:b/>
          <w:bCs/>
          <w:sz w:val="20"/>
          <w:szCs w:val="20"/>
        </w:rPr>
      </w:pPr>
      <w:r w:rsidRPr="006334C5">
        <w:rPr>
          <w:rFonts w:ascii="Times" w:hAnsi="Times"/>
          <w:b/>
          <w:bCs/>
          <w:sz w:val="20"/>
          <w:szCs w:val="20"/>
        </w:rPr>
        <w:t>6. DOS REQUISITOS DA CONTRATAÇÃO:</w:t>
      </w:r>
    </w:p>
    <w:p w14:paraId="61C3444D"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 A contratação deverá observar requisitos técnicos, operacionais, funcionais, de segurança, durabilidade e suporte compatíveis com a natureza dos equipamentos e com as condições de utilização pelas equipes municipais, assegurando que os bens fornecidos apresentem desempenho, resistência, capacidade e confiabilidade adequados às atividades para as quais se destinam.</w:t>
      </w:r>
    </w:p>
    <w:p w14:paraId="1B203B55"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6.2. Todos os equipamentos deverão ser novos, de primeiro uso, sem utilização anterior, recondicionamento ou remanufatura, pertencentes à linha regular de produção do fabricante e adequados à utilização profissional ou operacional prevista neste Termo de Referência.</w:t>
      </w:r>
    </w:p>
    <w:p w14:paraId="3E90DAEF"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6.3. Os equipamentos deverão apresentar estrutura, potência, capacidade, resistência e desempenho compatíveis com as condições de trabalho previstas, inclusive utilização em áreas externas, vias urbanas e rurais, áreas verdes, espaços públicos e demais locais atendidos pelas equipes municipais, observadas as especificações técnicas mínimas estabelecidas para cada item.</w:t>
      </w:r>
    </w:p>
    <w:p w14:paraId="562BDF5C"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 xml:space="preserve">6.4. Os equipamentos destinados ao manejo de vegetação deverão possuir desempenho compatível com atividades de roçada, poda, corte, limpeza e manutenção. A roçadeira deverá admitir os sistemas de corte especificados; a </w:t>
      </w:r>
      <w:proofErr w:type="spellStart"/>
      <w:r w:rsidRPr="0086534F">
        <w:rPr>
          <w:rFonts w:ascii="Times" w:hAnsi="Times"/>
          <w:sz w:val="20"/>
          <w:szCs w:val="20"/>
        </w:rPr>
        <w:t>motopoda</w:t>
      </w:r>
      <w:proofErr w:type="spellEnd"/>
      <w:r w:rsidRPr="0086534F">
        <w:rPr>
          <w:rFonts w:ascii="Times" w:hAnsi="Times"/>
          <w:sz w:val="20"/>
          <w:szCs w:val="20"/>
        </w:rPr>
        <w:t xml:space="preserve"> deverá proporcionar alcance adequado aos serviços de poda em altura; o soprador deverá apresentar capacidade operacional compatível com a remoção de folhas e resíduos; a motosserra deverá ser adequada à utilização profissional; e o cortador de grama deverá possuir sistema de tração e capacidade de corte compatíveis com a manutenção das áreas atendidas.</w:t>
      </w:r>
    </w:p>
    <w:p w14:paraId="6C24B2C6" w14:textId="77777777" w:rsidR="0086534F" w:rsidRPr="00B45B69" w:rsidRDefault="0086534F" w:rsidP="0086534F">
      <w:pPr>
        <w:spacing w:after="0" w:line="276" w:lineRule="auto"/>
        <w:jc w:val="both"/>
        <w:rPr>
          <w:rFonts w:ascii="Times" w:hAnsi="Times"/>
          <w:b/>
          <w:bCs/>
          <w:sz w:val="20"/>
          <w:szCs w:val="20"/>
        </w:rPr>
      </w:pPr>
      <w:r w:rsidRPr="0086534F">
        <w:rPr>
          <w:rFonts w:ascii="Times" w:hAnsi="Times"/>
          <w:sz w:val="20"/>
          <w:szCs w:val="20"/>
        </w:rPr>
        <w:t xml:space="preserve">6.5. O picador e triturador móvel de galhos e troncos rebocável </w:t>
      </w:r>
      <w:r w:rsidRPr="00B45B69">
        <w:rPr>
          <w:rFonts w:ascii="Times" w:hAnsi="Times"/>
          <w:b/>
          <w:bCs/>
          <w:sz w:val="20"/>
          <w:szCs w:val="20"/>
        </w:rPr>
        <w:t>deverá possuir configuração, capacidade de processamento, motorização, sistemas de alimentação e corte, características rodoviárias, dispositivos de segurança e demais requisitos compatíveis com as especificações técnicas estabelecidas para o Item 6, permitindo o processamento eficiente dos resíduos vegetais e sua significativa redução volumétrica.</w:t>
      </w:r>
    </w:p>
    <w:p w14:paraId="56EB346A"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6.6. As características constantes deste Termo de Referência constituem requisitos mínimos. Serão admitidos equipamentos com características técnicas superiores, desde que permaneçam adequados à finalidade pretendida e que a condição apresentada como superior não implique prejuízo quanto à operação, peso, mobilidade, ergonomia, consumo, compatibilidade, manutenção, segurança ou desempenho.</w:t>
      </w:r>
    </w:p>
    <w:p w14:paraId="1846A24C"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6.7. As características técnicas do modelo ofertado deverão ser comprováveis mediante catálogo, ficha técnica, manual oficial do fabricante, declaração formal do fabricante ou outro documento técnico idôneo, conforme o momento de apresentação definido neste Termo de Referência. Quando aplicável, deverão constar no próprio equipamento fabricante, modelo, número de série, ano de fabricação e demais elementos necessários à sua individualização e rastreabilidade.</w:t>
      </w:r>
    </w:p>
    <w:p w14:paraId="68CD04A4"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6.8. Os equipamentos deverão ser fornecidos completos, acompanhados dos componentes, proteções, ferramentas de corte, acessórios, dispositivos de fixação e demais elementos previstos para cada item, não sendo admitida entrega que dependa da aquisição posterior de componente indispensável ao seu funcionamento normal.</w:t>
      </w:r>
    </w:p>
    <w:p w14:paraId="1C37E8EA"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6.9. Os equipamentos deverão atender às normas técnicas e de segurança aplicáveis à fabricação, comercialização e utilização, apresentando os dispositivos necessários à proteção do operador e de terceiros, especialmente quanto a partes móveis, elementos de corte, sistemas de alimentação, acionamento e transmissão, superfícies aquecidas, componentes elétricos, hidráulicos e demais pontos de risco.</w:t>
      </w:r>
    </w:p>
    <w:p w14:paraId="27EF0A9D"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6.10. Quando abrangidos por suas disposições, os equipamentos deverão atender à Norma Regulamentadora nº 12 – Segurança no Trabalho em Máquinas e Equipamentos e aos respectivos anexos aplicáveis.</w:t>
      </w:r>
    </w:p>
    <w:p w14:paraId="27C27184" w14:textId="77777777" w:rsidR="0086534F" w:rsidRPr="00B45B69" w:rsidRDefault="0086534F" w:rsidP="0086534F">
      <w:pPr>
        <w:spacing w:after="0" w:line="276" w:lineRule="auto"/>
        <w:jc w:val="both"/>
        <w:rPr>
          <w:rFonts w:ascii="Times" w:hAnsi="Times"/>
          <w:b/>
          <w:bCs/>
          <w:sz w:val="20"/>
          <w:szCs w:val="20"/>
        </w:rPr>
      </w:pPr>
      <w:r w:rsidRPr="00B45B69">
        <w:rPr>
          <w:rFonts w:ascii="Times" w:hAnsi="Times"/>
          <w:b/>
          <w:bCs/>
          <w:sz w:val="20"/>
          <w:szCs w:val="20"/>
        </w:rPr>
        <w:t>6.11. Exclusivamente para o Item 6 – Picador e Triturador Móvel de Galhos e Troncos Rebocável, considerando seu elevado valor, maior porte, motorização própria, sistemas hidráulicos e mecânicos de alimentação, sistema de corte de elevada energia, configuração rodoviária rebocável, complexidade de manutenção e riscos inerentes à operação, será adotado regime reforçado de comprovação técnica, documental e de suporte pós-venda, sem extensão automática dessas exigências aos demais itens.</w:t>
      </w:r>
    </w:p>
    <w:p w14:paraId="6989B010"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6.12. As exigências específicas previstas para o Item 6 destinam-se a assegurar que o equipamento ofertado:</w:t>
      </w:r>
    </w:p>
    <w:p w14:paraId="62345138" w14:textId="373B92CE"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a) corresponda efetivamente ao fabricante, marca, modelo e configuração declarados na proposta;</w:t>
      </w:r>
    </w:p>
    <w:p w14:paraId="0C1CB168" w14:textId="037BA8D4"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b) atenda integralmente às características mínimas de capacidade, motorização, alimentação, corte, segurança, mobilidade, transporte e operação estabelecidas neste Termo de Referência;</w:t>
      </w:r>
    </w:p>
    <w:p w14:paraId="43CE9103" w14:textId="3A088523"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c) possua documentação técnica e de segurança compatível com sua configuração;</w:t>
      </w:r>
    </w:p>
    <w:p w14:paraId="669DFCB3" w14:textId="73E86B6D"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d) esteja, quando aplicável, devidamente homologado e apto ao registro, licenciamento e circulação em vias públicas;</w:t>
      </w:r>
    </w:p>
    <w:p w14:paraId="55F44C59" w14:textId="366E1B07"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e) possua estrutura efetiva de assistência técnica, manutenção e fornecimento de peças no território nacional;</w:t>
      </w:r>
    </w:p>
    <w:p w14:paraId="1821CCB3" w14:textId="390F9AB5"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f) conte com documentação técnica do equipamento e do motor suficiente à adequada manutenção ao longo de sua vida útil;</w:t>
      </w:r>
    </w:p>
    <w:p w14:paraId="63B6A4C0" w14:textId="26AEF05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g) disponha de garantia, entrega técnica e treinamento compatíveis com sua complexidade; e</w:t>
      </w:r>
    </w:p>
    <w:p w14:paraId="70DB3CA7" w14:textId="20460FBF"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h) tenha as atividades sujeitas à responsabilidade profissional executadas por empresa ou profissional legalmente habilitado.</w:t>
      </w:r>
    </w:p>
    <w:p w14:paraId="25B2C9E1"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6.13. A comprovação das especificações técnicas do Item 6 deverá ocorrer mediante documentação oficial e rastreável, correspondente ao modelo e à configuração efetivamente ofertados, não sendo suficiente declaração genérica de atendimento desacompanhada dos documentos comprobatórios exigidos.</w:t>
      </w:r>
    </w:p>
    <w:p w14:paraId="56F79647"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6.14. Para fins de comprovação técnica, terão preferência os documentos emitidos pelo fabricante, tais como catálogo, ficha técnica, manual, desenho, memorial técnico, certificado ou declaração específica. Declaração da própria licitante poderá ser utilizada para assumir compromissos contratuais, mas não substituirá documento técnico do fabricante quando a informação exigida disser respeito a característica construtiva, desempenho, segurança, homologação ou configuração do produto.</w:t>
      </w:r>
    </w:p>
    <w:p w14:paraId="734CFDF4"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6.15. Quando determinada característica técnica não constar da documentação comercial padrão, poderá ser admitida declaração complementar do fabricante ou de representante oficialmente autorizado, desde que identifique expressamente o fabricante, o modelo, a característica comprovada e o responsável pela emissão, não sendo admitida declaração que contradiga catálogo, manual ou documentação oficial do produto.</w:t>
      </w:r>
    </w:p>
    <w:p w14:paraId="6BB76383" w14:textId="3AD6CE54"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 xml:space="preserve">6.16. O picador e triturador deverá possuir documentação de conformidade com a NR-12, inclusive quanto aos sistemas de alimentação, corte, transmissão, acionamento, parada, emergência e proteção do operador, observados os requisitos aplicáveis às máquinas e equipamentos e, conforme seu enquadramento, às máquinas e implementos de uso agrícola ou florestal. </w:t>
      </w:r>
    </w:p>
    <w:p w14:paraId="75718BC0"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 xml:space="preserve">6.17. Em razão da configuração rebocável, deverão ser apresentados, quando legalmente aplicáveis, os documentos necessários à comprovação de sua regularidade veicular, </w:t>
      </w:r>
      <w:r w:rsidRPr="00B45B69">
        <w:rPr>
          <w:rFonts w:ascii="Times" w:hAnsi="Times"/>
          <w:b/>
          <w:bCs/>
          <w:sz w:val="20"/>
          <w:szCs w:val="20"/>
        </w:rPr>
        <w:t>especialmente o Certificado de Adequação à Legislação de Trânsito – CAT e o Certificado de Capacitação Técnica – CCT</w:t>
      </w:r>
      <w:r w:rsidRPr="0086534F">
        <w:rPr>
          <w:rFonts w:ascii="Times" w:hAnsi="Times"/>
          <w:sz w:val="20"/>
          <w:szCs w:val="20"/>
        </w:rPr>
        <w:t>, ou documentação equivalente exigida pela regulamentação vigente.</w:t>
      </w:r>
    </w:p>
    <w:p w14:paraId="200B4BFF" w14:textId="5DB65257"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6.17.1. O CAT deverá corresponder ao tipo, fabricante e configuração veicular do equipamento ofertado, não sendo admitido certificado pertencente a modelo ou configuração diversa que não permita vinculação objetiva ao produto apresentado.</w:t>
      </w:r>
    </w:p>
    <w:p w14:paraId="6C6F4A3A" w14:textId="6266D3D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 xml:space="preserve">6.17.2. Quando exigível, o CCT deverá estar válido e ser emitido por Organismo de Inspeção Acreditado – OIA/Instituição Técnica Licenciada – ITL devidamente acreditada pelo INMETRO e licenciada pela SENATRAN. </w:t>
      </w:r>
    </w:p>
    <w:p w14:paraId="047F960D"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6.18. O equipamento deverá dispor de estrutura de assistência técnica e suporte pós-venda compatíveis com sua complexidade, admitida estrutura própria do fabricante, importador ou distribuidor, bem como rede autorizada formalmente vinculada, desde que atendidas as condições territoriais, documentais e de prazo estabelecidas neste Termo de Referência.</w:t>
      </w:r>
    </w:p>
    <w:p w14:paraId="2DAC1151"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6.19. A contratada deverá assegurar a disponibilidade de peças de reposição, componentes, consumíveis técnicos e suporte para o equipamento e para o motor aplicado pelo período mínimo estabelecido neste Termo de Referência, não se admitindo que a garantia ou a continuidade operacional dependam exclusivamente de importação eventual sem estrutura formal de atendimento no País.</w:t>
      </w:r>
    </w:p>
    <w:p w14:paraId="3D212ACA"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6.20. Quando atividades de montagem, regulagem, entrega técnica, revisão, reparo, manutenção ou intervenção técnica estiverem sujeitas à fiscalização profissional, deverão ser executadas sob responsabilidade de empresa e/ou profissional legalmente habilitado perante o CREA ou CRT, conforme suas atribuições, com emissão de ART ou TRT quando legalmente exigível.</w:t>
      </w:r>
    </w:p>
    <w:p w14:paraId="3C736378"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6.21. A documentação e os requisitos exclusivos do Item 6 serão exigidos na fase adequada à sua natureza, distinguindo-se:</w:t>
      </w:r>
    </w:p>
    <w:p w14:paraId="31BBD580" w14:textId="1DD8F708"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a) os documentos de qualificação da licitante, exigidos na habilitação;</w:t>
      </w:r>
    </w:p>
    <w:p w14:paraId="0DFA605A" w14:textId="2789BC48"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b) os documentos destinados à comprovação objetiva do equipamento, exigidos na análise da proposta;</w:t>
      </w:r>
    </w:p>
    <w:p w14:paraId="594F0FCC" w14:textId="6A08EFD8"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c) os documentos de garantia, assistência, manutenção e responsabilidade técnica, exigidos como condição para contratação ou execução; e</w:t>
      </w:r>
    </w:p>
    <w:p w14:paraId="491DDA4D" w14:textId="73E61B90"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d) os documentos definitivos do equipamento, exigidos para o recebimento.</w:t>
      </w:r>
    </w:p>
    <w:p w14:paraId="77C5CDE7" w14:textId="77777777" w:rsidR="006334C5" w:rsidRPr="00330FDA" w:rsidRDefault="006334C5" w:rsidP="00A1521B">
      <w:pPr>
        <w:spacing w:after="0" w:line="276" w:lineRule="auto"/>
        <w:jc w:val="both"/>
        <w:rPr>
          <w:rFonts w:ascii="Times" w:hAnsi="Times"/>
          <w:sz w:val="20"/>
          <w:szCs w:val="20"/>
        </w:rPr>
      </w:pPr>
    </w:p>
    <w:p w14:paraId="3FB10FD0" w14:textId="77777777" w:rsidR="00946A5B"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CAPÍTULO III</w:t>
      </w:r>
    </w:p>
    <w:p w14:paraId="06B8818C" w14:textId="77777777" w:rsidR="00946A5B" w:rsidRPr="00330FDA" w:rsidRDefault="00946A5B" w:rsidP="00920F82">
      <w:pPr>
        <w:spacing w:after="0" w:line="276" w:lineRule="auto"/>
        <w:jc w:val="center"/>
        <w:rPr>
          <w:rFonts w:ascii="Times" w:hAnsi="Times"/>
          <w:b/>
          <w:sz w:val="20"/>
          <w:szCs w:val="20"/>
        </w:rPr>
      </w:pPr>
      <w:r w:rsidRPr="00330FDA">
        <w:rPr>
          <w:rFonts w:ascii="Times" w:hAnsi="Times"/>
          <w:b/>
          <w:sz w:val="20"/>
          <w:szCs w:val="20"/>
        </w:rPr>
        <w:t>DO MODELO DE EXECUÇÃO DO OBJETO</w:t>
      </w:r>
    </w:p>
    <w:p w14:paraId="5314E265" w14:textId="77777777" w:rsidR="00BE12DE" w:rsidRPr="00BE12DE" w:rsidRDefault="00BE12DE" w:rsidP="00BE12DE">
      <w:pPr>
        <w:spacing w:after="0" w:line="276" w:lineRule="auto"/>
        <w:jc w:val="both"/>
        <w:rPr>
          <w:rFonts w:ascii="Times" w:hAnsi="Times"/>
          <w:b/>
          <w:sz w:val="20"/>
          <w:szCs w:val="20"/>
        </w:rPr>
      </w:pPr>
      <w:r w:rsidRPr="00BE12DE">
        <w:rPr>
          <w:rFonts w:ascii="Times" w:hAnsi="Times"/>
          <w:b/>
          <w:sz w:val="20"/>
          <w:szCs w:val="20"/>
        </w:rPr>
        <w:t>7. DA EXECUÇÃO, LOCAL E PRAZO DE ENTREGA:</w:t>
      </w:r>
    </w:p>
    <w:p w14:paraId="3D59F2B9" w14:textId="77777777"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7.1. A execução do objeto ocorrerá de forma eventual e parcelada, mediante contrato administrativo celebrado com fundamento na Ata de Registro de Preços, observadas as condições estabelecidas no Edital, neste Termo de Referência, na Ata, na proposta vencedora e no respectivo instrumento contratual.</w:t>
      </w:r>
    </w:p>
    <w:p w14:paraId="3EC182F7" w14:textId="14DE0122"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ab/>
        <w:t>7.1.1. Após a formalização do contrato administrativo, as aquisições serão realizadas conforme as necessidades efetivamente verificadas pela Administração, mediante emissão da respectiva Ordem de Compra e da correspondente Nota de Empenho, nas quais serão indicados os itens, quantitativos e valores a serem adquiridos, bem como o local de entrega, prazo e demais informações necessárias ao cumprimento da obrigação.</w:t>
      </w:r>
    </w:p>
    <w:p w14:paraId="20CA1CD1" w14:textId="23DE35A4"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ab/>
        <w:t>7.1.2. A Ordem de Compra será encaminhada ao endereço eletrônico informado pela contratada, considerando-se formalizada a solicitação e iniciado o respectivo prazo de entrega a partir de seu comprovado recebimento, desde que emitida a correspondente Nota de Empenho.</w:t>
      </w:r>
    </w:p>
    <w:p w14:paraId="04C044A9" w14:textId="1FFF0135"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ab/>
        <w:t>7.1.3. Por se tratar de Sistema de Registro de Preços, não haverá quantidade ou valor mínimo a ser adquirido durante a execução contratual, podendo o Município emitir Ordens de Compra de acordo com sua efetiva necessidade administrativa e disponibilidade orçamentária e financeira, respeitados os quantitativos máximos registrados e as condições estabelecidas no contrato.</w:t>
      </w:r>
    </w:p>
    <w:p w14:paraId="5F16CCDA" w14:textId="77777777"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7.2. A entrega dos equipamentos somente poderá ocorrer após a formalização do contrato administrativo e a emissão da correspondente Ordem de Compra e Nota de Empenho relativas aos itens e quantitativos solicitados. Qualquer fornecimento realizado sem a prévia autorização formal da Administração poderá ser recusado, não gerando obrigação de recebimento ou pagamento pelo Município.</w:t>
      </w:r>
    </w:p>
    <w:p w14:paraId="1CAB5B7A" w14:textId="5B3B74A5" w:rsidR="000A3C4B" w:rsidRPr="000A3C4B" w:rsidRDefault="000A3C4B" w:rsidP="000A3C4B">
      <w:pPr>
        <w:spacing w:after="0" w:line="276" w:lineRule="auto"/>
        <w:jc w:val="both"/>
        <w:rPr>
          <w:rFonts w:ascii="Times" w:hAnsi="Times"/>
          <w:sz w:val="20"/>
          <w:szCs w:val="20"/>
        </w:rPr>
      </w:pPr>
      <w:r w:rsidRPr="000A3C4B">
        <w:rPr>
          <w:rFonts w:ascii="Times" w:hAnsi="Times"/>
          <w:sz w:val="20"/>
          <w:szCs w:val="20"/>
        </w:rPr>
        <w:t xml:space="preserve">7.3. Os equipamentos deverão ser entregues no prazo máximo de </w:t>
      </w:r>
      <w:r w:rsidRPr="000A3C4B">
        <w:rPr>
          <w:rFonts w:ascii="Times" w:hAnsi="Times"/>
          <w:b/>
          <w:bCs/>
          <w:sz w:val="20"/>
          <w:szCs w:val="20"/>
        </w:rPr>
        <w:t xml:space="preserve">20 (vinte) dias corridos, contados do recebimento da respectiva Ordem de </w:t>
      </w:r>
      <w:r w:rsidR="00733E63">
        <w:rPr>
          <w:rFonts w:ascii="Times" w:hAnsi="Times"/>
          <w:b/>
          <w:bCs/>
          <w:sz w:val="20"/>
          <w:szCs w:val="20"/>
        </w:rPr>
        <w:t>Compra</w:t>
      </w:r>
      <w:r w:rsidRPr="000A3C4B">
        <w:rPr>
          <w:rFonts w:ascii="Times" w:hAnsi="Times"/>
          <w:b/>
          <w:bCs/>
          <w:sz w:val="20"/>
          <w:szCs w:val="20"/>
        </w:rPr>
        <w:t xml:space="preserve"> pela contratada</w:t>
      </w:r>
      <w:r w:rsidRPr="000A3C4B">
        <w:rPr>
          <w:rFonts w:ascii="Times" w:hAnsi="Times"/>
          <w:sz w:val="20"/>
          <w:szCs w:val="20"/>
        </w:rPr>
        <w:t>.</w:t>
      </w:r>
    </w:p>
    <w:p w14:paraId="767A595C" w14:textId="01C43DA0" w:rsidR="001F33A9" w:rsidRPr="001F33A9" w:rsidRDefault="001F33A9" w:rsidP="001F33A9">
      <w:pPr>
        <w:spacing w:after="0" w:line="276" w:lineRule="auto"/>
        <w:jc w:val="both"/>
        <w:rPr>
          <w:rFonts w:ascii="Times" w:hAnsi="Times"/>
          <w:b/>
          <w:sz w:val="20"/>
          <w:szCs w:val="20"/>
        </w:rPr>
      </w:pPr>
      <w:r w:rsidRPr="001F33A9">
        <w:rPr>
          <w:rFonts w:ascii="Times" w:hAnsi="Times"/>
          <w:b/>
          <w:bCs/>
          <w:sz w:val="20"/>
          <w:szCs w:val="20"/>
        </w:rPr>
        <w:tab/>
        <w:t xml:space="preserve">7.3.1. </w:t>
      </w:r>
      <w:r w:rsidRPr="001F33A9">
        <w:rPr>
          <w:rFonts w:ascii="Times" w:hAnsi="Times"/>
          <w:b/>
          <w:bCs/>
          <w:sz w:val="20"/>
          <w:szCs w:val="20"/>
          <w:u w:val="single"/>
        </w:rPr>
        <w:t xml:space="preserve">Para o picador e triturador móvel de galhos e troncos rebocável, o prazo máximo de entrega será de </w:t>
      </w:r>
      <w:r w:rsidR="00B45B69">
        <w:rPr>
          <w:rFonts w:ascii="Times" w:hAnsi="Times"/>
          <w:b/>
          <w:bCs/>
          <w:sz w:val="20"/>
          <w:szCs w:val="20"/>
          <w:u w:val="single"/>
        </w:rPr>
        <w:t>45</w:t>
      </w:r>
      <w:r w:rsidRPr="001F33A9">
        <w:rPr>
          <w:rFonts w:ascii="Times" w:hAnsi="Times"/>
          <w:b/>
          <w:bCs/>
          <w:sz w:val="20"/>
          <w:szCs w:val="20"/>
          <w:u w:val="single"/>
        </w:rPr>
        <w:t xml:space="preserve"> (</w:t>
      </w:r>
      <w:r w:rsidR="00B45B69">
        <w:rPr>
          <w:rFonts w:ascii="Times" w:hAnsi="Times"/>
          <w:b/>
          <w:bCs/>
          <w:sz w:val="20"/>
          <w:szCs w:val="20"/>
          <w:u w:val="single"/>
        </w:rPr>
        <w:t>quarenta e cinco</w:t>
      </w:r>
      <w:r w:rsidRPr="001F33A9">
        <w:rPr>
          <w:rFonts w:ascii="Times" w:hAnsi="Times"/>
          <w:b/>
          <w:bCs/>
          <w:sz w:val="20"/>
          <w:szCs w:val="20"/>
          <w:u w:val="single"/>
        </w:rPr>
        <w:t>) dias corridos</w:t>
      </w:r>
      <w:r w:rsidRPr="001F33A9">
        <w:rPr>
          <w:rFonts w:ascii="Times" w:hAnsi="Times"/>
          <w:b/>
          <w:bCs/>
          <w:sz w:val="20"/>
          <w:szCs w:val="20"/>
        </w:rPr>
        <w:t>,</w:t>
      </w:r>
      <w:r w:rsidRPr="001F33A9">
        <w:rPr>
          <w:rFonts w:ascii="Times" w:hAnsi="Times"/>
          <w:b/>
          <w:sz w:val="20"/>
          <w:szCs w:val="20"/>
        </w:rPr>
        <w:t xml:space="preserve"> </w:t>
      </w:r>
      <w:r w:rsidRPr="001F33A9">
        <w:rPr>
          <w:rFonts w:ascii="Times" w:hAnsi="Times"/>
          <w:bCs/>
          <w:sz w:val="20"/>
          <w:szCs w:val="20"/>
        </w:rPr>
        <w:t>considerando seu maior porte, complexidade logística, necessidade de transporte apropriado e procedimentos específicos necessários à entrega técnica e à disponibilização do equipamento em condições adequadas de operação e segurança.</w:t>
      </w:r>
    </w:p>
    <w:p w14:paraId="4EC31243" w14:textId="5D333CE6" w:rsidR="001F33A9" w:rsidRPr="001F33A9" w:rsidRDefault="001F33A9" w:rsidP="001F33A9">
      <w:pPr>
        <w:spacing w:after="0" w:line="276" w:lineRule="auto"/>
        <w:jc w:val="both"/>
        <w:rPr>
          <w:rFonts w:ascii="Times" w:hAnsi="Times"/>
          <w:b/>
          <w:sz w:val="20"/>
          <w:szCs w:val="20"/>
        </w:rPr>
      </w:pPr>
      <w:r>
        <w:rPr>
          <w:rFonts w:ascii="Times" w:hAnsi="Times"/>
          <w:b/>
          <w:bCs/>
          <w:sz w:val="20"/>
          <w:szCs w:val="20"/>
        </w:rPr>
        <w:tab/>
      </w:r>
      <w:r w:rsidRPr="001F33A9">
        <w:rPr>
          <w:rFonts w:ascii="Times" w:hAnsi="Times"/>
          <w:b/>
          <w:bCs/>
          <w:sz w:val="20"/>
          <w:szCs w:val="20"/>
        </w:rPr>
        <w:t>7.3.2.</w:t>
      </w:r>
      <w:r w:rsidRPr="001F33A9">
        <w:rPr>
          <w:rFonts w:ascii="Times" w:hAnsi="Times"/>
          <w:b/>
          <w:sz w:val="20"/>
          <w:szCs w:val="20"/>
        </w:rPr>
        <w:t xml:space="preserve"> </w:t>
      </w:r>
      <w:r w:rsidRPr="001F33A9">
        <w:rPr>
          <w:rFonts w:ascii="Times" w:hAnsi="Times"/>
          <w:b/>
          <w:sz w:val="20"/>
          <w:szCs w:val="20"/>
          <w:u w:val="single"/>
        </w:rPr>
        <w:t xml:space="preserve">O local de entrega será a sede da </w:t>
      </w:r>
      <w:r w:rsidRPr="001F33A9">
        <w:rPr>
          <w:rFonts w:ascii="Times" w:hAnsi="Times"/>
          <w:b/>
          <w:bCs/>
          <w:sz w:val="20"/>
          <w:szCs w:val="20"/>
          <w:u w:val="single"/>
        </w:rPr>
        <w:t>Secretaria Municipal de Agricultura, Meio Ambiente e Saneamento</w:t>
      </w:r>
      <w:r w:rsidRPr="001F33A9">
        <w:rPr>
          <w:rFonts w:ascii="Times" w:hAnsi="Times"/>
          <w:b/>
          <w:sz w:val="20"/>
          <w:szCs w:val="20"/>
          <w:u w:val="single"/>
        </w:rPr>
        <w:t>, situada na Rua Quatro de Julho, nº 7</w:t>
      </w:r>
      <w:r w:rsidR="00982319">
        <w:rPr>
          <w:rFonts w:ascii="Times" w:hAnsi="Times"/>
          <w:b/>
          <w:sz w:val="20"/>
          <w:szCs w:val="20"/>
          <w:u w:val="single"/>
        </w:rPr>
        <w:t>.</w:t>
      </w:r>
      <w:r w:rsidRPr="001F33A9">
        <w:rPr>
          <w:rFonts w:ascii="Times" w:hAnsi="Times"/>
          <w:b/>
          <w:sz w:val="20"/>
          <w:szCs w:val="20"/>
          <w:u w:val="single"/>
        </w:rPr>
        <w:t xml:space="preserve">098, Centro, Paverama/RS, CEP 95865-000, conforme localização disponível no Google Maps: </w:t>
      </w:r>
      <w:hyperlink r:id="rId8" w:tgtFrame="_new" w:history="1">
        <w:r w:rsidRPr="001F33A9">
          <w:rPr>
            <w:rStyle w:val="Hyperlink"/>
            <w:rFonts w:ascii="Times" w:hAnsi="Times"/>
            <w:b/>
            <w:sz w:val="20"/>
            <w:szCs w:val="20"/>
          </w:rPr>
          <w:t>https://maps.app.goo.gl/SHTsZ65NSVUQVyUN9</w:t>
        </w:r>
      </w:hyperlink>
      <w:r w:rsidRPr="001F33A9">
        <w:rPr>
          <w:rFonts w:ascii="Times" w:hAnsi="Times"/>
          <w:b/>
          <w:sz w:val="20"/>
          <w:szCs w:val="20"/>
        </w:rPr>
        <w:t>.</w:t>
      </w:r>
    </w:p>
    <w:p w14:paraId="2CA06749" w14:textId="77777777"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7.4. Havendo impossibilidade justificada de cumprimento do prazo estabelecido, a contratada deverá comunicar formalmente a Administração com antecedência mínima de 2 (dois) dias úteis, apresentando os fundamentos e documentos pertinentes. Eventual prorrogação dependerá de análise e autorização expressa da Administração, especialmente nas hipóteses de caso fortuito, força maior ou outra circunstância devidamente comprovada.</w:t>
      </w:r>
    </w:p>
    <w:p w14:paraId="4A26F70D" w14:textId="2572D593"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7.5. A Administração poderá recusar equipamentos que apresentem avarias, vícios, defeitos, ausência de componentes ou documentação exigida, ou qualquer divergência em relação às especificações estabelecidas. Nessas hipóteses, a contratada deverá providenciar, sem ônus para o Município, a regularização ou substituição do equipamento dentro do prazo determinado pela Administração, observado, como limite máximo, o prazo de entrega originalmente aplicável ao respectivo item.</w:t>
      </w:r>
    </w:p>
    <w:p w14:paraId="53E07FD8" w14:textId="3B6A2F07"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w:t>
      </w:r>
      <w:r w:rsidR="00733E63">
        <w:rPr>
          <w:rFonts w:ascii="Times" w:hAnsi="Times"/>
          <w:sz w:val="20"/>
          <w:szCs w:val="20"/>
        </w:rPr>
        <w:t>6</w:t>
      </w:r>
      <w:r w:rsidRPr="001F33A9">
        <w:rPr>
          <w:rFonts w:ascii="Times" w:hAnsi="Times"/>
          <w:sz w:val="20"/>
          <w:szCs w:val="20"/>
        </w:rPr>
        <w:t>. No ato da entrega será realizada conferência inicial dos equipamentos, compreendendo a verificação quantitativa, integridade física, acessórios, identificação do produto e documentação apresentada, sem prejuízo da realização posterior de testes, inspeções e demais verificações necessárias à confirmação de sua conformidade técnica e operacional.</w:t>
      </w:r>
    </w:p>
    <w:p w14:paraId="66955E4E" w14:textId="1924CFE2"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w:t>
      </w:r>
      <w:r w:rsidR="00733E63">
        <w:rPr>
          <w:rFonts w:ascii="Times" w:hAnsi="Times"/>
          <w:sz w:val="20"/>
          <w:szCs w:val="20"/>
        </w:rPr>
        <w:t>7</w:t>
      </w:r>
      <w:r w:rsidRPr="001F33A9">
        <w:rPr>
          <w:rFonts w:ascii="Times" w:hAnsi="Times"/>
          <w:sz w:val="20"/>
          <w:szCs w:val="20"/>
        </w:rPr>
        <w:t>. O recebimento provisório ocorrerá no momento da entrega, mediante conferência inicial do objeto, não representando aceitação definitiva nem afastando a responsabilidade da contratada por desconformidades, defeitos ou vícios posteriormente identificados.</w:t>
      </w:r>
    </w:p>
    <w:p w14:paraId="4B19CC72" w14:textId="515303C6" w:rsidR="008104D3" w:rsidRPr="008104D3" w:rsidRDefault="008104D3" w:rsidP="008104D3">
      <w:pPr>
        <w:spacing w:after="0" w:line="276" w:lineRule="auto"/>
        <w:jc w:val="both"/>
        <w:rPr>
          <w:rFonts w:ascii="Times" w:hAnsi="Times"/>
          <w:sz w:val="20"/>
          <w:szCs w:val="20"/>
        </w:rPr>
      </w:pPr>
      <w:r w:rsidRPr="008104D3">
        <w:rPr>
          <w:rFonts w:ascii="Times" w:hAnsi="Times"/>
          <w:sz w:val="20"/>
          <w:szCs w:val="20"/>
        </w:rPr>
        <w:t>7.</w:t>
      </w:r>
      <w:r w:rsidR="00733E63">
        <w:rPr>
          <w:rFonts w:ascii="Times" w:hAnsi="Times"/>
          <w:sz w:val="20"/>
          <w:szCs w:val="20"/>
        </w:rPr>
        <w:t>8</w:t>
      </w:r>
      <w:r w:rsidRPr="008104D3">
        <w:rPr>
          <w:rFonts w:ascii="Times" w:hAnsi="Times"/>
          <w:sz w:val="20"/>
          <w:szCs w:val="20"/>
        </w:rPr>
        <w:t>. O recebimento definitivo ocorrerá no prazo de até 10 (dez) dias contados do recebimento provisório, após a conclusão das verificações, testes de funcionamento,</w:t>
      </w:r>
      <w:r w:rsidR="00733E63">
        <w:rPr>
          <w:rFonts w:ascii="Times" w:hAnsi="Times"/>
          <w:sz w:val="20"/>
          <w:szCs w:val="20"/>
        </w:rPr>
        <w:t xml:space="preserve"> se necessários,</w:t>
      </w:r>
      <w:r w:rsidRPr="008104D3">
        <w:rPr>
          <w:rFonts w:ascii="Times" w:hAnsi="Times"/>
          <w:sz w:val="20"/>
          <w:szCs w:val="20"/>
        </w:rPr>
        <w:t xml:space="preserve"> conferência documental e eventual regularização de pendências, mediante registro de recebimento definitivo pelo servidor ou setor competente, confirmando o atendimento integral das especificações e condições estabelecidas neste Termo de Referência.</w:t>
      </w:r>
    </w:p>
    <w:p w14:paraId="37C513DF" w14:textId="77BA90F3" w:rsidR="008104D3" w:rsidRPr="008104D3" w:rsidRDefault="008104D3" w:rsidP="008104D3">
      <w:pPr>
        <w:spacing w:after="0" w:line="276" w:lineRule="auto"/>
        <w:jc w:val="both"/>
        <w:rPr>
          <w:rFonts w:ascii="Times" w:hAnsi="Times"/>
          <w:sz w:val="20"/>
          <w:szCs w:val="20"/>
        </w:rPr>
      </w:pPr>
      <w:r w:rsidRPr="008104D3">
        <w:rPr>
          <w:rFonts w:ascii="Times" w:hAnsi="Times"/>
          <w:sz w:val="20"/>
          <w:szCs w:val="20"/>
        </w:rPr>
        <w:tab/>
        <w:t>7.9.1. Caso sejam constatadas irregularidades durante o período de verificação, o recebimento definitivo somente será realizado após a respectiva correção, complementação ou substituição pela contratada e nova verificação da conformidade do objeto.</w:t>
      </w:r>
    </w:p>
    <w:p w14:paraId="00774442" w14:textId="27F03810"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w:t>
      </w:r>
      <w:r w:rsidR="00733E63">
        <w:rPr>
          <w:rFonts w:ascii="Times" w:hAnsi="Times"/>
          <w:sz w:val="20"/>
          <w:szCs w:val="20"/>
        </w:rPr>
        <w:t>9</w:t>
      </w:r>
      <w:r w:rsidRPr="001F33A9">
        <w:rPr>
          <w:rFonts w:ascii="Times" w:hAnsi="Times"/>
          <w:sz w:val="20"/>
          <w:szCs w:val="20"/>
        </w:rPr>
        <w:t>. A entrega deverá ser realizada mediante veículos e meios de transporte adequados às características dos equipamentos, observando-se as condições necessárias à sua proteção contra avarias, intempéries, movimentações indevidas ou outros fatores capazes de comprometer sua integridade e segurança.</w:t>
      </w:r>
    </w:p>
    <w:p w14:paraId="7A8249F3" w14:textId="2BE1A2AD"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7.1</w:t>
      </w:r>
      <w:r w:rsidR="00733E63">
        <w:rPr>
          <w:rFonts w:ascii="Times" w:hAnsi="Times"/>
          <w:sz w:val="20"/>
          <w:szCs w:val="20"/>
        </w:rPr>
        <w:t>0</w:t>
      </w:r>
      <w:r w:rsidRPr="001F33A9">
        <w:rPr>
          <w:rFonts w:ascii="Times" w:hAnsi="Times"/>
          <w:sz w:val="20"/>
          <w:szCs w:val="20"/>
        </w:rPr>
        <w:t>. Todo o processo logístico necessário ao fornecimento, incluindo acondicionamento, carregamento, transporte, seguro, descarregamento, movimentação, montagem e entrega no local indicado, quando aplicáveis, será de responsabilidade da contratada, não cabendo ao Município fornecer mão de obra, veículos, equipamentos ou outros meios para execução dessas atividades.</w:t>
      </w:r>
    </w:p>
    <w:p w14:paraId="735BF566" w14:textId="1C63FFA7"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7.1</w:t>
      </w:r>
      <w:r w:rsidR="00733E63">
        <w:rPr>
          <w:rFonts w:ascii="Times" w:hAnsi="Times"/>
          <w:sz w:val="20"/>
          <w:szCs w:val="20"/>
        </w:rPr>
        <w:t>1</w:t>
      </w:r>
      <w:r w:rsidRPr="001F33A9">
        <w:rPr>
          <w:rFonts w:ascii="Times" w:hAnsi="Times"/>
          <w:sz w:val="20"/>
          <w:szCs w:val="20"/>
        </w:rPr>
        <w:t>. A contratada será responsável pela integridade dos equipamentos até sua efetiva entrega, respondendo por danos, perdas, avarias ou deteriorações ocorridas durante o transporte, carga, descarga, montagem ou demais operações sob sua responsabilidade.</w:t>
      </w:r>
    </w:p>
    <w:p w14:paraId="29E234AE" w14:textId="4E3EED53" w:rsidR="001F33A9" w:rsidRPr="001F33A9" w:rsidRDefault="001F33A9" w:rsidP="001F33A9">
      <w:pPr>
        <w:spacing w:after="0" w:line="276" w:lineRule="auto"/>
        <w:jc w:val="both"/>
        <w:rPr>
          <w:rFonts w:ascii="Times" w:hAnsi="Times"/>
          <w:sz w:val="20"/>
          <w:szCs w:val="20"/>
        </w:rPr>
      </w:pPr>
      <w:r w:rsidRPr="001F33A9">
        <w:rPr>
          <w:rFonts w:ascii="Times" w:hAnsi="Times"/>
          <w:sz w:val="20"/>
          <w:szCs w:val="20"/>
        </w:rPr>
        <w:t>7.1</w:t>
      </w:r>
      <w:r w:rsidR="00733E63">
        <w:rPr>
          <w:rFonts w:ascii="Times" w:hAnsi="Times"/>
          <w:sz w:val="20"/>
          <w:szCs w:val="20"/>
        </w:rPr>
        <w:t>2</w:t>
      </w:r>
      <w:r w:rsidRPr="001F33A9">
        <w:rPr>
          <w:rFonts w:ascii="Times" w:hAnsi="Times"/>
          <w:sz w:val="20"/>
          <w:szCs w:val="20"/>
        </w:rPr>
        <w:t>. Na execução do fornecimento deverão ser observadas as normas ambientais aplicáveis, adotando-se medidas destinadas à prevenção de vazamentos de combustíveis, óleos ou outros materiais potencialmente contaminantes, bem como à adequada destinação de embalagens, proteções e resíduos eventualmente gerados durante a entrega, montagem ou preparação dos equipamentos.</w:t>
      </w:r>
    </w:p>
    <w:p w14:paraId="28090B8D" w14:textId="77777777" w:rsidR="00180BCE" w:rsidRPr="00330FDA" w:rsidRDefault="00180BCE" w:rsidP="00920F82">
      <w:pPr>
        <w:spacing w:after="0" w:line="276" w:lineRule="auto"/>
        <w:jc w:val="both"/>
        <w:rPr>
          <w:rFonts w:ascii="Times" w:hAnsi="Times"/>
          <w:sz w:val="20"/>
          <w:szCs w:val="20"/>
        </w:rPr>
      </w:pPr>
    </w:p>
    <w:p w14:paraId="71F09D26" w14:textId="54135531" w:rsidR="00302947" w:rsidRDefault="00180BCE" w:rsidP="00920F82">
      <w:pPr>
        <w:spacing w:after="0" w:line="276" w:lineRule="auto"/>
        <w:jc w:val="both"/>
        <w:rPr>
          <w:rFonts w:ascii="Times" w:hAnsi="Times"/>
          <w:b/>
          <w:sz w:val="20"/>
          <w:szCs w:val="20"/>
        </w:rPr>
      </w:pPr>
      <w:r w:rsidRPr="00330FDA">
        <w:rPr>
          <w:rFonts w:ascii="Times" w:hAnsi="Times"/>
          <w:b/>
          <w:sz w:val="20"/>
          <w:szCs w:val="20"/>
        </w:rPr>
        <w:t xml:space="preserve">8. </w:t>
      </w:r>
      <w:r w:rsidR="001F33A9" w:rsidRPr="001F33A9">
        <w:rPr>
          <w:rFonts w:ascii="Times" w:hAnsi="Times"/>
          <w:b/>
          <w:sz w:val="20"/>
          <w:szCs w:val="20"/>
        </w:rPr>
        <w:t>OBRIGAÇÕES DA CONTRATANTE E DA CONTRATADA:</w:t>
      </w:r>
    </w:p>
    <w:p w14:paraId="77C8E7FA" w14:textId="77777777" w:rsidR="001F33A9" w:rsidRPr="001F33A9" w:rsidRDefault="001F33A9" w:rsidP="001F33A9">
      <w:pPr>
        <w:spacing w:after="0" w:line="276" w:lineRule="auto"/>
        <w:jc w:val="both"/>
        <w:rPr>
          <w:rFonts w:ascii="Times" w:hAnsi="Times"/>
          <w:bCs/>
          <w:sz w:val="20"/>
          <w:szCs w:val="20"/>
        </w:rPr>
      </w:pPr>
      <w:r w:rsidRPr="001F33A9">
        <w:rPr>
          <w:rFonts w:ascii="Times" w:hAnsi="Times"/>
          <w:sz w:val="20"/>
          <w:szCs w:val="20"/>
        </w:rPr>
        <w:t>8.1. São obrigações da</w:t>
      </w:r>
      <w:r w:rsidRPr="001F33A9">
        <w:rPr>
          <w:rFonts w:ascii="Times" w:hAnsi="Times"/>
          <w:b/>
          <w:bCs/>
          <w:sz w:val="20"/>
          <w:szCs w:val="20"/>
        </w:rPr>
        <w:t xml:space="preserve"> CONTRATANTE</w:t>
      </w:r>
      <w:r w:rsidRPr="001F33A9">
        <w:rPr>
          <w:rFonts w:ascii="Times" w:hAnsi="Times"/>
          <w:sz w:val="20"/>
          <w:szCs w:val="20"/>
        </w:rPr>
        <w:t>:</w:t>
      </w:r>
    </w:p>
    <w:p w14:paraId="28BB6916"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a) Fornecer à CONTRATADA as informações, orientações e esclarecimentos necessários ao adequado cumprimento das obrigações decorrentes da contratação;</w:t>
      </w:r>
    </w:p>
    <w:p w14:paraId="6201272E" w14:textId="77777777" w:rsidR="000A3C4B" w:rsidRDefault="001F33A9" w:rsidP="001F33A9">
      <w:pPr>
        <w:spacing w:after="0" w:line="276" w:lineRule="auto"/>
        <w:ind w:firstLine="709"/>
        <w:jc w:val="both"/>
        <w:rPr>
          <w:rFonts w:ascii="Times" w:hAnsi="Times"/>
          <w:sz w:val="20"/>
          <w:szCs w:val="20"/>
        </w:rPr>
      </w:pPr>
      <w:r>
        <w:rPr>
          <w:rFonts w:ascii="Times" w:hAnsi="Times"/>
          <w:sz w:val="20"/>
          <w:szCs w:val="20"/>
        </w:rPr>
        <w:tab/>
        <w:t>b) Formalizar os contratos administrativos decorrentes da Ata de Registro de Preços, emitir as respectivas Ordens de Compra e as correspondentes Notas de Empenho, contendo os itens, quantitativos, local de entrega e demais informações necessárias ao cumprimento do objeto;</w:t>
      </w:r>
    </w:p>
    <w:p w14:paraId="0346E9A9" w14:textId="62012BFB"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c) Acompanhar e fiscalizar a execução da contratação, por meio dos agentes formalmente designados, verificando o cumprimento das especificações técnicas, prazos e demais condições estabelecidas no Edital, neste Termo de Referência, na Ata de Registro de Preços e nos respectivos instrumentos de contratação;</w:t>
      </w:r>
    </w:p>
    <w:p w14:paraId="527EA414"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d) Realizar o recebimento provisório e definitivo dos equipamentos, procedendo às conferências, testes e verificações necessárias à comprovação da conformidade do objeto fornecido;</w:t>
      </w:r>
    </w:p>
    <w:p w14:paraId="5F696922"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e) Rejeitar, total ou parcialmente, os equipamentos que apresentem vícios, defeitos, avarias, ausência de componentes ou documentação, ou que estejam em desacordo com as especificações e condições estabelecidas;</w:t>
      </w:r>
    </w:p>
    <w:p w14:paraId="69F33456"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f) Notificar formalmente a CONTRATADA acerca de irregularidades, desconformidades ou descumprimentos verificados durante a execução, estabelecendo prazo para adoção das providências cabíveis, quando aplicável;</w:t>
      </w:r>
    </w:p>
    <w:p w14:paraId="322BB22B"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g) Manter registro das comunicações, ocorrências e determinações relacionadas à execução da contratação, quando necessário ao seu adequado acompanhamento; e</w:t>
      </w:r>
    </w:p>
    <w:p w14:paraId="515ED6D0"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h) Efetuar o pagamento devido pela aquisição dos equipamentos regularmente recebidos, observadas as condições e os prazos estabelecidos neste Termo de Referência e nos demais instrumentos da contratação.</w:t>
      </w:r>
    </w:p>
    <w:p w14:paraId="35055BD4" w14:textId="77777777" w:rsidR="001F33A9" w:rsidRPr="001F33A9" w:rsidRDefault="001F33A9" w:rsidP="001F33A9">
      <w:pPr>
        <w:spacing w:after="0" w:line="276" w:lineRule="auto"/>
        <w:jc w:val="both"/>
        <w:rPr>
          <w:rFonts w:ascii="Times" w:hAnsi="Times"/>
          <w:bCs/>
          <w:sz w:val="20"/>
          <w:szCs w:val="20"/>
        </w:rPr>
      </w:pPr>
      <w:r w:rsidRPr="001F33A9">
        <w:rPr>
          <w:rFonts w:ascii="Times" w:hAnsi="Times"/>
          <w:sz w:val="20"/>
          <w:szCs w:val="20"/>
        </w:rPr>
        <w:t>8.2. São obrigações da</w:t>
      </w:r>
      <w:r w:rsidRPr="001F33A9">
        <w:rPr>
          <w:rFonts w:ascii="Times" w:hAnsi="Times"/>
          <w:b/>
          <w:bCs/>
          <w:sz w:val="20"/>
          <w:szCs w:val="20"/>
        </w:rPr>
        <w:t xml:space="preserve"> CONTRATADA</w:t>
      </w:r>
      <w:r w:rsidRPr="001F33A9">
        <w:rPr>
          <w:rFonts w:ascii="Times" w:hAnsi="Times"/>
          <w:sz w:val="20"/>
          <w:szCs w:val="20"/>
        </w:rPr>
        <w:t>:</w:t>
      </w:r>
    </w:p>
    <w:p w14:paraId="4A819D29"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a) Cumprir integralmente as condições estabelecidas no Edital, neste Termo de Referência, na Ata de Registro de Preços, na proposta apresentada e nos respectivos instrumentos de contratação, observando os prazos, especificações técnicas, quantitativos e condições de entrega;</w:t>
      </w:r>
    </w:p>
    <w:p w14:paraId="69771AEA"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b) Fornecer equipamentos novos, de primeiro uso e em perfeita condição de funcionamento, acompanhados de todos os componentes, acessórios, dispositivos de segurança, manuais e documentos exigidos para cada item;</w:t>
      </w:r>
    </w:p>
    <w:p w14:paraId="195067DD"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c) Responsabilizar-se integralmente pelo acondicionamento, carregamento, transporte, seguro, descarregamento, montagem, regulagem, ativação e demais procedimentos necessários à entrega dos equipamentos, quando aplicáveis, assumindo todos os custos e riscos até sua efetiva disponibilização no local indicado pela Administração;</w:t>
      </w:r>
    </w:p>
    <w:p w14:paraId="3CAD4F7E"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d) Submeter-se à fiscalização da CONTRATANTE, prestando prontamente as informações e esclarecimentos solicitados e adotando as providências necessárias à correção das irregularidades identificadas;</w:t>
      </w:r>
    </w:p>
    <w:p w14:paraId="5FCF762E"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e) Responsabilizar-se pela qualidade, quantidade, integridade e conformidade dos equipamentos fornecidos, bem como pela exatidão das informações técnicas e documentos apresentados em relação aos modelos efetivamente entregues;</w:t>
      </w:r>
    </w:p>
    <w:p w14:paraId="34F5A1A5"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f) Providenciar, às suas expensas e nos prazos estabelecidos pela Administração, a correção, complementação ou substituição dos equipamentos que apresentem vícios, defeitos, avarias, incorreções ou desconformidades com as especificações contratadas, ainda que identificados após o recebimento provisório;</w:t>
      </w:r>
    </w:p>
    <w:p w14:paraId="4E47161A"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g) Cumprir as obrigações relacionadas à garantia, assistência técnica, fornecimento de peças, revisões, manutenções e demais responsabilidades específicas previstas neste Termo de Referência para cada equipamento;</w:t>
      </w:r>
    </w:p>
    <w:p w14:paraId="1827B126"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h) Realizar, quando exigível, a entrega técnica, montagem, regulagem, testes de funcionamento e demais procedimentos necessários à disponibilização do equipamento em condições adequadas de operação e segurança;</w:t>
      </w:r>
    </w:p>
    <w:p w14:paraId="45C3C024"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i) Responsabilizar-se pelos danos causados ao Município ou a terceiros decorrentes de defeito, vício, desconformidade do equipamento ou de ação ou omissão atribuível à CONTRATADA durante a execução de suas obrigações, sem prejuízo das demais responsabilidades legais e contratuais cabíveis;</w:t>
      </w:r>
    </w:p>
    <w:p w14:paraId="01AF0DE8"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j) Arcar com todos os tributos, encargos, fretes, seguros, despesas trabalhistas, previdenciárias, fiscais, comerciais e demais custos direta ou indiretamente relacionados ao cumprimento das obrigações assumidas, não cabendo qualquer ônus adicional ao Município;</w:t>
      </w:r>
    </w:p>
    <w:p w14:paraId="33B5352E"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k) Manter, durante toda a execução das contratações decorrentes da Ata de Registro de Preços, as condições necessárias ao regular cumprimento das obrigações assumidas e comunicar imediatamente à Administração qualquer fato que possa comprometer os prazos ou a adequada execução do fornecimento;</w:t>
      </w:r>
    </w:p>
    <w:p w14:paraId="49C5EC85"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l) Obter, quando legalmente exigíveis, as autorizações, registros, licenças, certificações e demais documentos necessários ao fornecimento e à regular disponibilização dos equipamentos contratados; e</w:t>
      </w:r>
    </w:p>
    <w:p w14:paraId="490F8DBF" w14:textId="77777777" w:rsidR="001F33A9" w:rsidRPr="001F33A9" w:rsidRDefault="001F33A9" w:rsidP="001F33A9">
      <w:pPr>
        <w:spacing w:after="0" w:line="276" w:lineRule="auto"/>
        <w:ind w:firstLine="709"/>
        <w:jc w:val="both"/>
        <w:rPr>
          <w:rFonts w:ascii="Times" w:hAnsi="Times"/>
          <w:sz w:val="20"/>
          <w:szCs w:val="20"/>
        </w:rPr>
      </w:pPr>
      <w:r w:rsidRPr="001F33A9">
        <w:rPr>
          <w:rFonts w:ascii="Times" w:hAnsi="Times"/>
          <w:sz w:val="20"/>
          <w:szCs w:val="20"/>
        </w:rPr>
        <w:t>m) Não transferir a terceiros as obrigações assumidas sem prévia autorização da Administração, quando admitida, permanecendo a CONTRATADA integralmente responsável pelo cumprimento do objeto e pelas obrigações decorrentes da contratação.</w:t>
      </w:r>
    </w:p>
    <w:p w14:paraId="08C2D101" w14:textId="77777777" w:rsidR="00302947" w:rsidRDefault="00302947" w:rsidP="00920F82">
      <w:pPr>
        <w:spacing w:after="0" w:line="276" w:lineRule="auto"/>
        <w:jc w:val="both"/>
        <w:rPr>
          <w:rFonts w:ascii="Times" w:hAnsi="Times"/>
          <w:b/>
          <w:sz w:val="20"/>
          <w:szCs w:val="20"/>
        </w:rPr>
      </w:pPr>
    </w:p>
    <w:p w14:paraId="7E0CF7E3" w14:textId="5066CAB8" w:rsidR="00180BCE" w:rsidRPr="00330FDA" w:rsidRDefault="00302947" w:rsidP="00920F82">
      <w:pPr>
        <w:spacing w:after="0" w:line="276" w:lineRule="auto"/>
        <w:jc w:val="both"/>
        <w:rPr>
          <w:rFonts w:ascii="Times" w:hAnsi="Times"/>
          <w:b/>
          <w:sz w:val="20"/>
          <w:szCs w:val="20"/>
        </w:rPr>
      </w:pPr>
      <w:r>
        <w:rPr>
          <w:rFonts w:ascii="Times" w:hAnsi="Times"/>
          <w:b/>
          <w:sz w:val="20"/>
          <w:szCs w:val="20"/>
        </w:rPr>
        <w:t xml:space="preserve">9. </w:t>
      </w:r>
      <w:r w:rsidR="00180BCE" w:rsidRPr="00330FDA">
        <w:rPr>
          <w:rFonts w:ascii="Times" w:hAnsi="Times"/>
          <w:b/>
          <w:sz w:val="20"/>
          <w:szCs w:val="20"/>
        </w:rPr>
        <w:t>DA SUBCONTRATAÇÃO:</w:t>
      </w:r>
    </w:p>
    <w:p w14:paraId="51A94CB5" w14:textId="577C9DBC" w:rsidR="00D23F36" w:rsidRPr="00D23F36" w:rsidRDefault="00D23F36" w:rsidP="00D23F36">
      <w:pPr>
        <w:spacing w:after="0" w:line="276" w:lineRule="auto"/>
        <w:jc w:val="both"/>
        <w:rPr>
          <w:rFonts w:ascii="Times" w:hAnsi="Times"/>
          <w:sz w:val="20"/>
          <w:szCs w:val="20"/>
        </w:rPr>
      </w:pPr>
      <w:r w:rsidRPr="00D23F36">
        <w:rPr>
          <w:rFonts w:ascii="Times" w:hAnsi="Times"/>
          <w:sz w:val="20"/>
          <w:szCs w:val="20"/>
        </w:rPr>
        <w:t>9.1. Fica vedada a subcontratação integral do objeto, bem como a transferência, cessão ou repasse a terceiros da responsabilidade pelo fornecimento dos equipamentos contratados. A contratada permanecerá integralmente responsável perante o Município pelo cumprimento de todas as obrigações assumidas, inclusive quanto à qualidade, especificações, prazos, entrega, garantia e demais condições estabelecidas neste Termo de Referência.</w:t>
      </w:r>
    </w:p>
    <w:p w14:paraId="66F0AA59" w14:textId="77777777" w:rsidR="00D23F36" w:rsidRPr="00D23F36" w:rsidRDefault="00D23F36" w:rsidP="00D23F36">
      <w:pPr>
        <w:spacing w:after="0" w:line="276" w:lineRule="auto"/>
        <w:jc w:val="both"/>
        <w:rPr>
          <w:rFonts w:ascii="Times" w:hAnsi="Times"/>
          <w:sz w:val="20"/>
          <w:szCs w:val="20"/>
        </w:rPr>
      </w:pPr>
      <w:r w:rsidRPr="00D23F36">
        <w:rPr>
          <w:rFonts w:ascii="Times" w:hAnsi="Times"/>
          <w:sz w:val="20"/>
          <w:szCs w:val="20"/>
        </w:rPr>
        <w:t>9.2. A vedação prevista no item anterior não impede a utilização de terceiros para execução de atividades meramente acessórias de transporte e logística, tais como coleta, carregamento, frete, movimentação, descarga e transporte especializado dos equipamentos, inclusive mediante transportadora ou empresa contratada para essa finalidade.</w:t>
      </w:r>
    </w:p>
    <w:p w14:paraId="39C3F611" w14:textId="77777777" w:rsidR="00D23F36" w:rsidRPr="00D23F36" w:rsidRDefault="00D23F36" w:rsidP="00D23F36">
      <w:pPr>
        <w:spacing w:after="0" w:line="276" w:lineRule="auto"/>
        <w:jc w:val="both"/>
        <w:rPr>
          <w:rFonts w:ascii="Times" w:hAnsi="Times"/>
          <w:sz w:val="20"/>
          <w:szCs w:val="20"/>
        </w:rPr>
      </w:pPr>
      <w:r w:rsidRPr="00D23F36">
        <w:rPr>
          <w:rFonts w:ascii="Times" w:hAnsi="Times"/>
          <w:sz w:val="20"/>
          <w:szCs w:val="20"/>
        </w:rPr>
        <w:t>9.3. Também será admitida a utilização da rede de assistência técnica autorizada pelo fabricante para execução de diagnósticos, revisões, manutenções, reparos, substituição de peças e componentes e demais serviços técnicos relacionados ao cumprimento das obrigações de garantia previstas neste Termo de Referência.</w:t>
      </w:r>
    </w:p>
    <w:p w14:paraId="2DC3CCEF" w14:textId="055F9A5B" w:rsidR="00D23F36" w:rsidRPr="00D23F36" w:rsidRDefault="00D23F36" w:rsidP="00D23F36">
      <w:pPr>
        <w:spacing w:after="0" w:line="276" w:lineRule="auto"/>
        <w:jc w:val="both"/>
        <w:rPr>
          <w:rFonts w:ascii="Times" w:hAnsi="Times"/>
          <w:sz w:val="20"/>
          <w:szCs w:val="20"/>
        </w:rPr>
      </w:pPr>
      <w:r w:rsidRPr="00D23F36">
        <w:rPr>
          <w:rFonts w:ascii="Times" w:hAnsi="Times"/>
          <w:sz w:val="20"/>
          <w:szCs w:val="20"/>
        </w:rPr>
        <w:t>9.4. A utilização de transportadoras, operadores logísticos, oficinas, concessionárias, distribuidores ou integrantes da rede de assistência técnica autorizada não transfere, limita ou exclui a responsabilidade da contratada, que responderá integralmente perante o Município pelos atos praticados por terceiros utilizados no cumprimento de suas obrigações.</w:t>
      </w:r>
    </w:p>
    <w:p w14:paraId="4B99AFBC" w14:textId="0EDF6574" w:rsidR="00D23F36" w:rsidRPr="00D23F36" w:rsidRDefault="00D23F36" w:rsidP="00D23F36">
      <w:pPr>
        <w:spacing w:after="0" w:line="276" w:lineRule="auto"/>
        <w:jc w:val="both"/>
        <w:rPr>
          <w:rFonts w:ascii="Times" w:hAnsi="Times"/>
          <w:sz w:val="20"/>
          <w:szCs w:val="20"/>
        </w:rPr>
      </w:pPr>
      <w:r w:rsidRPr="00D23F36">
        <w:rPr>
          <w:rFonts w:ascii="Times" w:hAnsi="Times"/>
          <w:sz w:val="20"/>
          <w:szCs w:val="20"/>
        </w:rPr>
        <w:t>9.5. Em nenhuma hipótese será admitida a utilização das exceções previstas neste capítulo para descaracterizar a responsabilidade direta da contratada pelo fornecimento do objeto ou para transferir a terceiros a posição contratual assumida perante o Município.</w:t>
      </w:r>
    </w:p>
    <w:p w14:paraId="4698B4AF" w14:textId="77777777" w:rsidR="00180BCE" w:rsidRPr="00330FDA" w:rsidRDefault="00180BCE" w:rsidP="00920F82">
      <w:pPr>
        <w:spacing w:after="0" w:line="276" w:lineRule="auto"/>
        <w:jc w:val="both"/>
        <w:rPr>
          <w:rFonts w:ascii="Times" w:hAnsi="Times"/>
          <w:sz w:val="20"/>
          <w:szCs w:val="20"/>
        </w:rPr>
      </w:pPr>
    </w:p>
    <w:p w14:paraId="6B5867E7" w14:textId="45264C2F" w:rsidR="00180BCE" w:rsidRPr="00330FDA" w:rsidRDefault="00302947" w:rsidP="00920F82">
      <w:pPr>
        <w:spacing w:after="0" w:line="276" w:lineRule="auto"/>
        <w:jc w:val="both"/>
        <w:rPr>
          <w:rFonts w:ascii="Times" w:hAnsi="Times"/>
          <w:b/>
          <w:sz w:val="20"/>
          <w:szCs w:val="20"/>
        </w:rPr>
      </w:pPr>
      <w:r>
        <w:rPr>
          <w:rFonts w:ascii="Times" w:hAnsi="Times"/>
          <w:b/>
          <w:sz w:val="20"/>
          <w:szCs w:val="20"/>
        </w:rPr>
        <w:t>10</w:t>
      </w:r>
      <w:r w:rsidR="00180BCE" w:rsidRPr="00330FDA">
        <w:rPr>
          <w:rFonts w:ascii="Times" w:hAnsi="Times"/>
          <w:b/>
          <w:sz w:val="20"/>
          <w:szCs w:val="20"/>
        </w:rPr>
        <w:t>. GARANTIA:</w:t>
      </w:r>
    </w:p>
    <w:p w14:paraId="73AC2BB7"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10.1. Os equipamentos fornecidos deverão contar com garantia mínima do objeto, de responsabilidade integral da contratada, abrangendo defeitos de fabricação, montagem, materiais, componentes, funcionamento e demais vícios que impeçam ou comprometam sua utilização normal, segurança, desempenho ou atendimento às especificações previstas neste Termo de Referência.</w:t>
      </w:r>
    </w:p>
    <w:p w14:paraId="2F160A69"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10.2. A garantia prevista neste capítulo refere-se à garantia técnica e funcional dos bens fornecidos, não se confundindo com a garantia de proposta prevista no art. 58 da Lei nº 14.133/2021 nem com a garantia de execução contratual prevista no art. 96 da mesma Lei, as quais não serão exigidas nesta contratação.</w:t>
      </w:r>
    </w:p>
    <w:p w14:paraId="7B9A2C97"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10.3. Deverão possuir garantia mínima de 24 (vinte e quatro) meses os seguintes equipamentos:</w:t>
      </w:r>
    </w:p>
    <w:p w14:paraId="64ADA3E0" w14:textId="24FEC589"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a) Item 1 – Roçadeira Lateral Profissional;</w:t>
      </w:r>
    </w:p>
    <w:p w14:paraId="7474AE80" w14:textId="5CECDEE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 xml:space="preserve">b) Item 2 – </w:t>
      </w:r>
      <w:proofErr w:type="spellStart"/>
      <w:r w:rsidRPr="00982319">
        <w:rPr>
          <w:rFonts w:ascii="Times" w:hAnsi="Times"/>
          <w:sz w:val="20"/>
          <w:szCs w:val="20"/>
        </w:rPr>
        <w:t>Motopoda</w:t>
      </w:r>
      <w:proofErr w:type="spellEnd"/>
      <w:r w:rsidRPr="00982319">
        <w:rPr>
          <w:rFonts w:ascii="Times" w:hAnsi="Times"/>
          <w:sz w:val="20"/>
          <w:szCs w:val="20"/>
        </w:rPr>
        <w:t xml:space="preserve"> Telescópica a Gasolina;</w:t>
      </w:r>
    </w:p>
    <w:p w14:paraId="3B575472" w14:textId="06301E5C"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c) Item 3 – Soprador Costal Profissional; e</w:t>
      </w:r>
    </w:p>
    <w:p w14:paraId="204F5B47" w14:textId="7F096C1C"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d) Item 4 – Motosserra de Uso Profissional.</w:t>
      </w:r>
    </w:p>
    <w:p w14:paraId="1F6D7FAC"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10.4. Deverão possuir garantia mínima de 12 (doze) meses os seguintes equipamentos:</w:t>
      </w:r>
    </w:p>
    <w:p w14:paraId="46C7AAE6" w14:textId="27857352"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a) Item 5 – Cortador de Grama; e</w:t>
      </w:r>
    </w:p>
    <w:p w14:paraId="74F402FB" w14:textId="45A5E216"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b) Item 6 – Picador e Triturador Móvel de Galhos e Troncos Rebocável.</w:t>
      </w:r>
    </w:p>
    <w:p w14:paraId="505C3C72" w14:textId="77777777"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10.5. Os prazos mínimos de garantia de todos os equipamentos serão contados a partir da data do respectivo recebimento definitivo pela Administração. Para o picador e triturador móvel de galhos e troncos, a garantia será de, no mínimo, 12 (doze) meses, sem limitação de horas de operação, devendo a entrega técnica ser satisfatoriamente realizada como condição para o recebimento definitivo do equipamento.</w:t>
      </w:r>
    </w:p>
    <w:p w14:paraId="7D87C30B" w14:textId="5512B7E8" w:rsidR="00733E63" w:rsidRPr="00733E63" w:rsidRDefault="00733E63" w:rsidP="00733E63">
      <w:pPr>
        <w:spacing w:after="0" w:line="276" w:lineRule="auto"/>
        <w:jc w:val="both"/>
        <w:rPr>
          <w:rFonts w:ascii="Times" w:hAnsi="Times"/>
          <w:sz w:val="20"/>
          <w:szCs w:val="20"/>
        </w:rPr>
      </w:pPr>
      <w:r w:rsidRPr="00733E63">
        <w:rPr>
          <w:rFonts w:ascii="Times" w:hAnsi="Times"/>
          <w:sz w:val="20"/>
          <w:szCs w:val="20"/>
        </w:rPr>
        <w:tab/>
        <w:t>10.5.1. Caso a contratada assegure, em sua proposta, documentação técnica, termo de garantia ou outro documento integrante da contratação, prazo de garantia superior ao mínimo estabelecido neste Termo de Referência, prevalecerá o prazo mais favorável à Administração, passando essa condição a integrar as obrigações contratuais, sem prejuízo dos demais requisitos mínimos exigidos para cada equipamento.</w:t>
      </w:r>
    </w:p>
    <w:p w14:paraId="76E7C231" w14:textId="51A78C3D"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 xml:space="preserve">10.6. A garantia mínima de 24 (vinte e quatro) meses estabelecida para a roçadeira, </w:t>
      </w:r>
      <w:proofErr w:type="spellStart"/>
      <w:r w:rsidRPr="00982319">
        <w:rPr>
          <w:rFonts w:ascii="Times" w:hAnsi="Times"/>
          <w:sz w:val="20"/>
          <w:szCs w:val="20"/>
        </w:rPr>
        <w:t>motopoda</w:t>
      </w:r>
      <w:proofErr w:type="spellEnd"/>
      <w:r w:rsidRPr="00982319">
        <w:rPr>
          <w:rFonts w:ascii="Times" w:hAnsi="Times"/>
          <w:sz w:val="20"/>
          <w:szCs w:val="20"/>
        </w:rPr>
        <w:t>, soprador e motosserra justificam-se pela natureza profissional desses equipamentos, pela frequência esperada de utilização e pela necessidade de assegurar durabilidade, confiabilidade e disponibilidade operacional compatíveis com o investimento público realizado. A obrigação será de responsabilidade da contratada, independentemente do prazo de garantia comercial ordinariamente oferecido pelo fabricante.</w:t>
      </w:r>
    </w:p>
    <w:p w14:paraId="3411C80A"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10.7. Durante o período de garantia, toda ocorrência abrangida, incluindo defeito, vício, falha de funcionamento ou desconformidade, deverá ser solucionada sem qualquer ônus para a contratante, compreendendo, quando necessários, diagnóstico, mão de obra, deslocamento de técnicos, retirada, transporte, frete, seguro, peças, componentes, materiais, montagem, regulagem, testes e devolução do equipamento.</w:t>
      </w:r>
    </w:p>
    <w:p w14:paraId="2933F363"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10.8. As peças e componentes substituídos deverão ser novos e compatíveis com as especificações técnicas do equipamento, não sendo admitido o emprego de peças usadas ou recondicionadas que possam comprometer sua segurança, desempenho ou durabilidade. Quando o reparo se mostrar tecnicamente inadequado, insuficiente ou inseguro, ou houver reincidência de falha que comprometa a confiabilidade do bem, a contratante poderá exigir sua substituição por equipamento novo de características iguais ou superiores, sem custo adicional.</w:t>
      </w:r>
    </w:p>
    <w:p w14:paraId="490CE8F1"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10.9. As manutenções ordinárias decorrentes do uso normal deverão observar os procedimentos e periodicidades previstos nos manuais dos fabricantes, sem prejuízo das obrigações da contratada quanto aos defeitos abrangidos pela garantia.</w:t>
      </w:r>
    </w:p>
    <w:p w14:paraId="0F514670" w14:textId="07DF42E8"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10.9.1. No caso específico do picador e triturador móvel de galhos e troncos, todas as revisões e manutenções previstas pelo fabricante durante o período de garantia deverão ser realizadas pela contratada ou por empresa autorizada por ela indicada, ficando integralmente a cargo da contratada todos os respectivos encargos e custos, inclusive mão de obra, deslocamento, retirada, transporte, frete, peças, componentes, filtros, óleos, lubrificantes, fluidos, elementos de desgaste, materiais e demais insumos previstos ou necessários à realização das revisões e manutenções programadas durante o período de garantia, sem qualquer ônus para o Município.</w:t>
      </w:r>
    </w:p>
    <w:p w14:paraId="3C07E4D8" w14:textId="4D289CB8"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10.10. Como regra geral, a contratada deverá assegurar, durante todo o período de garantia, assistência técnica autorizada localizada no território do Estado do Rio Grande do Sul, apta a realizar os atendimentos necessários aos equipamentos fornecidos, ressalvadas as condições específicas estabelecidas para determinados itens no Capítulo 1 deste Termo de Referência, as quais prevalecerão sobre a regra geral deste capítulo.</w:t>
      </w:r>
    </w:p>
    <w:p w14:paraId="15E3081D" w14:textId="3E579549"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 xml:space="preserve">10.10.1. Para os </w:t>
      </w:r>
      <w:r w:rsidR="000A35E8">
        <w:rPr>
          <w:rFonts w:ascii="Times" w:hAnsi="Times"/>
          <w:sz w:val="20"/>
          <w:szCs w:val="20"/>
        </w:rPr>
        <w:t>i</w:t>
      </w:r>
      <w:r w:rsidRPr="00982319">
        <w:rPr>
          <w:rFonts w:ascii="Times" w:hAnsi="Times"/>
          <w:sz w:val="20"/>
          <w:szCs w:val="20"/>
        </w:rPr>
        <w:t>tens 1</w:t>
      </w:r>
      <w:r w:rsidR="000A35E8">
        <w:rPr>
          <w:rFonts w:ascii="Times" w:hAnsi="Times"/>
          <w:sz w:val="20"/>
          <w:szCs w:val="20"/>
        </w:rPr>
        <w:t xml:space="preserve"> ao 5</w:t>
      </w:r>
      <w:r w:rsidRPr="00982319">
        <w:rPr>
          <w:rFonts w:ascii="Times" w:hAnsi="Times"/>
          <w:sz w:val="20"/>
          <w:szCs w:val="20"/>
        </w:rPr>
        <w:t xml:space="preserve"> deverá ser observada a exigência específica constante das respectivas especificações técnicas, devendo existir e ser informado local de assistência técnica no Município de Paverama.</w:t>
      </w:r>
    </w:p>
    <w:p w14:paraId="41BB0B9D"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10.11. A exigência de assistência técnica situada no Estado do Rio Grande do Sul busca assegurar efetividade à garantia, reduzir períodos de indisponibilidade e tornar operacionalmente viáveis os procedimentos de diagnóstico, manutenção e reparo, evitando deslocamentos interestaduais, elevação de custos logísticos e paralisações prolongadas dos equipamentos utilizados na prestação dos serviços públicos. Essa necessidade apresenta especial relevância quanto ao picador e triturador móvel de galhos e troncos, em razão de seu maior porte, peso, complexidade mecânica e logística de transporte.</w:t>
      </w:r>
    </w:p>
    <w:p w14:paraId="3FB96006" w14:textId="278738CD"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 xml:space="preserve">10.11.1. As exigências territoriais mais restritivas estabelecidas para os </w:t>
      </w:r>
      <w:r w:rsidR="000A35E8">
        <w:rPr>
          <w:rFonts w:ascii="Times" w:hAnsi="Times"/>
          <w:sz w:val="20"/>
          <w:szCs w:val="20"/>
        </w:rPr>
        <w:t>i</w:t>
      </w:r>
      <w:r w:rsidRPr="00982319">
        <w:rPr>
          <w:rFonts w:ascii="Times" w:hAnsi="Times"/>
          <w:sz w:val="20"/>
          <w:szCs w:val="20"/>
        </w:rPr>
        <w:t xml:space="preserve">tens 1 </w:t>
      </w:r>
      <w:r w:rsidR="000A35E8">
        <w:rPr>
          <w:rFonts w:ascii="Times" w:hAnsi="Times"/>
          <w:sz w:val="20"/>
          <w:szCs w:val="20"/>
        </w:rPr>
        <w:t>ao</w:t>
      </w:r>
      <w:r w:rsidRPr="00982319">
        <w:rPr>
          <w:rFonts w:ascii="Times" w:hAnsi="Times"/>
          <w:sz w:val="20"/>
          <w:szCs w:val="20"/>
        </w:rPr>
        <w:t xml:space="preserve"> </w:t>
      </w:r>
      <w:r w:rsidR="000A35E8">
        <w:rPr>
          <w:rFonts w:ascii="Times" w:hAnsi="Times"/>
          <w:sz w:val="20"/>
          <w:szCs w:val="20"/>
        </w:rPr>
        <w:t>5</w:t>
      </w:r>
      <w:r w:rsidRPr="00982319">
        <w:rPr>
          <w:rFonts w:ascii="Times" w:hAnsi="Times"/>
          <w:sz w:val="20"/>
          <w:szCs w:val="20"/>
        </w:rPr>
        <w:t xml:space="preserve"> decorrem das condições específicas definidas para esses equipamentos no Capítulo 1 e deverão ser integralmente observadas pela contratada durante todo o respectivo período de garantia.</w:t>
      </w:r>
    </w:p>
    <w:p w14:paraId="45A5A5CA" w14:textId="77777777" w:rsidR="00982319" w:rsidRPr="00982319" w:rsidRDefault="00982319" w:rsidP="00982319">
      <w:pPr>
        <w:spacing w:after="0" w:line="276" w:lineRule="auto"/>
        <w:jc w:val="both"/>
        <w:rPr>
          <w:rFonts w:ascii="Times" w:hAnsi="Times"/>
          <w:sz w:val="20"/>
          <w:szCs w:val="20"/>
        </w:rPr>
      </w:pPr>
      <w:r>
        <w:rPr>
          <w:rFonts w:ascii="Times" w:hAnsi="Times"/>
          <w:sz w:val="20"/>
          <w:szCs w:val="20"/>
        </w:rPr>
        <w:t>10.12. Para o Item 6 – Picador e Triturador Móvel de Galhos e Troncos Rebocável, a estrutura de assistência técnica comprovada na fase de habilitação deverá ser mantida durante todo o período de garantia, cabendo à contratada comunicar previamente eventual alteração da unidade responsável e comprovar que a nova estrutura atende integralmente às mesmas condições exigidas. Para os demais itens, a comprovação da assistência técnica observará as condições específicas estabelecidas neste Termo de Referência, inclusive a localização territorial exigida nos itens 10.10 e 10.10.1.</w:t>
      </w:r>
    </w:p>
    <w:p w14:paraId="7ED60787"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10.13. O atendimento técnico deverá ser iniciado em até 48 (quarenta e oito) horas úteis da comunicação formal realizada pela contratante, com atendimento presencial quando a natureza da ocorrência assim exigir. Quando houver necessidade de encaminhamento do equipamento à assistência técnica, caberá à contratada providenciar sua retirada, transporte, acompanhamento do reparo e devolução ao Município, sem qualquer ônus para a contratante.</w:t>
      </w:r>
    </w:p>
    <w:p w14:paraId="73EBBB61" w14:textId="70F5D6B9"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10.13.1. A solução integral do defeito e a devolução do equipamento ao Município em plenas condições de funcionamento deverão ocorrer no prazo máximo de 10 (dez) dias corridos, contados da retirada do equipamento, salvo situação excepcional tecnicamente comprovada e formalmente aceita pela fiscalização.</w:t>
      </w:r>
    </w:p>
    <w:p w14:paraId="35806376" w14:textId="223B6F2B"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ab/>
        <w:t>10.13.2. A indisponibilidade de peças, a dependência do fabricante, dificuldades internas da rede autorizada ou circunstâncias decorrentes da organização comercial da contratada não afastarão sua responsabilidade pelo cumprimento das obrigações e prazos estabelecidos neste Termo de Referência.</w:t>
      </w:r>
    </w:p>
    <w:p w14:paraId="19747D03" w14:textId="77777777" w:rsidR="00982319" w:rsidRPr="00982319" w:rsidRDefault="00982319" w:rsidP="00982319">
      <w:pPr>
        <w:spacing w:after="0" w:line="276" w:lineRule="auto"/>
        <w:jc w:val="both"/>
        <w:rPr>
          <w:rFonts w:ascii="Times" w:hAnsi="Times"/>
          <w:sz w:val="20"/>
          <w:szCs w:val="20"/>
        </w:rPr>
      </w:pPr>
      <w:r w:rsidRPr="00982319">
        <w:rPr>
          <w:rFonts w:ascii="Times" w:hAnsi="Times"/>
          <w:sz w:val="20"/>
          <w:szCs w:val="20"/>
        </w:rPr>
        <w:t>10.14. Todos os equipamentos deverão ser entregues acompanhados dos respectivos manuais de operação, manutenção e segurança em língua portuguesa e, quando aplicável, catálogo de peças, plano de manutenção e demais documentos necessários à adequada utilização e conservação. O descumprimento das obrigações relativas à garantia, manutenção ou assistência técnica caracterizará inadimplemento e sujeitará a contratada às medidas e penalidades previstas nos instrumentos da contratação e na legislação aplicável.</w:t>
      </w:r>
    </w:p>
    <w:p w14:paraId="4FCF7C8E" w14:textId="77777777" w:rsidR="001B0129" w:rsidRPr="00302947" w:rsidRDefault="001B0129" w:rsidP="001B0129">
      <w:pPr>
        <w:spacing w:after="0" w:line="276" w:lineRule="auto"/>
        <w:jc w:val="both"/>
        <w:rPr>
          <w:rFonts w:ascii="Times" w:hAnsi="Times"/>
          <w:sz w:val="20"/>
          <w:szCs w:val="20"/>
        </w:rPr>
      </w:pPr>
    </w:p>
    <w:p w14:paraId="67F51CC6" w14:textId="77777777" w:rsidR="005743FA" w:rsidRPr="00330FDA" w:rsidRDefault="005743FA" w:rsidP="00920F82">
      <w:pPr>
        <w:spacing w:after="0" w:line="276" w:lineRule="auto"/>
        <w:jc w:val="center"/>
        <w:rPr>
          <w:rFonts w:ascii="Times" w:hAnsi="Times"/>
          <w:b/>
          <w:sz w:val="20"/>
          <w:szCs w:val="20"/>
        </w:rPr>
      </w:pPr>
      <w:r w:rsidRPr="00330FDA">
        <w:rPr>
          <w:rFonts w:ascii="Times" w:hAnsi="Times"/>
          <w:b/>
          <w:sz w:val="20"/>
          <w:szCs w:val="20"/>
        </w:rPr>
        <w:t>CAPÍTULO IV</w:t>
      </w:r>
    </w:p>
    <w:p w14:paraId="415DCCF8" w14:textId="77777777" w:rsidR="005743FA" w:rsidRPr="00330FDA" w:rsidRDefault="005743FA" w:rsidP="00920F82">
      <w:pPr>
        <w:spacing w:after="0" w:line="276" w:lineRule="auto"/>
        <w:jc w:val="center"/>
        <w:rPr>
          <w:rFonts w:ascii="Times" w:hAnsi="Times"/>
          <w:b/>
          <w:sz w:val="20"/>
          <w:szCs w:val="20"/>
        </w:rPr>
      </w:pPr>
      <w:r w:rsidRPr="00330FDA">
        <w:rPr>
          <w:rFonts w:ascii="Times" w:hAnsi="Times"/>
          <w:b/>
          <w:sz w:val="20"/>
          <w:szCs w:val="20"/>
        </w:rPr>
        <w:t>DO MODELO DE GESTÃO DO CONTRATO</w:t>
      </w:r>
    </w:p>
    <w:p w14:paraId="468D154B" w14:textId="57268A45" w:rsidR="005743FA" w:rsidRPr="00330FDA" w:rsidRDefault="005743FA" w:rsidP="00920F82">
      <w:pPr>
        <w:spacing w:after="0" w:line="276" w:lineRule="auto"/>
        <w:jc w:val="both"/>
        <w:rPr>
          <w:rFonts w:ascii="Times" w:hAnsi="Times"/>
          <w:b/>
          <w:sz w:val="20"/>
          <w:szCs w:val="20"/>
        </w:rPr>
      </w:pPr>
      <w:r w:rsidRPr="00330FDA">
        <w:rPr>
          <w:rFonts w:ascii="Times" w:hAnsi="Times"/>
          <w:b/>
          <w:sz w:val="20"/>
          <w:szCs w:val="20"/>
        </w:rPr>
        <w:t>1</w:t>
      </w:r>
      <w:r w:rsidR="00302947">
        <w:rPr>
          <w:rFonts w:ascii="Times" w:hAnsi="Times"/>
          <w:b/>
          <w:sz w:val="20"/>
          <w:szCs w:val="20"/>
        </w:rPr>
        <w:t>1</w:t>
      </w:r>
      <w:r w:rsidRPr="00330FDA">
        <w:rPr>
          <w:rFonts w:ascii="Times" w:hAnsi="Times"/>
          <w:b/>
          <w:sz w:val="20"/>
          <w:szCs w:val="20"/>
        </w:rPr>
        <w:t>. CONTROLE E FISCALIZAÇÃO DA EXECUÇÃO:</w:t>
      </w:r>
    </w:p>
    <w:p w14:paraId="0D231BCB" w14:textId="77777777" w:rsidR="000A3C4B" w:rsidRPr="000A3C4B" w:rsidRDefault="000A3C4B" w:rsidP="002A3A41">
      <w:pPr>
        <w:spacing w:after="0" w:line="276" w:lineRule="auto"/>
        <w:jc w:val="both"/>
        <w:rPr>
          <w:rFonts w:ascii="Times" w:hAnsi="Times"/>
          <w:sz w:val="20"/>
          <w:szCs w:val="20"/>
        </w:rPr>
      </w:pPr>
      <w:r w:rsidRPr="000A3C4B">
        <w:rPr>
          <w:rFonts w:ascii="Times" w:hAnsi="Times"/>
          <w:sz w:val="20"/>
          <w:szCs w:val="20"/>
        </w:rPr>
        <w:t>11.1. A Ata de Registro de Preços, os contratos administrativos dela decorrentes e os demais documentos relacionados à execução deverão ser fielmente cumpridos pelas partes, de acordo com as condições estabelecidas no Edital, neste Termo de Referência, na proposta vencedora, na Ata, no respectivo contrato e nas Ordens de Compra, respondendo cada parte pelas consequências decorrentes da inexecução total ou parcial das obrigações assumidas.</w:t>
      </w:r>
    </w:p>
    <w:p w14:paraId="06A527BC" w14:textId="7BAF3F7A"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11.2. A execução do objeto será acompanhada e fiscalizada por gestor e fiscal formalmente designados pela Administração, nos termos do art. 117 da Lei Federal nº 14.133/2021 e do Decreto Municipal nº 1.319/2024, sem prejuízo da atuação dos demais agentes e setores responsáveis pelas etapas de recebimento, liquidação e pagamento da despesa.</w:t>
      </w:r>
    </w:p>
    <w:p w14:paraId="08F21AE3"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11.3. As comunicações entre a contratante e a contratada relacionadas à execução do objeto deverão ser realizadas por escrito, preferencialmente por correio eletrônico institucional, sistema eletrônico oficial ou outro meio que permita comprovar seu conteúdo, autoria, data de envio e recebimento.</w:t>
      </w:r>
    </w:p>
    <w:p w14:paraId="4AFE23CC" w14:textId="15551CF3"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11.3.1. As orientações, solicitações, notificações e determinações transmitidas verbalmente em situações urgentes deverão ser posteriormente formalizadas sempre que produzirem efeitos sobre prazos, obrigações, recebimento, correção, substituição ou eventual responsabilização da contratada.</w:t>
      </w:r>
    </w:p>
    <w:p w14:paraId="12B01ED5"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11.4. A Administração poderá convocar o representante da contratada sempre que forem necessários esclarecimentos, providências preventivas ou corretivas ou atuação destinada a assegurar a regular execução do fornecimento, a conformidade dos equipamentos ou o cumprimento das demais obrigações assumidas.</w:t>
      </w:r>
    </w:p>
    <w:p w14:paraId="099B7D11" w14:textId="7D4442C8"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11.4.1. A contratada deverá indicar representante e manter atualizados os respectivos dados de contato durante a vigência da Ata de Registro de Preços e enquanto subsistirem obrigações decorrentes dos fornecimentos, inclusive aquelas relacionadas à garantia e assistência técnica.</w:t>
      </w:r>
    </w:p>
    <w:p w14:paraId="2D19A4AF"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11.5. A Administração poderá realizar reunião de alinhamento com a contratada quando entender necessária à definição ou ao esclarecimento das rotinas operacionais aplicáveis ao fornecimento, especialmente quanto aos prazos e procedimentos de entrega, comunicação entre as partes, documentação técnica, recebimento, testes, entrega técnica, garantia e assistência técnica.</w:t>
      </w:r>
    </w:p>
    <w:p w14:paraId="4BCF8732" w14:textId="3EC2EED0"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11.5.1. A realização de reunião de alinhamento não constitui requisito obrigatório para o início da execução, salvo quando expressamente determinada pela Administração, nem poderá ser utilizada para alterar informalmente as especificações, preços, prazos ou demais condições estabelecidas nos documentos da contratação.</w:t>
      </w:r>
    </w:p>
    <w:p w14:paraId="738256C9"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11.6. Compete ao gestor coordenar as atividades relacionadas ao acompanhamento administrativo da Ata de Registro de Preços e dos instrumentos dela decorrentes, especialmente:</w:t>
      </w:r>
    </w:p>
    <w:p w14:paraId="6A48641D" w14:textId="57507AA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a) acompanhar os prazos de vigência da Ata e das obrigações dela resultantes;</w:t>
      </w:r>
    </w:p>
    <w:p w14:paraId="7635998E" w14:textId="457E3162"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b) manter organizados os registros e documentos relativos à execução;</w:t>
      </w:r>
    </w:p>
    <w:p w14:paraId="0150C172" w14:textId="153958D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c) articular-se com o fiscal, a unidade requisitante e os demais setores envolvidos;</w:t>
      </w:r>
    </w:p>
    <w:p w14:paraId="1219D269" w14:textId="5411FA95"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d) acompanhar, quando exigível, a manutenção das condições necessárias à regular execução das obrigações pela contratada;</w:t>
      </w:r>
    </w:p>
    <w:p w14:paraId="03A9CF21" w14:textId="50C71519"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e) encaminhar à autoridade competente as situações que ultrapassem suas atribuições;</w:t>
      </w:r>
    </w:p>
    <w:p w14:paraId="247BE0D2" w14:textId="00813A4D"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f) adotar as providências administrativas necessárias à instrução de ocorrências, solicitações ou possíveis descumprimentos; e</w:t>
      </w:r>
    </w:p>
    <w:p w14:paraId="3F6CA07C" w14:textId="78A643C2"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g) acompanhar o encerramento das obrigações decorrentes dos fornecimentos, inclusive aquelas relacionadas à garantia, manutenção e assistência técnica.</w:t>
      </w:r>
    </w:p>
    <w:p w14:paraId="45557C1E"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11.7. Compete ao fiscal acompanhar materialmente a execução do objeto, cabendo-lhe, especialmente:</w:t>
      </w:r>
    </w:p>
    <w:p w14:paraId="7B875C91" w14:textId="1D8254A1"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a) verificar o cumprimento dos prazos, locais, quantitativos e condições de entrega;</w:t>
      </w:r>
    </w:p>
    <w:p w14:paraId="12F7266E" w14:textId="2BF559C4"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b) conferir fabricante, marca, modelo, número de série, características técnicas e demais elementos de identificação dos equipamentos, confrontando-os com as especificações exigidas e com a proposta aceita;</w:t>
      </w:r>
    </w:p>
    <w:p w14:paraId="2E8A1843" w14:textId="7E816D4C"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c) verificar a integridade física dos equipamentos e a presença dos componentes, acessórios, proteções, ferramentas, dispositivos de segurança e demais elementos exigidos;</w:t>
      </w:r>
    </w:p>
    <w:p w14:paraId="02D19511" w14:textId="464AE62F"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d) conferir os manuais, documentos técnicos, documentos de garantia e demais informações que devam acompanhar cada equipamento;</w:t>
      </w:r>
    </w:p>
    <w:p w14:paraId="3D504EAB" w14:textId="74D67851"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e) acompanhar ou solicitar os testes de funcionamento, verificações operacionais e demais procedimentos necessários à confirmação da conformidade do objeto;</w:t>
      </w:r>
    </w:p>
    <w:p w14:paraId="4CE6D761" w14:textId="62D2A359"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f) acompanhar, quando aplicável, a montagem, regulagem, ativação e entrega técnica dos equipamentos;</w:t>
      </w:r>
    </w:p>
    <w:p w14:paraId="4EE18C3D" w14:textId="45D18B23"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g) recusar, total ou parcialmente, equipamentos que apresentem avarias, defeitos, ausência de componentes ou documentos, divergências técnicas ou qualquer outra desconformidade relevante;</w:t>
      </w:r>
    </w:p>
    <w:p w14:paraId="3DCDDE7F" w14:textId="12D39695"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h) notificar a contratada para correção, complementação, substituição ou regularização do equipamento ou da documentação;</w:t>
      </w:r>
    </w:p>
    <w:p w14:paraId="1DDD7BEA" w14:textId="5A4495F0"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i) registrar as ocorrências relevantes verificadas durante a execução; e</w:t>
      </w:r>
    </w:p>
    <w:p w14:paraId="54E78850" w14:textId="143900CA"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j) comunicar ao gestor as situações que possam justificar adoção de medidas administrativas ou aplicação de penalidades.</w:t>
      </w:r>
    </w:p>
    <w:p w14:paraId="516549C4"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11.8. O gestor e o fiscal deverão manter registros objetivos, datados e identificados das ocorrências verificadas, das comunicações realizadas, das providências solicitadas e das medidas adotadas pela contratada. As ocorrências que ultrapassem a competência do fiscal deverão ser encaminhadas tempestivamente ao gestor ou à autoridade competente, acompanhadas dos elementos necessários à adequada instrução e decisão.</w:t>
      </w:r>
    </w:p>
    <w:p w14:paraId="35CBC2D7" w14:textId="69E00EBC"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11.8.1. Quando forem constatados indícios de descumprimento que possam ensejar aplicação de penalidade, o gestor deverá promover o encaminhamento dos elementos à autoridade competente, observados o contraditório, a ampla defesa e o devido processo administrativo.</w:t>
      </w:r>
    </w:p>
    <w:p w14:paraId="64FE7564"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11.9. O gestor e o fiscal poderão solicitar, sempre que necessário ao adequado acompanhamento da execução, apoio técnico dos setores de assessoramento jurídico, contabilidade, licitações e contratos, bem como da Secretaria Municipal de Agricultura, Meio Ambiente e Saneamento, da Secretaria Municipal de Obras, Infraestrutura e Mobilidade ou de outros servidores e profissionais com conhecimento técnico compatível com a natureza dos equipamentos.</w:t>
      </w:r>
    </w:p>
    <w:p w14:paraId="10EA5B84" w14:textId="53A23BD4"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ab/>
        <w:t>11.9.1. O apoio prestado pelos setores ou profissionais mencionados terá caráter subsidiário e não implicará transferência das atribuições e responsabilidades próprias do gestor e do fiscal formalmente designados.</w:t>
      </w:r>
    </w:p>
    <w:p w14:paraId="09C596CC"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11.10. Na designação dos agentes responsáveis pela gestão e fiscalização deverão ser observados o princípio da segregação de funções, a compatibilidade entre as atribuições, os conhecimentos necessários e a inexistência de circunstâncias que possam comprometer a independência ou a imparcialidade do acompanhamento.</w:t>
      </w:r>
    </w:p>
    <w:p w14:paraId="5A95B333" w14:textId="4A261693" w:rsidR="002A3A41" w:rsidRPr="002A3A41" w:rsidRDefault="002A3A41" w:rsidP="00733E63">
      <w:pPr>
        <w:spacing w:after="0" w:line="276" w:lineRule="auto"/>
        <w:jc w:val="both"/>
        <w:rPr>
          <w:rFonts w:ascii="Times" w:hAnsi="Times"/>
          <w:sz w:val="20"/>
          <w:szCs w:val="20"/>
        </w:rPr>
      </w:pPr>
      <w:r w:rsidRPr="002A3A41">
        <w:rPr>
          <w:rFonts w:ascii="Times" w:hAnsi="Times"/>
          <w:sz w:val="20"/>
          <w:szCs w:val="20"/>
        </w:rPr>
        <w:tab/>
        <w:t>11.10.1. O servidor que atuar como pregoeiro no procedimento licitatório não deverá ser designado como fiscal da aquisição decorrente do mesmo certame, de modo a evitar concentração indevida de atribuições e preservar a adequada segregação de funções. A participação anterior do servidor em atos de planejamento ou instrução do processo não produzirá impedimento automático para atuação na gestão ou fiscalização, devendo a Administração avaliar concretamente as atividades desempenhadas e a preservação dos controles internos.</w:t>
      </w:r>
    </w:p>
    <w:p w14:paraId="2FBD2421" w14:textId="378DAF76"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11.11. A atuação da gestão e da fiscalização deverá observar critérios de razoabilidade, proporcionalidade e finalidade, não sendo admitida a criação de obrigações não previstas nos documentos da contratação ou a alteração informal das condições originalmente estabelecidas.</w:t>
      </w:r>
    </w:p>
    <w:p w14:paraId="0EEFF6C7" w14:textId="77777777" w:rsidR="0010383F" w:rsidRPr="00330FDA" w:rsidRDefault="0010383F" w:rsidP="00920F82">
      <w:pPr>
        <w:spacing w:after="0" w:line="276" w:lineRule="auto"/>
        <w:jc w:val="both"/>
        <w:rPr>
          <w:rFonts w:ascii="Times" w:hAnsi="Times"/>
          <w:sz w:val="20"/>
          <w:szCs w:val="20"/>
        </w:rPr>
      </w:pPr>
    </w:p>
    <w:p w14:paraId="7C1FC519" w14:textId="2A78D549" w:rsidR="0010383F"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302947">
        <w:rPr>
          <w:rFonts w:ascii="Times" w:hAnsi="Times"/>
          <w:b/>
          <w:sz w:val="20"/>
          <w:szCs w:val="20"/>
        </w:rPr>
        <w:t>2</w:t>
      </w:r>
      <w:r w:rsidR="002963D2" w:rsidRPr="00330FDA">
        <w:rPr>
          <w:rFonts w:ascii="Times" w:hAnsi="Times"/>
          <w:b/>
          <w:sz w:val="20"/>
          <w:szCs w:val="20"/>
        </w:rPr>
        <w:t>.</w:t>
      </w:r>
      <w:r w:rsidRPr="00330FDA">
        <w:rPr>
          <w:rFonts w:ascii="Times" w:hAnsi="Times"/>
          <w:b/>
          <w:sz w:val="20"/>
          <w:szCs w:val="20"/>
        </w:rPr>
        <w:t xml:space="preserve"> DOS PROCEDIMENTOS DE TESTES E INSPEÇÕES</w:t>
      </w:r>
      <w:r w:rsidR="002963D2" w:rsidRPr="00330FDA">
        <w:rPr>
          <w:rFonts w:ascii="Times" w:hAnsi="Times"/>
          <w:b/>
          <w:sz w:val="20"/>
          <w:szCs w:val="20"/>
        </w:rPr>
        <w:t>:</w:t>
      </w:r>
    </w:p>
    <w:p w14:paraId="2CF6D81D"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12.1. A contratante reserva-se o direito de realizar avaliações, inspeções, diligências e testes de funcionamento destinados a verificar a conformidade dos equipamentos com as especificações técnicas e condições estabelecidas neste Termo de Referência, cabendo à contratada prestar os esclarecimentos e o suporte necessários à realização dessas verificações.</w:t>
      </w:r>
    </w:p>
    <w:p w14:paraId="14CD9C4A"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12.2. Os procedimentos de inspeção poderão compreender, conforme a natureza de cada equipamento, a conferência de fabricante, marca, modelo, número de série, ano de fabricação, componentes, acessórios, dispositivos de segurança, documentação técnica, integridade física e demais características exigidas.</w:t>
      </w:r>
    </w:p>
    <w:p w14:paraId="2EF18EDD"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12.3. Os equipamentos poderão ser submetidos a testes de funcionamento e operação destinados a verificar, entre outros aspectos aplicáveis, acionamento, comandos, sistemas de corte ou alimentação, funcionamento do motor, sistemas elétricos, dispositivos de segurança, desempenho básico e demais funcionalidades necessárias à confirmação de sua conformidade.</w:t>
      </w:r>
    </w:p>
    <w:p w14:paraId="04026ECF"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12.4. No caso do picador e triturador móvel de galhos e troncos, as verificações poderão ser realizadas durante a entrega técnica, incluindo funcionamento dos sistemas de acionamento, alimentação, corte e segurança, sem prejuízo de outras inspeções consideradas necessárias pela Administração.</w:t>
      </w:r>
    </w:p>
    <w:p w14:paraId="6C61A95A" w14:textId="77777777" w:rsidR="002A3A41" w:rsidRPr="002A3A41" w:rsidRDefault="002A3A41" w:rsidP="002A3A41">
      <w:pPr>
        <w:spacing w:after="0" w:line="276" w:lineRule="auto"/>
        <w:jc w:val="both"/>
        <w:rPr>
          <w:rFonts w:ascii="Times" w:hAnsi="Times"/>
          <w:sz w:val="20"/>
          <w:szCs w:val="20"/>
        </w:rPr>
      </w:pPr>
      <w:r w:rsidRPr="002A3A41">
        <w:rPr>
          <w:rFonts w:ascii="Times" w:hAnsi="Times"/>
          <w:sz w:val="20"/>
          <w:szCs w:val="20"/>
        </w:rPr>
        <w:t>12.5. A constatação de falha, defeito, ausência de componente, divergência técnica ou qualquer outra desconformidade será registrada pela fiscalização e comunicada à contratada para correção, complementação ou substituição, observados os prazos e procedimentos estabelecidos neste Termo de Referência. A realização dos testes e inspeções não implicará ônus adicional para o Município.</w:t>
      </w:r>
    </w:p>
    <w:p w14:paraId="53C59795" w14:textId="77777777" w:rsidR="002963D2" w:rsidRPr="00330FDA" w:rsidRDefault="002963D2" w:rsidP="00920F82">
      <w:pPr>
        <w:spacing w:after="0" w:line="276" w:lineRule="auto"/>
        <w:jc w:val="both"/>
        <w:rPr>
          <w:rFonts w:ascii="Times" w:hAnsi="Times"/>
          <w:sz w:val="20"/>
          <w:szCs w:val="20"/>
        </w:rPr>
      </w:pPr>
    </w:p>
    <w:p w14:paraId="5E550A9D" w14:textId="77777777" w:rsidR="009E7B4F" w:rsidRPr="00330FDA" w:rsidRDefault="009E7B4F" w:rsidP="00920F82">
      <w:pPr>
        <w:spacing w:after="0" w:line="276" w:lineRule="auto"/>
        <w:jc w:val="center"/>
        <w:rPr>
          <w:rFonts w:ascii="Times" w:hAnsi="Times"/>
          <w:b/>
          <w:sz w:val="20"/>
          <w:szCs w:val="20"/>
        </w:rPr>
      </w:pPr>
      <w:r w:rsidRPr="00330FDA">
        <w:rPr>
          <w:rFonts w:ascii="Times" w:hAnsi="Times"/>
          <w:b/>
          <w:sz w:val="20"/>
          <w:szCs w:val="20"/>
        </w:rPr>
        <w:t>CAPITULO V</w:t>
      </w:r>
    </w:p>
    <w:p w14:paraId="7F8520EB" w14:textId="77777777" w:rsidR="009E7B4F" w:rsidRPr="00330FDA" w:rsidRDefault="009E7B4F" w:rsidP="00920F82">
      <w:pPr>
        <w:spacing w:after="0" w:line="276" w:lineRule="auto"/>
        <w:jc w:val="center"/>
        <w:rPr>
          <w:rFonts w:ascii="Times" w:hAnsi="Times"/>
          <w:b/>
          <w:sz w:val="20"/>
          <w:szCs w:val="20"/>
        </w:rPr>
      </w:pPr>
      <w:r w:rsidRPr="00330FDA">
        <w:rPr>
          <w:rFonts w:ascii="Times" w:hAnsi="Times"/>
          <w:b/>
          <w:sz w:val="20"/>
          <w:szCs w:val="20"/>
        </w:rPr>
        <w:t>DOS CRITÉRIOS DE MEDIÇÃO E PAGAMENTO</w:t>
      </w:r>
    </w:p>
    <w:p w14:paraId="314CC930" w14:textId="378DB1C9" w:rsidR="009E7B4F"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3</w:t>
      </w:r>
      <w:r w:rsidR="001564CA" w:rsidRPr="00330FDA">
        <w:rPr>
          <w:rFonts w:ascii="Times" w:hAnsi="Times"/>
          <w:b/>
          <w:sz w:val="20"/>
          <w:szCs w:val="20"/>
        </w:rPr>
        <w:t>.</w:t>
      </w:r>
      <w:r w:rsidRPr="00330FDA">
        <w:rPr>
          <w:rFonts w:ascii="Times" w:hAnsi="Times"/>
          <w:b/>
          <w:sz w:val="20"/>
          <w:szCs w:val="20"/>
        </w:rPr>
        <w:t xml:space="preserve"> DA APLICAÇÃO DOS CRITÉRIOS DE ACEITAÇÃO</w:t>
      </w:r>
      <w:r w:rsidR="006A61A0" w:rsidRPr="00330FDA">
        <w:rPr>
          <w:rFonts w:ascii="Times" w:hAnsi="Times"/>
          <w:b/>
          <w:sz w:val="20"/>
          <w:szCs w:val="20"/>
        </w:rPr>
        <w:t>:</w:t>
      </w:r>
    </w:p>
    <w:p w14:paraId="7ADFC185"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13.1. A aceitação dos equipamentos ficará condicionada à comprovação de que os bens entregues atendem integralmente às especificações técnicas, funcionais, operacionais, de segurança e documentais estabelecidas neste Termo de Referência e correspondem aos modelos e características constantes da proposta aceita pela Administração.</w:t>
      </w:r>
    </w:p>
    <w:p w14:paraId="750FFB2E"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13.2. Para fins de aceitação, deverão ser verificados, conforme aplicável a cada item:</w:t>
      </w:r>
    </w:p>
    <w:p w14:paraId="01241B43" w14:textId="2D16C528"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a) correspondência entre o equipamento entregue e o fabricante, marca, modelo e características técnicas constantes da proposta;</w:t>
      </w:r>
    </w:p>
    <w:p w14:paraId="61367D14" w14:textId="5D9669D2"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b) atendimento aos parâmetros mínimos de potência, cilindrada, capacidade, dimensões, sistemas de corte, alimentação, acionamento e demais requisitos específicos do respectivo item;</w:t>
      </w:r>
    </w:p>
    <w:p w14:paraId="02695AC3" w14:textId="6E667268"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c) condição de equipamento novo e de primeiro uso, sem sinais de utilização anterior, recondicionamento, remanufatura, desgaste, reparos prévios ou modificações indevidas;</w:t>
      </w:r>
    </w:p>
    <w:p w14:paraId="1ECB9866" w14:textId="6B3FE6CE"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d) integridade física e estrutural, sem trincas, deformações, corrosão, vazamentos, avarias, danos de transporte ou acabamento incompatível com produto novo;</w:t>
      </w:r>
    </w:p>
    <w:p w14:paraId="03A24552" w14:textId="0D8663C0"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e) presença e correto funcionamento dos dispositivos de proteção e segurança exigidos;</w:t>
      </w:r>
    </w:p>
    <w:p w14:paraId="034A111E" w14:textId="77AD7A6A"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f) entrega de todos os componentes, acessórios, proteções, ferramentas, dispositivos de fixação e demais elementos necessários ao funcionamento do equipamento;</w:t>
      </w:r>
    </w:p>
    <w:p w14:paraId="4B7F5376" w14:textId="553E212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g) identificação do equipamento, incluindo fabricante, modelo, número de série, ano de fabricação e demais informações exigíveis;</w:t>
      </w:r>
    </w:p>
    <w:p w14:paraId="6EB1AC1C" w14:textId="4B8ABDB1"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h) funcionamento regular durante os testes e inspeções realizados pela Administração; e</w:t>
      </w:r>
    </w:p>
    <w:p w14:paraId="3124A1A3" w14:textId="249C180D"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i) apresentação dos manuais, documentos técnicos, documentos de garantia e demais elementos exigidos neste Termo de Referência.</w:t>
      </w:r>
    </w:p>
    <w:p w14:paraId="6559C09B"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13.3. Não será aceito equipamento que apresente característica técnica inferior ao mínimo estabelecido, ainda que a diferença não impeça seu funcionamento imediato. Características superiores poderão ser aceitas desde que não impliquem prejuízo à segurança, ergonomia, mobilidade, consumo, compatibilidade, operação ou finalidade pretendida pela Administração.</w:t>
      </w:r>
    </w:p>
    <w:p w14:paraId="3F3EE4B5"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13.4. Constituirão causas de recusa do equipamento, entre outras situações tecnicamente constatadas:</w:t>
      </w:r>
    </w:p>
    <w:p w14:paraId="6AD8CAE5" w14:textId="13538204"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a) divergência entre o equipamento entregue e aquele ofertado e aceito no procedimento licitatório;</w:t>
      </w:r>
    </w:p>
    <w:p w14:paraId="19EC968D" w14:textId="05AF9E63"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b) ausência ou incompatibilidade de componente, acessório ou dispositivo obrigatório;</w:t>
      </w:r>
    </w:p>
    <w:p w14:paraId="24584D4E" w14:textId="3D5BE1A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c) funcionamento irregular, falha de partida, perda anormal de potência, ruído, vibração, aquecimento, vazamento ou outra anormalidade incompatível com equipamento novo;</w:t>
      </w:r>
    </w:p>
    <w:p w14:paraId="6A9A7802" w14:textId="08ECAB86"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d) falha ou ausência de dispositivo de segurança;</w:t>
      </w:r>
    </w:p>
    <w:p w14:paraId="42FADA4A" w14:textId="30BE750F"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e) sinais de uso anterior, desgaste, recondicionamento, remanufatura ou substituição de componentes por peças inadequadas;</w:t>
      </w:r>
    </w:p>
    <w:p w14:paraId="2C952280" w14:textId="159D85D6"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f) dano estrutural, avaria de transporte ou qualquer condição que possa reduzir a vida útil, confiabilidade ou segurança do bem;</w:t>
      </w:r>
    </w:p>
    <w:p w14:paraId="70594544" w14:textId="57241DDC"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g) ausência de identificação individual ou impossibilidade de rastreamento do equipamento, quando exigível;</w:t>
      </w:r>
    </w:p>
    <w:p w14:paraId="2BC32775" w14:textId="1F9A66D4"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h) ausência da documentação técnica obrigatória ou incompatibilidade entre os documentos apresentados e o modelo efetivamente entregue; e</w:t>
      </w:r>
    </w:p>
    <w:p w14:paraId="78CD80C0" w14:textId="016787B2"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ab/>
        <w:t>i) reprovação nos testes de funcionamento ou nas inspeções realizadas pela Administração.</w:t>
      </w:r>
    </w:p>
    <w:p w14:paraId="7ED1505D"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 xml:space="preserve">13.5. Quanto à roçadeira, </w:t>
      </w:r>
      <w:proofErr w:type="spellStart"/>
      <w:r w:rsidRPr="0074574E">
        <w:rPr>
          <w:rFonts w:ascii="Times" w:hAnsi="Times"/>
          <w:sz w:val="20"/>
          <w:szCs w:val="20"/>
        </w:rPr>
        <w:t>motopoda</w:t>
      </w:r>
      <w:proofErr w:type="spellEnd"/>
      <w:r w:rsidRPr="0074574E">
        <w:rPr>
          <w:rFonts w:ascii="Times" w:hAnsi="Times"/>
          <w:sz w:val="20"/>
          <w:szCs w:val="20"/>
        </w:rPr>
        <w:t>, soprador, motosserra e cortador de grama, não serão aceitos equipamentos que apresentem funcionamento irregular do motor, dificuldade anormal de acionamento, vazamento de combustível ou lubrificante, instabilidade de funcionamento, falhas nos sistemas de corte, tração, alimentação ou comando, ausência de proteções ou qualquer condição que comprometa sua utilização normal e segura.</w:t>
      </w:r>
    </w:p>
    <w:p w14:paraId="3E16DC12" w14:textId="4282D2A2"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13.6. Quanto ao picador e triturador móvel de galhos e troncos, a aceitação ficará condicionada, além dos requisitos gerais, ao funcionamento adequado do motor, sistema de autoalimentação, mecanismos de corte, comandos e dispositivos de segurança, à configuração rebocável prevista e à realização satisfatória da entrega técnica. Não será aceito equipamento que apresente falha capaz de comprometer a alimentação, processamento do material, interrupção segura da operação, estabilidade, movimentação ou proteção dos operadores.</w:t>
      </w:r>
    </w:p>
    <w:p w14:paraId="0E057935" w14:textId="753EE451"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w:t>
      </w:r>
      <w:r w:rsidR="00982319">
        <w:rPr>
          <w:rFonts w:ascii="Times" w:hAnsi="Times"/>
          <w:sz w:val="20"/>
          <w:szCs w:val="20"/>
        </w:rPr>
        <w:t>7</w:t>
      </w:r>
      <w:r w:rsidRPr="0074574E">
        <w:rPr>
          <w:rFonts w:ascii="Times" w:hAnsi="Times"/>
          <w:sz w:val="20"/>
          <w:szCs w:val="20"/>
        </w:rPr>
        <w:t>. A existência de defeito ou desconformidade sanável não obriga a Administração a aceitar o equipamento de forma definitiva. O bem permanecerá pendente de aceitação até que a contratada realize a correção, complementação ou substituição necessária e seja confirmada sua integral conformidade em nova verificação.</w:t>
      </w:r>
    </w:p>
    <w:p w14:paraId="0307917E" w14:textId="44C688E9"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w:t>
      </w:r>
      <w:r w:rsidR="00982319">
        <w:rPr>
          <w:rFonts w:ascii="Times" w:hAnsi="Times"/>
          <w:sz w:val="20"/>
          <w:szCs w:val="20"/>
        </w:rPr>
        <w:t>8</w:t>
      </w:r>
      <w:r w:rsidRPr="0074574E">
        <w:rPr>
          <w:rFonts w:ascii="Times" w:hAnsi="Times"/>
          <w:sz w:val="20"/>
          <w:szCs w:val="20"/>
        </w:rPr>
        <w:t>. Eventuais esclarecimentos ou complementações documentais poderão ser admitidos quando não implicarem alteração do equipamento ofertado nem saneamento de característica técnica inferior à exigida, observados o julgamento objetivo, a isonomia e as demais regras aplicáveis ao procedimento.</w:t>
      </w:r>
    </w:p>
    <w:p w14:paraId="54653AD5" w14:textId="65518760"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13.</w:t>
      </w:r>
      <w:r w:rsidR="00982319">
        <w:rPr>
          <w:rFonts w:ascii="Times" w:hAnsi="Times"/>
          <w:sz w:val="20"/>
          <w:szCs w:val="20"/>
        </w:rPr>
        <w:t>9</w:t>
      </w:r>
      <w:r w:rsidRPr="0074574E">
        <w:rPr>
          <w:rFonts w:ascii="Times" w:hAnsi="Times"/>
          <w:sz w:val="20"/>
          <w:szCs w:val="20"/>
        </w:rPr>
        <w:t>. A aceitação do equipamento não afasta a responsabilidade da contratada por vícios ocultos, defeitos posteriormente identificados ou descumprimento das obrigações de garantia, manutenção e assistência técnica previstas neste Termo de Referência.</w:t>
      </w:r>
    </w:p>
    <w:p w14:paraId="40A8A0BE" w14:textId="77777777" w:rsidR="00FE3362" w:rsidRPr="00330FDA" w:rsidRDefault="00FE3362" w:rsidP="00920F82">
      <w:pPr>
        <w:spacing w:after="0" w:line="276" w:lineRule="auto"/>
        <w:jc w:val="both"/>
        <w:rPr>
          <w:rFonts w:ascii="Times" w:hAnsi="Times"/>
          <w:sz w:val="20"/>
          <w:szCs w:val="20"/>
        </w:rPr>
      </w:pPr>
    </w:p>
    <w:p w14:paraId="1F974863" w14:textId="7969D437" w:rsidR="001564CA"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4</w:t>
      </w:r>
      <w:r w:rsidR="006A61A0" w:rsidRPr="00330FDA">
        <w:rPr>
          <w:rFonts w:ascii="Times" w:hAnsi="Times"/>
          <w:b/>
          <w:sz w:val="20"/>
          <w:szCs w:val="20"/>
        </w:rPr>
        <w:t>.</w:t>
      </w:r>
      <w:r w:rsidRPr="00330FDA">
        <w:rPr>
          <w:rFonts w:ascii="Times" w:hAnsi="Times"/>
          <w:b/>
          <w:sz w:val="20"/>
          <w:szCs w:val="20"/>
        </w:rPr>
        <w:t xml:space="preserve"> DAS SANÇÕES ADMINISTRATIVAS</w:t>
      </w:r>
      <w:r w:rsidR="001564CA" w:rsidRPr="00330FDA">
        <w:rPr>
          <w:rFonts w:ascii="Times" w:hAnsi="Times"/>
          <w:b/>
          <w:sz w:val="20"/>
          <w:szCs w:val="20"/>
        </w:rPr>
        <w:t>:</w:t>
      </w:r>
    </w:p>
    <w:p w14:paraId="44527B6D"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 xml:space="preserve">14.1. O descumprimento das obrigações assumidas sujeitará a contratada às sanções previstas nos </w:t>
      </w:r>
      <w:proofErr w:type="spellStart"/>
      <w:r w:rsidRPr="0074574E">
        <w:rPr>
          <w:rFonts w:ascii="Times" w:hAnsi="Times"/>
          <w:sz w:val="20"/>
          <w:szCs w:val="20"/>
        </w:rPr>
        <w:t>arts</w:t>
      </w:r>
      <w:proofErr w:type="spellEnd"/>
      <w:r w:rsidRPr="0074574E">
        <w:rPr>
          <w:rFonts w:ascii="Times" w:hAnsi="Times"/>
          <w:sz w:val="20"/>
          <w:szCs w:val="20"/>
        </w:rPr>
        <w:t>. 155 a 163 da Lei Federal nº 14.133/2021, observadas a natureza e a gravidade da infração, os danos causados, as circunstâncias agravantes ou atenuantes e os antecedentes da contratada.</w:t>
      </w:r>
    </w:p>
    <w:p w14:paraId="4429864B" w14:textId="4B2F57C1" w:rsidR="001564CA" w:rsidRPr="008104D3" w:rsidRDefault="008104D3" w:rsidP="00920F82">
      <w:pPr>
        <w:spacing w:after="0" w:line="276" w:lineRule="auto"/>
        <w:jc w:val="both"/>
        <w:rPr>
          <w:rFonts w:ascii="Times" w:hAnsi="Times"/>
          <w:sz w:val="20"/>
          <w:szCs w:val="20"/>
        </w:rPr>
      </w:pPr>
      <w:r w:rsidRPr="008104D3">
        <w:rPr>
          <w:rFonts w:ascii="Times" w:hAnsi="Times"/>
          <w:sz w:val="20"/>
          <w:szCs w:val="20"/>
        </w:rPr>
        <w:t xml:space="preserve">14.2. As hipóteses de infração, os percentuais e critérios de aplicação das multas, os procedimentos de apuração, as competências decisórias e as demais condições relativas às sanções administrativas serão </w:t>
      </w:r>
      <w:proofErr w:type="gramStart"/>
      <w:r w:rsidRPr="008104D3">
        <w:rPr>
          <w:rFonts w:ascii="Times" w:hAnsi="Times"/>
          <w:sz w:val="20"/>
          <w:szCs w:val="20"/>
        </w:rPr>
        <w:t>detalhados</w:t>
      </w:r>
      <w:proofErr w:type="gramEnd"/>
      <w:r w:rsidRPr="008104D3">
        <w:rPr>
          <w:rFonts w:ascii="Times" w:hAnsi="Times"/>
          <w:sz w:val="20"/>
          <w:szCs w:val="20"/>
        </w:rPr>
        <w:t xml:space="preserve"> no Edital, na Ata de Registro de Preços e nos contratos administrativos dela decorrentes, observadas as disposições da Lei Federal nº 14.133/2021 e assegurados o contraditório e a ampla defesa.</w:t>
      </w:r>
    </w:p>
    <w:p w14:paraId="2ADCF714" w14:textId="77777777" w:rsidR="008104D3" w:rsidRPr="00330FDA" w:rsidRDefault="008104D3" w:rsidP="00920F82">
      <w:pPr>
        <w:spacing w:after="0" w:line="276" w:lineRule="auto"/>
        <w:jc w:val="both"/>
        <w:rPr>
          <w:rFonts w:ascii="Times" w:hAnsi="Times"/>
          <w:sz w:val="20"/>
          <w:szCs w:val="20"/>
        </w:rPr>
      </w:pPr>
    </w:p>
    <w:p w14:paraId="0811D59C" w14:textId="34FA97F5" w:rsidR="005D5789"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5</w:t>
      </w:r>
      <w:r w:rsidR="005D5789" w:rsidRPr="00330FDA">
        <w:rPr>
          <w:rFonts w:ascii="Times" w:hAnsi="Times"/>
          <w:b/>
          <w:sz w:val="20"/>
          <w:szCs w:val="20"/>
        </w:rPr>
        <w:t>.</w:t>
      </w:r>
      <w:r w:rsidRPr="00330FDA">
        <w:rPr>
          <w:rFonts w:ascii="Times" w:hAnsi="Times"/>
          <w:b/>
          <w:sz w:val="20"/>
          <w:szCs w:val="20"/>
        </w:rPr>
        <w:t xml:space="preserve"> DO PAGAMENTO E REAJUSTAMENTO</w:t>
      </w:r>
      <w:r w:rsidR="001564CA" w:rsidRPr="00330FDA">
        <w:rPr>
          <w:rFonts w:ascii="Times" w:hAnsi="Times"/>
          <w:b/>
          <w:sz w:val="20"/>
          <w:szCs w:val="20"/>
        </w:rPr>
        <w:t>:</w:t>
      </w:r>
    </w:p>
    <w:p w14:paraId="69912591"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15.1. O pagamento das aquisições observará, sucessivamente, o recebimento definitivo do equipamento, o atesto da Nota Fiscal, a regular liquidação da despesa e a emissão da respectiva ordem de pagamento, observadas as disposições deste Termo de Referência, a legislação aplicável e as regras de execução financeira dos recursos vinculados ao Convênio.</w:t>
      </w:r>
    </w:p>
    <w:p w14:paraId="005B207E" w14:textId="1F021F9E" w:rsidR="0074574E" w:rsidRPr="0074574E" w:rsidRDefault="0074574E" w:rsidP="0074574E">
      <w:pPr>
        <w:spacing w:after="0" w:line="276" w:lineRule="auto"/>
        <w:jc w:val="both"/>
        <w:rPr>
          <w:rFonts w:ascii="Times" w:hAnsi="Times"/>
          <w:sz w:val="20"/>
          <w:szCs w:val="20"/>
        </w:rPr>
      </w:pPr>
      <w:r w:rsidRPr="00CF1D8F">
        <w:rPr>
          <w:rFonts w:ascii="Times" w:hAnsi="Times"/>
          <w:sz w:val="20"/>
          <w:szCs w:val="20"/>
        </w:rPr>
        <w:tab/>
      </w:r>
      <w:r w:rsidRPr="0074574E">
        <w:rPr>
          <w:rFonts w:ascii="Times" w:hAnsi="Times"/>
          <w:sz w:val="20"/>
          <w:szCs w:val="20"/>
        </w:rPr>
        <w:t>15.1.1. Após o recebimento definitivo do respectivo equipamento, a Nota Fiscal correspondente deverá ser atestada pelo servidor ou setor competente no prazo de até 2 (dois) dias, desde que não sejam identificadas pendências que impeçam a certificação da regular execução do fornecimento.</w:t>
      </w:r>
    </w:p>
    <w:p w14:paraId="60CE328D" w14:textId="77777777" w:rsidR="000A3C4B" w:rsidRPr="000A3C4B" w:rsidRDefault="0074574E" w:rsidP="0074574E">
      <w:pPr>
        <w:spacing w:after="0" w:line="276" w:lineRule="auto"/>
        <w:jc w:val="both"/>
        <w:rPr>
          <w:rFonts w:ascii="Times" w:hAnsi="Times"/>
          <w:sz w:val="20"/>
          <w:szCs w:val="20"/>
        </w:rPr>
      </w:pPr>
      <w:r w:rsidRPr="000A3C4B">
        <w:rPr>
          <w:rFonts w:ascii="Times" w:hAnsi="Times"/>
          <w:sz w:val="20"/>
          <w:szCs w:val="20"/>
        </w:rPr>
        <w:tab/>
      </w:r>
      <w:r w:rsidR="000A3C4B" w:rsidRPr="000A3C4B">
        <w:rPr>
          <w:rFonts w:ascii="Times" w:hAnsi="Times"/>
          <w:sz w:val="20"/>
          <w:szCs w:val="20"/>
        </w:rPr>
        <w:t>15.1.2. Realizado o atesto da Nota Fiscal, a documentação será encaminhada ao setor competente para a liquidação da despesa, que deverá ser concluída no prazo de até 5 (cinco) dias, mediante conferência da Nota Fiscal, do contrato administrativo, da Nota de Empenho, da Ordem de Compra e dos demais documentos pertinentes à comprovação do direito da contratada ao crédito.</w:t>
      </w:r>
    </w:p>
    <w:p w14:paraId="14DF3E28" w14:textId="2298F3D0" w:rsidR="0074574E" w:rsidRPr="0074574E" w:rsidRDefault="0074574E" w:rsidP="0074574E">
      <w:pPr>
        <w:spacing w:after="0" w:line="276" w:lineRule="auto"/>
        <w:jc w:val="both"/>
        <w:rPr>
          <w:rFonts w:ascii="Times" w:hAnsi="Times"/>
          <w:sz w:val="20"/>
          <w:szCs w:val="20"/>
        </w:rPr>
      </w:pPr>
      <w:r w:rsidRPr="00CF1D8F">
        <w:rPr>
          <w:rFonts w:ascii="Times" w:hAnsi="Times"/>
          <w:sz w:val="20"/>
          <w:szCs w:val="20"/>
        </w:rPr>
        <w:tab/>
      </w:r>
      <w:r w:rsidRPr="0074574E">
        <w:rPr>
          <w:rFonts w:ascii="Times" w:hAnsi="Times"/>
          <w:sz w:val="20"/>
          <w:szCs w:val="20"/>
        </w:rPr>
        <w:t>15.1.3. Concluída regularmente a liquidação da despesa, o pagamento será efetuado no prazo de até 20 (vinte) dias, mediante crédito em conta bancária de titularidade da contratada, observadas a ordem cronológica de pagamentos, a programação financeira e a cronologia bancária aplicável à respectiva fonte de recursos.</w:t>
      </w:r>
    </w:p>
    <w:p w14:paraId="7B98494D" w14:textId="77777777" w:rsidR="000A3C4B" w:rsidRDefault="000A3C4B" w:rsidP="0074574E">
      <w:pPr>
        <w:spacing w:after="0" w:line="276" w:lineRule="auto"/>
        <w:jc w:val="both"/>
        <w:rPr>
          <w:rFonts w:ascii="Times" w:hAnsi="Times"/>
          <w:sz w:val="20"/>
          <w:szCs w:val="20"/>
        </w:rPr>
      </w:pPr>
      <w:r w:rsidRPr="000A3C4B">
        <w:rPr>
          <w:rFonts w:ascii="Times" w:hAnsi="Times"/>
          <w:sz w:val="20"/>
          <w:szCs w:val="20"/>
        </w:rPr>
        <w:t>15.2. A Nota Fiscal deverá corresponder exclusivamente aos equipamentos efetivamente entregues e definitivamente recebidos, contendo, quando solicitado, a identificação do processo administrativo, da Ata de Registro de Preços, do contrato administrativo, da Nota de Empenho, da Ordem de Compra, do Convênio e das demais informações necessárias à correta identificação e liquidação da despesa.</w:t>
      </w:r>
    </w:p>
    <w:p w14:paraId="30B2AF79" w14:textId="25B06826"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15.3. Havendo erro, omissão, divergência de valores, descrição incompatível, ausência de informação obrigatória, pendência documental ou qualquer outra irregularidade que impeça o atesto ou a regular liquidação da despesa, a contratada será formalmente comunicada para promover a correção ou apresentar os esclarecimentos necessários.</w:t>
      </w:r>
    </w:p>
    <w:p w14:paraId="52028188" w14:textId="235B543A" w:rsidR="0074574E" w:rsidRPr="0074574E" w:rsidRDefault="0074574E" w:rsidP="0074574E">
      <w:pPr>
        <w:spacing w:after="0" w:line="276" w:lineRule="auto"/>
        <w:jc w:val="both"/>
        <w:rPr>
          <w:rFonts w:ascii="Times" w:hAnsi="Times"/>
          <w:sz w:val="20"/>
          <w:szCs w:val="20"/>
        </w:rPr>
      </w:pPr>
      <w:r w:rsidRPr="00CF1D8F">
        <w:rPr>
          <w:rFonts w:ascii="Times" w:hAnsi="Times"/>
          <w:sz w:val="20"/>
          <w:szCs w:val="20"/>
        </w:rPr>
        <w:tab/>
      </w:r>
      <w:r w:rsidRPr="0074574E">
        <w:rPr>
          <w:rFonts w:ascii="Times" w:hAnsi="Times"/>
          <w:sz w:val="20"/>
          <w:szCs w:val="20"/>
        </w:rPr>
        <w:t>15.3.1. Enquanto a pendência impedir o atesto, a comprovação do direito ao crédito ou a determinação do valor devido, o respectivo prazo não terá início ou ficará suspenso quanto à parcela afetada, voltando a correr após a regularização, sem incidência de encargos decorrentes de atraso imputável à própria contratada.</w:t>
      </w:r>
    </w:p>
    <w:p w14:paraId="453030AC"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15.4. Havendo controvérsia quanto à quantidade, qualidade, conformidade ou valor do fornecimento, deverá ser promovida, quando juridicamente e materialmente possível, a liquidação e o pagamento da parcela incontroversa, nos termos do art. 143 da Lei Federal nº 14.133/2021, sem prejuízo da apuração da parcela objeto de controvérsia.</w:t>
      </w:r>
    </w:p>
    <w:p w14:paraId="64C81065" w14:textId="77777777" w:rsidR="0074574E" w:rsidRPr="00B45B69" w:rsidRDefault="0074574E" w:rsidP="0074574E">
      <w:pPr>
        <w:spacing w:after="0" w:line="276" w:lineRule="auto"/>
        <w:jc w:val="both"/>
        <w:rPr>
          <w:rFonts w:ascii="Times" w:hAnsi="Times"/>
          <w:b/>
          <w:bCs/>
          <w:sz w:val="20"/>
          <w:szCs w:val="20"/>
        </w:rPr>
      </w:pPr>
      <w:r w:rsidRPr="00B45B69">
        <w:rPr>
          <w:rFonts w:ascii="Times" w:hAnsi="Times"/>
          <w:b/>
          <w:bCs/>
          <w:sz w:val="20"/>
          <w:szCs w:val="20"/>
        </w:rPr>
        <w:t>15.5. Considerando a utilização de recursos provenientes do Convênio nº 981455/2025, a execução financeira observará as normas aplicáveis ao regime de transferências da União, especialmente a Portaria Conjunta MGI/MF/CGU nº 28/2024, suas alterações e, subsidiariamente, as disposições aplicáveis da Portaria Conjunta MGI/MF/CGU nº 33/2023, bem como as regras e procedimentos operacionais do Transferegov.br.</w:t>
      </w:r>
    </w:p>
    <w:p w14:paraId="662A0EEE"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15.6. No pagamento serão efetuadas as retenções tributárias legalmente exigíveis, considerando a natureza da operação, o regime tributário da contratada e a legislação vigente. Caberá à contratada apresentar os documentos necessários à comprovação de eventual isenção, imunidade, dispensa, alíquota diferenciada ou enquadramento tributário específico.</w:t>
      </w:r>
    </w:p>
    <w:p w14:paraId="768BB56C"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15.7. A contratante observará a ordem cronológica de pagamentos correspondente à fonte de recursos e à categoria contratual aplicável, nos termos do art. 141 da Lei Federal nº 14.133/2021, ressalvadas as hipóteses legalmente admitidas, devidamente justificadas e formalizadas.</w:t>
      </w:r>
    </w:p>
    <w:p w14:paraId="68BBDED4"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15.8. Os preços registrados permanecerão sem reajustamento antes de decorrido o interregno mínimo de 12 (doze) meses, contado da data-base do orçamento estimado. Transcorrido esse período, poderá ser aplicado reajustamento mediante a Unidade de Referência Municipal – URM, indexada ao IPCA, ou outro índice que legalmente venha a substituí-la, observadas as condições estabelecidas no Edital, na Ata de Registro de Preços e na regulamentação municipal aplicável.</w:t>
      </w:r>
    </w:p>
    <w:p w14:paraId="0A6048C1" w14:textId="548096AF" w:rsidR="0074574E" w:rsidRPr="0074574E" w:rsidRDefault="00CF1D8F" w:rsidP="0074574E">
      <w:pPr>
        <w:spacing w:after="0" w:line="276" w:lineRule="auto"/>
        <w:jc w:val="both"/>
        <w:rPr>
          <w:rFonts w:ascii="Times" w:hAnsi="Times"/>
          <w:sz w:val="20"/>
          <w:szCs w:val="20"/>
        </w:rPr>
      </w:pPr>
      <w:r w:rsidRPr="00CF1D8F">
        <w:rPr>
          <w:rFonts w:ascii="Times" w:hAnsi="Times"/>
          <w:sz w:val="20"/>
          <w:szCs w:val="20"/>
        </w:rPr>
        <w:tab/>
      </w:r>
      <w:r w:rsidR="0074574E" w:rsidRPr="0074574E">
        <w:rPr>
          <w:rFonts w:ascii="Times" w:hAnsi="Times"/>
          <w:sz w:val="20"/>
          <w:szCs w:val="20"/>
        </w:rPr>
        <w:t>15.8.1. O reajustamento destina-se à recomposição da variação ordinária dos preços decorrente da perda do poder aquisitivo da moeda, não dependendo da demonstração individualizada da variação de cada componente do custo e não se confundindo com o restabelecimento do equilíbrio econômico-financeiro.</w:t>
      </w:r>
    </w:p>
    <w:p w14:paraId="2AD3D082"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15.9. O restabelecimento do equilíbrio econômico-financeiro poderá ser requerido diante da ocorrência de fato superveniente extraordinário, imprevisível ou previsível de consequências incalculáveis, caso fortuito, força maior, fato do príncipe ou alteração legal que produza repercussão efetivamente demonstrada sobre os custos da contratação.</w:t>
      </w:r>
    </w:p>
    <w:p w14:paraId="1AF2CE24" w14:textId="64219109" w:rsidR="0074574E" w:rsidRPr="0074574E" w:rsidRDefault="00CF1D8F" w:rsidP="0074574E">
      <w:pPr>
        <w:spacing w:after="0" w:line="276" w:lineRule="auto"/>
        <w:jc w:val="both"/>
        <w:rPr>
          <w:rFonts w:ascii="Times" w:hAnsi="Times"/>
          <w:sz w:val="20"/>
          <w:szCs w:val="20"/>
        </w:rPr>
      </w:pPr>
      <w:r w:rsidRPr="00CF1D8F">
        <w:rPr>
          <w:rFonts w:ascii="Times" w:hAnsi="Times"/>
          <w:sz w:val="20"/>
          <w:szCs w:val="20"/>
        </w:rPr>
        <w:tab/>
      </w:r>
      <w:r w:rsidR="0074574E" w:rsidRPr="0074574E">
        <w:rPr>
          <w:rFonts w:ascii="Times" w:hAnsi="Times"/>
          <w:sz w:val="20"/>
          <w:szCs w:val="20"/>
        </w:rPr>
        <w:t>15.9.1. O pedido deverá ser formalmente apresentado pela contratada e acompanhado de documentação suficiente para demonstrar o fato gerador, sua data de ocorrência, o nexo causal, a repercussão econômica efetivamente suportada e o valor ou percentual necessário à recomposição da equação econômico-financeira.</w:t>
      </w:r>
    </w:p>
    <w:p w14:paraId="6FDAF66B" w14:textId="76C601D3" w:rsidR="0074574E" w:rsidRPr="0074574E" w:rsidRDefault="00CF1D8F" w:rsidP="0074574E">
      <w:pPr>
        <w:spacing w:after="0" w:line="276" w:lineRule="auto"/>
        <w:jc w:val="both"/>
        <w:rPr>
          <w:rFonts w:ascii="Times" w:hAnsi="Times"/>
          <w:sz w:val="20"/>
          <w:szCs w:val="20"/>
        </w:rPr>
      </w:pPr>
      <w:r w:rsidRPr="00CF1D8F">
        <w:rPr>
          <w:rFonts w:ascii="Times" w:hAnsi="Times"/>
          <w:sz w:val="20"/>
          <w:szCs w:val="20"/>
        </w:rPr>
        <w:tab/>
      </w:r>
      <w:r w:rsidR="0074574E" w:rsidRPr="0074574E">
        <w:rPr>
          <w:rFonts w:ascii="Times" w:hAnsi="Times"/>
          <w:sz w:val="20"/>
          <w:szCs w:val="20"/>
        </w:rPr>
        <w:t>15.9.2. Não constituirão fundamento suficiente, isoladamente, para revisão dos preços alegações genéricas de aumento de custos, oscilações ordinárias de mercado, riscos normais da atividade empresarial ou apresentação de notas fiscais, cotações ou documentos que não demonstrem de forma consistente o efetivo impacto do evento sobre o preço registrado.</w:t>
      </w:r>
    </w:p>
    <w:p w14:paraId="3E2C61AE"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15.10. A revisão dos preços dependerá de análise técnica e administrativa e de decisão expressa da contratante, podendo resultar, conforme o caso, na manutenção, redução, recomposição, negociação ou cancelamento do preço registrado, observadas a Lei nº 14.133/2021, o Decreto Municipal nº 1.319/2024 e as demais normas aplicáveis.</w:t>
      </w:r>
    </w:p>
    <w:p w14:paraId="47AC1EF6"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15.11. Na hipótese de o preço registrado tornar-se superior ao praticado no mercado por fato superveniente, a contratante poderá convocar o fornecedor para negociação visando à redução do preço. Da mesma forma, quando o preço de mercado se tornar comprovadamente superior ao registrado e ficar demonstrada a inviabilidade de manutenção das condições originalmente pactuadas, serão observados os procedimentos legalmente previstos para revisão ou liberação do fornecedor.</w:t>
      </w:r>
    </w:p>
    <w:p w14:paraId="312C9989"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15.12. Eventuais acréscimos decorrentes de reajustamento ou restabelecimento do equilíbrio econômico-financeiro deverão observar a disponibilidade financeira, as condições do Convênio e os procedimentos de registro, ajuste ou autorização eventualmente exigidos no Transferegov.br.</w:t>
      </w:r>
    </w:p>
    <w:p w14:paraId="170AF244" w14:textId="77777777" w:rsidR="0074574E" w:rsidRPr="0074574E" w:rsidRDefault="0074574E" w:rsidP="0074574E">
      <w:pPr>
        <w:spacing w:after="0" w:line="276" w:lineRule="auto"/>
        <w:jc w:val="both"/>
        <w:rPr>
          <w:rFonts w:ascii="Times" w:hAnsi="Times"/>
          <w:sz w:val="20"/>
          <w:szCs w:val="20"/>
        </w:rPr>
      </w:pPr>
      <w:r w:rsidRPr="0074574E">
        <w:rPr>
          <w:rFonts w:ascii="Times" w:hAnsi="Times"/>
          <w:sz w:val="20"/>
          <w:szCs w:val="20"/>
        </w:rPr>
        <w:t>15.13. Em caso de atraso no pagamento imputável exclusivamente à contratante, após regularmente liquidada a despesa e sem contribuição da contratada para o atraso, será observada a atualização financeira prevista no Edital e na Ata de Registro de Preços, conforme a legislação aplicável.</w:t>
      </w:r>
    </w:p>
    <w:p w14:paraId="217DD7E1" w14:textId="465051A8" w:rsidR="0074574E" w:rsidRPr="00CF1D8F" w:rsidRDefault="0074574E" w:rsidP="0074574E">
      <w:pPr>
        <w:spacing w:after="0" w:line="276" w:lineRule="auto"/>
        <w:jc w:val="both"/>
        <w:rPr>
          <w:rFonts w:ascii="Times" w:hAnsi="Times"/>
          <w:sz w:val="20"/>
          <w:szCs w:val="20"/>
        </w:rPr>
      </w:pPr>
      <w:r w:rsidRPr="0074574E">
        <w:rPr>
          <w:rFonts w:ascii="Times" w:hAnsi="Times"/>
          <w:sz w:val="20"/>
          <w:szCs w:val="20"/>
        </w:rPr>
        <w:t>15.14. O pagamento efetuado não implicará aceitação de vícios ocultos, defeitos ou desconformidades posteriormente constatados, nem afastará as obrigações da contratada relacionadas à garantia, manutenção, assistência técnica, substituição dos equipamentos ou demais responsabilidades decorrentes do fornecimento.</w:t>
      </w:r>
    </w:p>
    <w:p w14:paraId="5BB98C99" w14:textId="77777777" w:rsidR="0074574E" w:rsidRPr="0074574E" w:rsidRDefault="0074574E" w:rsidP="0074574E">
      <w:pPr>
        <w:spacing w:after="0" w:line="276" w:lineRule="auto"/>
        <w:jc w:val="center"/>
        <w:rPr>
          <w:rFonts w:ascii="Times" w:hAnsi="Times"/>
          <w:sz w:val="20"/>
          <w:szCs w:val="20"/>
        </w:rPr>
      </w:pPr>
    </w:p>
    <w:p w14:paraId="55E58F8F" w14:textId="77777777" w:rsidR="009E7B4F" w:rsidRPr="00330FDA" w:rsidRDefault="009E7B4F" w:rsidP="00920F82">
      <w:pPr>
        <w:spacing w:after="0" w:line="276" w:lineRule="auto"/>
        <w:jc w:val="center"/>
        <w:rPr>
          <w:rFonts w:ascii="Times" w:hAnsi="Times"/>
          <w:b/>
          <w:sz w:val="20"/>
          <w:szCs w:val="20"/>
        </w:rPr>
      </w:pPr>
      <w:r w:rsidRPr="00330FDA">
        <w:rPr>
          <w:rFonts w:ascii="Times" w:hAnsi="Times"/>
          <w:b/>
          <w:sz w:val="20"/>
          <w:szCs w:val="20"/>
        </w:rPr>
        <w:t>CAPÍTULO VI</w:t>
      </w:r>
    </w:p>
    <w:p w14:paraId="62C14799" w14:textId="77777777" w:rsidR="009E7B4F" w:rsidRPr="00330FDA" w:rsidRDefault="009E7B4F" w:rsidP="00920F82">
      <w:pPr>
        <w:spacing w:after="0" w:line="276" w:lineRule="auto"/>
        <w:jc w:val="center"/>
        <w:rPr>
          <w:rFonts w:ascii="Times" w:hAnsi="Times"/>
          <w:b/>
          <w:sz w:val="20"/>
          <w:szCs w:val="20"/>
        </w:rPr>
      </w:pPr>
      <w:r w:rsidRPr="00330FDA">
        <w:rPr>
          <w:rFonts w:ascii="Times" w:hAnsi="Times"/>
          <w:b/>
          <w:sz w:val="20"/>
          <w:szCs w:val="20"/>
        </w:rPr>
        <w:t>FORMA E CRITÉRIOS DE SELEÇÃO DO FORNECEDOR</w:t>
      </w:r>
    </w:p>
    <w:p w14:paraId="2BE4B2F1" w14:textId="175FFCD0" w:rsidR="009E7B4F"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6</w:t>
      </w:r>
      <w:r w:rsidR="005D5789" w:rsidRPr="00330FDA">
        <w:rPr>
          <w:rFonts w:ascii="Times" w:hAnsi="Times"/>
          <w:b/>
          <w:sz w:val="20"/>
          <w:szCs w:val="20"/>
        </w:rPr>
        <w:t>.</w:t>
      </w:r>
      <w:r w:rsidRPr="00330FDA">
        <w:rPr>
          <w:rFonts w:ascii="Times" w:hAnsi="Times"/>
          <w:b/>
          <w:sz w:val="20"/>
          <w:szCs w:val="20"/>
        </w:rPr>
        <w:t xml:space="preserve"> MODALIDADE, TIPO DE LICITAÇÃO E CRITÉRIO DE JULGAMENTO</w:t>
      </w:r>
      <w:r w:rsidR="005D5789" w:rsidRPr="00330FDA">
        <w:rPr>
          <w:rFonts w:ascii="Times" w:hAnsi="Times"/>
          <w:b/>
          <w:sz w:val="20"/>
          <w:szCs w:val="20"/>
        </w:rPr>
        <w:t>:</w:t>
      </w:r>
    </w:p>
    <w:p w14:paraId="0F2A46F8" w14:textId="57AAB6D8" w:rsidR="00CF1D8F" w:rsidRPr="00CF1D8F" w:rsidRDefault="00CF1D8F" w:rsidP="00CF1D8F">
      <w:pPr>
        <w:spacing w:after="0" w:line="276" w:lineRule="auto"/>
        <w:jc w:val="both"/>
        <w:rPr>
          <w:rFonts w:ascii="Times" w:hAnsi="Times"/>
          <w:sz w:val="20"/>
          <w:szCs w:val="20"/>
        </w:rPr>
      </w:pPr>
      <w:r w:rsidRPr="00CF1D8F">
        <w:rPr>
          <w:rFonts w:ascii="Times" w:hAnsi="Times"/>
          <w:sz w:val="20"/>
          <w:szCs w:val="20"/>
        </w:rPr>
        <w:t xml:space="preserve">16.1. Para a presente contratação, indica-se a realização de </w:t>
      </w:r>
      <w:r w:rsidRPr="00CF1D8F">
        <w:rPr>
          <w:rFonts w:ascii="Times" w:hAnsi="Times"/>
          <w:b/>
          <w:bCs/>
          <w:sz w:val="20"/>
          <w:szCs w:val="20"/>
        </w:rPr>
        <w:t>PREGÃO</w:t>
      </w:r>
      <w:r w:rsidRPr="00CF1D8F">
        <w:rPr>
          <w:rFonts w:ascii="Times" w:hAnsi="Times"/>
          <w:sz w:val="20"/>
          <w:szCs w:val="20"/>
        </w:rPr>
        <w:t xml:space="preserve">, na forma </w:t>
      </w:r>
      <w:r w:rsidRPr="00CF1D8F">
        <w:rPr>
          <w:rFonts w:ascii="Times" w:hAnsi="Times"/>
          <w:b/>
          <w:bCs/>
          <w:sz w:val="20"/>
          <w:szCs w:val="20"/>
        </w:rPr>
        <w:t>ELETRÔNICA</w:t>
      </w:r>
      <w:r w:rsidRPr="00CF1D8F">
        <w:rPr>
          <w:rFonts w:ascii="Times" w:hAnsi="Times"/>
          <w:sz w:val="20"/>
          <w:szCs w:val="20"/>
        </w:rPr>
        <w:t>, por se tratar de aquisição de bens cujos padrões de desempenho e qualidade podem ser objetivamente definidos pelas especificações constantes neste Termo de Referência.</w:t>
      </w:r>
    </w:p>
    <w:p w14:paraId="63F15CF3" w14:textId="02433867" w:rsidR="00CF1D8F" w:rsidRPr="00415517" w:rsidRDefault="00CF1D8F" w:rsidP="00CF1D8F">
      <w:pPr>
        <w:spacing w:after="0" w:line="276" w:lineRule="auto"/>
        <w:jc w:val="both"/>
        <w:rPr>
          <w:rFonts w:ascii="Times" w:hAnsi="Times"/>
          <w:sz w:val="20"/>
          <w:szCs w:val="20"/>
        </w:rPr>
      </w:pPr>
      <w:r w:rsidRPr="00CF1D8F">
        <w:rPr>
          <w:rFonts w:ascii="Times" w:hAnsi="Times"/>
          <w:sz w:val="20"/>
          <w:szCs w:val="20"/>
        </w:rPr>
        <w:tab/>
      </w:r>
      <w:r w:rsidR="00415517" w:rsidRPr="00415517">
        <w:rPr>
          <w:rFonts w:ascii="Times" w:hAnsi="Times"/>
          <w:sz w:val="20"/>
          <w:szCs w:val="20"/>
        </w:rPr>
        <w:t>16.1.1. A indicação constante do item anterior representa o enquadramento preliminar adotado pela área responsável pela elaboração deste Termo de Referência, não constituindo definição definitiva da modalidade ou do procedimento de contratação. Caberá à Assessoria Jurídica do Município, no exercício do controle prévio de legalidade, examinar o enquadramento jurídico do objeto e a adequação do procedimento indicado, podendo recomendar sua manutenção ou a adoção de modalidade ou procedimento diverso, quando presentes os respectivos pressupostos legais, submetendo-se a conclusão à autoridade competente para decisão.</w:t>
      </w:r>
    </w:p>
    <w:p w14:paraId="3D87D3B5" w14:textId="77777777" w:rsidR="00CF1D8F" w:rsidRPr="00415517" w:rsidRDefault="00CF1D8F" w:rsidP="00CF1D8F">
      <w:pPr>
        <w:spacing w:after="0" w:line="276" w:lineRule="auto"/>
        <w:jc w:val="both"/>
        <w:rPr>
          <w:rFonts w:ascii="Times" w:hAnsi="Times"/>
          <w:sz w:val="20"/>
          <w:szCs w:val="20"/>
        </w:rPr>
      </w:pPr>
      <w:r w:rsidRPr="00415517">
        <w:rPr>
          <w:rFonts w:ascii="Times" w:hAnsi="Times"/>
          <w:sz w:val="20"/>
          <w:szCs w:val="20"/>
        </w:rPr>
        <w:t>16.2. Independentemente da modalidade de licitação definida, a contratação deverá ser processada mediante Sistema de Registro de Preços – SRP, considerando o caráter eventual e parcelado das aquisições, a existência de diferentes equipamentos com utilização autônoma e a possibilidade de contratação dos quantitativos conforme a efetiva necessidade administrativa.</w:t>
      </w:r>
    </w:p>
    <w:p w14:paraId="1ED1A325" w14:textId="77777777" w:rsidR="00CF1D8F" w:rsidRPr="00CF1D8F" w:rsidRDefault="00CF1D8F" w:rsidP="00CF1D8F">
      <w:pPr>
        <w:spacing w:after="0" w:line="276" w:lineRule="auto"/>
        <w:jc w:val="both"/>
        <w:rPr>
          <w:rFonts w:ascii="Times" w:hAnsi="Times"/>
          <w:sz w:val="20"/>
          <w:szCs w:val="20"/>
        </w:rPr>
      </w:pPr>
      <w:r w:rsidRPr="00CF1D8F">
        <w:rPr>
          <w:rFonts w:ascii="Times" w:hAnsi="Times"/>
          <w:sz w:val="20"/>
          <w:szCs w:val="20"/>
        </w:rPr>
        <w:t>16.3. O critério de julgamento indicado será o de menor preço por item, possibilitando a adjudicação individual de cada equipamento e a participação de fornecedores distintos, sem prejuízo da observância integral das especificações técnicas e demais requisitos estabelecidos neste Termo de Referência.</w:t>
      </w:r>
    </w:p>
    <w:p w14:paraId="672A73CC" w14:textId="77777777" w:rsidR="000A3C4B" w:rsidRPr="00330FDA" w:rsidRDefault="000A3C4B" w:rsidP="00920F82">
      <w:pPr>
        <w:spacing w:after="0" w:line="276" w:lineRule="auto"/>
        <w:jc w:val="both"/>
        <w:rPr>
          <w:rFonts w:ascii="Times" w:hAnsi="Times"/>
          <w:sz w:val="20"/>
          <w:szCs w:val="20"/>
        </w:rPr>
      </w:pPr>
    </w:p>
    <w:p w14:paraId="4D094AE2" w14:textId="40CFB8E0" w:rsidR="005D5789" w:rsidRPr="00330FDA" w:rsidRDefault="009E7B4F" w:rsidP="00920F82">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7</w:t>
      </w:r>
      <w:r w:rsidR="005D5789" w:rsidRPr="00330FDA">
        <w:rPr>
          <w:rFonts w:ascii="Times" w:hAnsi="Times"/>
          <w:b/>
          <w:sz w:val="20"/>
          <w:szCs w:val="20"/>
        </w:rPr>
        <w:t>.</w:t>
      </w:r>
      <w:r w:rsidRPr="00330FDA">
        <w:rPr>
          <w:rFonts w:ascii="Times" w:hAnsi="Times"/>
          <w:b/>
          <w:sz w:val="20"/>
          <w:szCs w:val="20"/>
        </w:rPr>
        <w:t xml:space="preserve"> CRITÉRIOS DE APRESENTAÇÃO E ACEITAÇÃO DA PROPOSTA</w:t>
      </w:r>
      <w:r w:rsidR="005D5789" w:rsidRPr="00330FDA">
        <w:rPr>
          <w:rFonts w:ascii="Times" w:hAnsi="Times"/>
          <w:b/>
          <w:sz w:val="20"/>
          <w:szCs w:val="20"/>
        </w:rPr>
        <w:t>:</w:t>
      </w:r>
    </w:p>
    <w:p w14:paraId="38689898"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17.1. A proposta deverá ser apresentada na forma estabelecida no Edital, contendo os preços unitários e totais dos itens ofertados, bem como todas as informações necessárias à identificação inequívoca dos equipamentos e à verificação de sua conformidade com as especificações deste Termo de Referência.</w:t>
      </w:r>
    </w:p>
    <w:p w14:paraId="1FB2D131" w14:textId="682773A3"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17.1.1. Para cada item deverão ser informados expressamente o fabricante, a marca e o modelo ofertados, admitindo-se somente uma indicação de fabricante, marca e modelo para cada item, não sendo aceita proposta que permita posterior escolha entre equipamentos distintos.</w:t>
      </w:r>
    </w:p>
    <w:p w14:paraId="2A1013B4" w14:textId="4C8C23B5"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17.1.2. Os preços ofertados deverão compreender todos os custos necessários ao integral cumprimento da contratação, inclusive tributos, encargos, fretes, seguros, carga, descarga, transporte, montagem, regulagem, documentação, entrega técnica, treinamento, garantia, assistência técnica, peças, componentes e demais despesas incidentes, quando aplicáveis.</w:t>
      </w:r>
    </w:p>
    <w:p w14:paraId="45D09E22"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17.2. A proposta somente será aceita quando demonstrado o atendimento integral aos requisitos técnicos mínimos estabelecidos neste Termo de Referência, admitindo-se características superiores desde que não resultem em prejuízo à funcionalidade, segurança, compatibilidade, mobilidade, manutenção, consumo ou demais condições consideradas essenciais à utilização pretendida.</w:t>
      </w:r>
    </w:p>
    <w:p w14:paraId="6F4F4B9A"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17.3. Para os Itens 1 a 5, a proposta deverá ser acompanhada de catálogo, prospecto, ficha técnica, manual oficial do fabricante ou outro documento técnico idôneo correspondente ao modelo efetivamente ofertado e contendo informações suficientes para comprovação das características técnicas exigidas.</w:t>
      </w:r>
    </w:p>
    <w:p w14:paraId="50143733" w14:textId="5B75DD7B"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17.3.1. A documentação deverá estar redigida em língua portuguesa ou ser acompanhada de tradução suficiente à sua compreensão.</w:t>
      </w:r>
    </w:p>
    <w:p w14:paraId="32967ADE" w14:textId="53BE968B"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17.3.2. Quando determinada característica não constar expressamente do material técnico padrão do fabricante, poderá ser apresentada declaração técnica complementar emitida pelo fabricante, importador ou representante oficial autorizado, desde que identifique expressamente o modelo ofertado e a característica objeto da comprovação.</w:t>
      </w:r>
    </w:p>
    <w:p w14:paraId="51F45A3C" w14:textId="51A22AB0"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17.3.3. Não será aceita declaração genérica da própria licitante como substituta de documentação técnica do fabricante quando a informação se referir a característica construtiva, desempenho, motorização, capacidade, segurança, homologação ou outra condição técnica inerente ao equipamento.</w:t>
      </w:r>
    </w:p>
    <w:p w14:paraId="2636837E"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17.4. Será desclassificada a proposta cujo equipamento:</w:t>
      </w:r>
    </w:p>
    <w:p w14:paraId="145F4E7F" w14:textId="554C73C2"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a) apresente característica inferior à especificação mínima exigida;</w:t>
      </w:r>
    </w:p>
    <w:p w14:paraId="275309D2" w14:textId="7101C0CD"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b) apresente incompatibilidade técnica relevante com a finalidade pretendida;</w:t>
      </w:r>
    </w:p>
    <w:p w14:paraId="37AC9328" w14:textId="6B4E64D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c) divirja, quanto ao fabricante, marca, modelo ou configuração, da documentação apresentada;</w:t>
      </w:r>
    </w:p>
    <w:p w14:paraId="72964583" w14:textId="397E98F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d) não permita comprovação objetiva das características essenciais exigidas; ou</w:t>
      </w:r>
    </w:p>
    <w:p w14:paraId="09F5A695" w14:textId="48BE287F"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e) apresente documento técnico, certificado ou declaração incompatível com o equipamento efetivamente ofertado.</w:t>
      </w:r>
    </w:p>
    <w:p w14:paraId="30045C80" w14:textId="42246CE6"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17.4.1. A Administração poderá promover diligência destinada a esclarecer ou confirmar informações já constantes da proposta e dos documentos apresentados, inclusive mediante consulta ao fabricante, importador, representante, assistência técnica, SENATRAN, INMETRO, conselho profissional ou entidade emissora, sem permitir substituição posterior do fabricante, modelo ou configuração originalmente ofertados.</w:t>
      </w:r>
    </w:p>
    <w:p w14:paraId="43624084"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17.5. Em razão do maior porte, valor, complexidade mecânica, operacional, rodoviária e de segurança do Item 6, a licitante provisoriamente classificada em primeiro lugar deverá apresentar documentação técnica reforçada, suficiente à comprovação inequívoca do equipamento ofertado e de sua capacidade de atendimento às condições deste Termo de Referência, compreendendo:</w:t>
      </w:r>
    </w:p>
    <w:p w14:paraId="2B51D249" w14:textId="0A728874"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a) Catálogo Técnico Oficial do Equipamento, ficha técnica, prospecto, manual ou documento oficial equivalente, emitido pelo fabricante e correspondente ao modelo efetivamente ofertado, contendo sua identificação e as principais características técnicas;</w:t>
      </w:r>
    </w:p>
    <w:p w14:paraId="7CFCF52F" w14:textId="66E975E6"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b) Matriz ou Declaração de Conformidade Técnica, contendo a correlação entre cada requisito técnico exigido no Item 6 e a correspondente característica do equipamento ofertado, com indicação do documento, página, item ou referência utilizada para sua comprovação;</w:t>
      </w:r>
    </w:p>
    <w:p w14:paraId="0F5714E6" w14:textId="255CD565"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c) Declaração de Atendimento Integral às Especificações Técnicas, firmada pela licitante, vinculando-a às características declaradas e às obrigações previstas no Termo de Referência;</w:t>
      </w:r>
    </w:p>
    <w:p w14:paraId="1AC962BF" w14:textId="75733930"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d) quando necessária à comprovação de requisito não constante do material comercial padrão, Declaração Técnica Complementar do Fabricante ou Representante Oficial, identificando expressamente o equipamento, modelo e característica comprovada;</w:t>
      </w:r>
    </w:p>
    <w:p w14:paraId="3ADDECCA" w14:textId="6065DACD"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e) Laudo, Declaração ou Documento Técnico de Conformidade à NR-12, emitido pelo fabricante, responsável técnico ou entidade tecnicamente habilitada, demonstrando a conformidade do equipamento com os requisitos de segurança aplicáveis, especialmente quanto aos sistemas de alimentação, corte, transmissão, acionamento, parada, emergência e proteção do operador;</w:t>
      </w:r>
    </w:p>
    <w:p w14:paraId="6ED1CC15" w14:textId="3E87C7C2"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f) quando o documento referido na alínea anterior estiver sujeito à responsabilidade profissional, deverá estar acompanhado da respectiva Anotação de Responsabilidade Técnica – ART ou Termo de Responsabilidade Técnica – TRT, conforme o conselho e as atribuições do profissional responsável;</w:t>
      </w:r>
    </w:p>
    <w:p w14:paraId="018F4582" w14:textId="7A073CC8"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g) Certificado de Adequação à Legislação de Trânsito – CAT, emitido ou reconhecido no âmbito da Secretaria Nacional de Trânsito – SENATRAN, quando exigível para a configuração veicular ofertada;</w:t>
      </w:r>
    </w:p>
    <w:p w14:paraId="706A33B6" w14:textId="02B3C6A9"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h) Certificado de Capacitação Técnica – CCT, quando legalmente aplicável à configuração, fabricante ou implementador do equipamento veicular, emitido por instituição ou organismo tecnicamente habilitado nos termos da regulamentação pertinente;</w:t>
      </w:r>
    </w:p>
    <w:p w14:paraId="354EC2C2" w14:textId="45D8FA9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i) caso determinado documento veicular não seja legalmente exigível para a configuração ofertada, deverá ser apresentada declaração técnica fundamentada, acompanhada dos elementos necessários à comprovação da respectiva hipótese de dispensa;</w:t>
      </w:r>
    </w:p>
    <w:p w14:paraId="2992523D" w14:textId="301156DC"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j) Documentação Técnica Oficial do Motor Diesel, contendo, no mínimo, fabricante, modelo, potência, número de cilindros, combustível, sistema de arrefecimento e demais informações necessárias à conferência da motorização ofertada;</w:t>
      </w:r>
    </w:p>
    <w:p w14:paraId="6D69A5C1" w14:textId="243DF9A9"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k) Manual Técnico do Equipamento, contendo informações de operação, segurança, manutenção preventiva, regulagens, inspeções, componentes e peças de reposição;</w:t>
      </w:r>
    </w:p>
    <w:p w14:paraId="0908D4C7" w14:textId="789F83A9"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l) Manual Técnico do Motor Aplicado, emitido pelo fabricante do motor, contendo instruções de operação, manutenção, lubrificação, inspeções, ajustes e reposição de componentes;</w:t>
      </w:r>
    </w:p>
    <w:p w14:paraId="32D78CEB" w14:textId="1A8ADE3C" w:rsidR="0086534F" w:rsidRPr="0086534F" w:rsidRDefault="0086534F" w:rsidP="0086534F">
      <w:pPr>
        <w:spacing w:after="0" w:line="276" w:lineRule="auto"/>
        <w:jc w:val="both"/>
        <w:rPr>
          <w:rFonts w:ascii="Times" w:hAnsi="Times"/>
          <w:sz w:val="20"/>
          <w:szCs w:val="20"/>
        </w:rPr>
      </w:pPr>
      <w:r>
        <w:rPr>
          <w:rFonts w:ascii="Times" w:hAnsi="Times"/>
          <w:sz w:val="20"/>
          <w:szCs w:val="20"/>
        </w:rPr>
        <w:tab/>
        <w:t>m) Declaração de Manutenção da Estrutura de Assistência Técnica, firmada pela licitante, comprometendo-se a manter, durante todo o período de garantia, a estrutura de assistência técnica comprovada na habilitação ou outra de capacidade equivalente ou superior, observadas as condições do Capítulo 10, com comunicação prévia à Administração e comprovação do atendimento integral aos requisitos exigidos;</w:t>
      </w:r>
    </w:p>
    <w:p w14:paraId="0BE8FCF8" w14:textId="26A37AEA"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n) Declaração de Garantia Técnica, assegurando garantia mínima de 12 (doze) meses, sem limitação de horas de operação, abrangendo peças e serviços, observadas integralmente as condições do Capítulo 10;</w:t>
      </w:r>
    </w:p>
    <w:p w14:paraId="043D6108" w14:textId="68AF352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o) Declaração de Disponibilidade de Peças e Componentes do Equipamento, assegurando suporte e reposição de peças no mercado nacional pelo período mínimo de 10 (dez) anos, contado do recebimento definitivo;</w:t>
      </w:r>
    </w:p>
    <w:p w14:paraId="41C02674" w14:textId="24960FD4"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p) Declaração de Disponibilidade de Peças e Suporte do Motor Aplicado, emitida pelo fabricante do motor, importador, distribuidor ou representante autorizado, assegurando a disponibilidade de peças, componentes e suporte técnico no mercado nacional pelo período mínimo de 10 (dez) anos;</w:t>
      </w:r>
    </w:p>
    <w:p w14:paraId="039012FA" w14:textId="2BE9ED84"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q) Declaração de Entrega Técnica e Treinamento Operacional, assumindo o compromisso de realizar, sem custo adicional, a entrega assistida e o treinamento previstos neste Termo de Referência; e</w:t>
      </w:r>
    </w:p>
    <w:p w14:paraId="4934A456" w14:textId="40A7ABB9"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sz w:val="20"/>
          <w:szCs w:val="20"/>
        </w:rPr>
        <w:t>r) demais documentos, certificados ou autorizações cuja apresentação seja legalmente necessária em razão da configuração efetivamente ofertada.</w:t>
      </w:r>
    </w:p>
    <w:p w14:paraId="039154D5" w14:textId="1D746B36"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Pr>
          <w:rFonts w:ascii="Times" w:hAnsi="Times"/>
          <w:sz w:val="20"/>
          <w:szCs w:val="20"/>
        </w:rPr>
        <w:tab/>
      </w:r>
      <w:r w:rsidRPr="0086534F">
        <w:rPr>
          <w:rFonts w:ascii="Times" w:hAnsi="Times"/>
          <w:sz w:val="20"/>
          <w:szCs w:val="20"/>
        </w:rPr>
        <w:t>17.5.1. Todos os documentos apresentados deverão possuir correspondência objetiva com o fabricante, modelo e configuração ofertados, não sendo admitida a utilização de catálogo, certificado, laudo, CAT, CCT, manual ou declaração referente a equipamento diverso.</w:t>
      </w:r>
    </w:p>
    <w:p w14:paraId="79701DD5" w14:textId="715D9E6C"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Pr>
          <w:rFonts w:ascii="Times" w:hAnsi="Times"/>
          <w:sz w:val="20"/>
          <w:szCs w:val="20"/>
        </w:rPr>
        <w:tab/>
      </w:r>
      <w:r w:rsidRPr="0086534F">
        <w:rPr>
          <w:rFonts w:ascii="Times" w:hAnsi="Times"/>
          <w:sz w:val="20"/>
          <w:szCs w:val="20"/>
        </w:rPr>
        <w:t>17.5.2. A documentação técnica poderá ser complementada por diligência quando houver necessidade de esclarecer informação já existente, vedada a inclusão posterior de característica essencial que não integrava a proposta originalmente apresentada.</w:t>
      </w:r>
    </w:p>
    <w:p w14:paraId="5D3565E5" w14:textId="4852240B"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Pr>
          <w:rFonts w:ascii="Times" w:hAnsi="Times"/>
          <w:sz w:val="20"/>
          <w:szCs w:val="20"/>
        </w:rPr>
        <w:tab/>
      </w:r>
      <w:r w:rsidRPr="0086534F">
        <w:rPr>
          <w:rFonts w:ascii="Times" w:hAnsi="Times"/>
          <w:sz w:val="20"/>
          <w:szCs w:val="20"/>
        </w:rPr>
        <w:t>17.5.3. A constatação de falsidade, adulteração, incompatibilidade documental ou indicação de certificação ou característica inexistente implicará a adoção das medidas cabíveis na fase do procedimento em que for identificada, sem prejuízo da apuração de responsabilidade.</w:t>
      </w:r>
    </w:p>
    <w:p w14:paraId="6492E339"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17.6. Os documentos apresentados para análise e aceitação da proposta vincularão a futura contratada e integrarão as condições técnicas da contratação, ainda que não reproduzidos integralmente no instrumento contratual.</w:t>
      </w:r>
    </w:p>
    <w:p w14:paraId="46138443" w14:textId="77777777" w:rsidR="005D5789" w:rsidRPr="00330FDA" w:rsidRDefault="005D5789" w:rsidP="00920F82">
      <w:pPr>
        <w:spacing w:after="0" w:line="276" w:lineRule="auto"/>
        <w:jc w:val="both"/>
        <w:rPr>
          <w:rFonts w:ascii="Times" w:hAnsi="Times"/>
          <w:sz w:val="20"/>
          <w:szCs w:val="20"/>
        </w:rPr>
      </w:pPr>
    </w:p>
    <w:p w14:paraId="77F5413B" w14:textId="77777777" w:rsidR="009352F1" w:rsidRDefault="009E7B4F" w:rsidP="009352F1">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8</w:t>
      </w:r>
      <w:r w:rsidR="005D5789" w:rsidRPr="00330FDA">
        <w:rPr>
          <w:rFonts w:ascii="Times" w:hAnsi="Times"/>
          <w:b/>
          <w:sz w:val="20"/>
          <w:szCs w:val="20"/>
        </w:rPr>
        <w:t>.</w:t>
      </w:r>
      <w:r w:rsidRPr="00330FDA">
        <w:rPr>
          <w:rFonts w:ascii="Times" w:hAnsi="Times"/>
          <w:b/>
          <w:sz w:val="20"/>
          <w:szCs w:val="20"/>
        </w:rPr>
        <w:t xml:space="preserve"> CRITÉRIOS DE HABILITAÇÃO </w:t>
      </w:r>
      <w:r w:rsidR="007623FF" w:rsidRPr="00330FDA">
        <w:rPr>
          <w:rFonts w:ascii="Times" w:hAnsi="Times"/>
          <w:b/>
          <w:sz w:val="20"/>
          <w:szCs w:val="20"/>
        </w:rPr>
        <w:t>–</w:t>
      </w:r>
      <w:r w:rsidRPr="00330FDA">
        <w:rPr>
          <w:rFonts w:ascii="Times" w:hAnsi="Times"/>
          <w:b/>
          <w:sz w:val="20"/>
          <w:szCs w:val="20"/>
        </w:rPr>
        <w:t xml:space="preserve"> DOCUMENTAÇÃO</w:t>
      </w:r>
      <w:r w:rsidR="007623FF" w:rsidRPr="00330FDA">
        <w:rPr>
          <w:rFonts w:ascii="Times" w:hAnsi="Times"/>
          <w:b/>
          <w:sz w:val="20"/>
          <w:szCs w:val="20"/>
        </w:rPr>
        <w:t xml:space="preserve"> </w:t>
      </w:r>
      <w:r w:rsidRPr="00330FDA">
        <w:rPr>
          <w:rFonts w:ascii="Times" w:hAnsi="Times"/>
          <w:b/>
          <w:sz w:val="20"/>
          <w:szCs w:val="20"/>
        </w:rPr>
        <w:t>EXIGIDA</w:t>
      </w:r>
      <w:r w:rsidR="005D5789" w:rsidRPr="00330FDA">
        <w:rPr>
          <w:rFonts w:ascii="Times" w:hAnsi="Times"/>
          <w:b/>
          <w:sz w:val="20"/>
          <w:szCs w:val="20"/>
        </w:rPr>
        <w:t>:</w:t>
      </w:r>
    </w:p>
    <w:p w14:paraId="27FA451A" w14:textId="77777777" w:rsidR="009352F1" w:rsidRPr="009352F1" w:rsidRDefault="009352F1" w:rsidP="009352F1">
      <w:pPr>
        <w:spacing w:after="0" w:line="276" w:lineRule="auto"/>
        <w:jc w:val="both"/>
        <w:rPr>
          <w:rFonts w:ascii="Times" w:hAnsi="Times"/>
          <w:sz w:val="20"/>
          <w:szCs w:val="20"/>
        </w:rPr>
      </w:pPr>
      <w:r w:rsidRPr="009352F1">
        <w:rPr>
          <w:rFonts w:ascii="Times" w:hAnsi="Times"/>
          <w:sz w:val="20"/>
          <w:szCs w:val="20"/>
        </w:rPr>
        <w:t xml:space="preserve">18.1. Para fins de habilitação no procedimento licitatório, os licitantes deverão comprovar aptidão jurídica, regularidade fiscal, social e trabalhista, qualificação econômico-financeira e capacidade técnica compatíveis com o objeto da contratação, mediante apresentação dos documentos previstos neste Termo de Referência e no Edital, observados os </w:t>
      </w:r>
      <w:proofErr w:type="spellStart"/>
      <w:r w:rsidRPr="009352F1">
        <w:rPr>
          <w:rFonts w:ascii="Times" w:hAnsi="Times"/>
          <w:sz w:val="20"/>
          <w:szCs w:val="20"/>
        </w:rPr>
        <w:t>arts</w:t>
      </w:r>
      <w:proofErr w:type="spellEnd"/>
      <w:r w:rsidRPr="009352F1">
        <w:rPr>
          <w:rFonts w:ascii="Times" w:hAnsi="Times"/>
          <w:sz w:val="20"/>
          <w:szCs w:val="20"/>
        </w:rPr>
        <w:t>. 62 a 70 da Lei Federal nº 14.133/2021.</w:t>
      </w:r>
    </w:p>
    <w:p w14:paraId="2636ED74" w14:textId="6FD05FDB" w:rsidR="009352F1" w:rsidRPr="009352F1" w:rsidRDefault="009352F1" w:rsidP="009352F1">
      <w:pPr>
        <w:spacing w:after="0" w:line="276" w:lineRule="auto"/>
        <w:jc w:val="both"/>
        <w:rPr>
          <w:rFonts w:ascii="Times" w:hAnsi="Times"/>
          <w:sz w:val="20"/>
          <w:szCs w:val="20"/>
        </w:rPr>
      </w:pPr>
      <w:r w:rsidRPr="009352F1">
        <w:rPr>
          <w:rFonts w:ascii="Times" w:hAnsi="Times"/>
          <w:sz w:val="20"/>
          <w:szCs w:val="20"/>
        </w:rPr>
        <w:t>18.2. A habilitação será comprovada mediante a apresentação dos seguintes documentos:</w:t>
      </w:r>
    </w:p>
    <w:p w14:paraId="244052F5"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b/>
          <w:bCs/>
          <w:sz w:val="20"/>
          <w:szCs w:val="20"/>
        </w:rPr>
        <w:t>I – HABILITAÇÃO JURÍDICA:</w:t>
      </w:r>
    </w:p>
    <w:p w14:paraId="52BB5659"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a) tratando-se de empresário individual: inscrição no Registro Público de Empresas Mercantis, a cargo da Junta Comercial da respectiva sede;</w:t>
      </w:r>
    </w:p>
    <w:p w14:paraId="77EC69E6"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b) tratando-se de Microempreendedor Individual – MEI: Certificado da Condição de Microempreendedor Individual – CCMEI, cuja aceitação ficará condicionada à verificação de sua autenticidade e situação cadastral;</w:t>
      </w:r>
    </w:p>
    <w:p w14:paraId="43A78707"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c) tratando-se de sociedade empresária ou sociedade limitada unipessoal – SLU: ato constitutivo, estatuto ou contrato social em vigor, devidamente registrado na Junta Comercial da respectiva sede, acompanhado dos documentos comprobatórios de seus administradores, quando aplicável;</w:t>
      </w:r>
    </w:p>
    <w:p w14:paraId="0CF3F5BB"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d) tratando-se de sociedade simples: inscrição do ato constitutivo no Registro Civil das Pessoas Jurídicas da respectiva sede, acompanhada de documento comprobatório da indicação de seus administradores;</w:t>
      </w:r>
    </w:p>
    <w:p w14:paraId="0626C6C7"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e) tratando-se de filial, sucursal ou agência de sociedade empresária: inscrição do ato constitutivo da filial, sucursal ou agência no Registro Público de Empresas Mercantis onde opera, com averbação no registro da sede da matriz, quando aplicável;</w:t>
      </w:r>
    </w:p>
    <w:p w14:paraId="18A46A7B" w14:textId="2568850C"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f) tratando-se de sociedade empresária estrangeira autorizada a funcionar no País: ato de autorização para funcionamento no Brasil, acompanhado dos registros e demais documentos legalmente exigíveis;</w:t>
      </w:r>
      <w:r w:rsidR="00733E63">
        <w:rPr>
          <w:rFonts w:ascii="Times" w:hAnsi="Times"/>
          <w:sz w:val="20"/>
          <w:szCs w:val="20"/>
        </w:rPr>
        <w:t xml:space="preserve"> e</w:t>
      </w:r>
    </w:p>
    <w:p w14:paraId="5A757CCF" w14:textId="1106D8A7" w:rsidR="008104D3" w:rsidRDefault="008104D3" w:rsidP="009352F1">
      <w:pPr>
        <w:spacing w:after="0" w:line="276" w:lineRule="auto"/>
        <w:ind w:firstLine="709"/>
        <w:jc w:val="both"/>
        <w:rPr>
          <w:rFonts w:ascii="Times" w:hAnsi="Times"/>
          <w:sz w:val="20"/>
          <w:szCs w:val="20"/>
        </w:rPr>
      </w:pPr>
      <w:r w:rsidRPr="008104D3">
        <w:rPr>
          <w:rFonts w:ascii="Times" w:hAnsi="Times"/>
          <w:sz w:val="20"/>
          <w:szCs w:val="20"/>
        </w:rPr>
        <w:t>g) tratando-se de sociedade cooperativa: ata de fundação e estatuto social em vigor, acompanhados da ata da assembleia que os aprovou, devidamente arquivados na Junta Comercial ou inscritos no Registro Civil das Pessoas Jurídicas da respectiva sede, conforme o caso, documentos de eleição ou designação dos atuais administradores e comprovação do registro previsto no art. 107 da Lei Federal nº 5.764/1971</w:t>
      </w:r>
      <w:r w:rsidR="00733E63">
        <w:rPr>
          <w:rFonts w:ascii="Times" w:hAnsi="Times"/>
          <w:sz w:val="20"/>
          <w:szCs w:val="20"/>
        </w:rPr>
        <w:t>.</w:t>
      </w:r>
    </w:p>
    <w:p w14:paraId="4774C72E" w14:textId="5C192191" w:rsidR="008104D3" w:rsidRPr="008104D3" w:rsidRDefault="00733E63" w:rsidP="009352F1">
      <w:pPr>
        <w:spacing w:after="0" w:line="276" w:lineRule="auto"/>
        <w:ind w:firstLine="709"/>
        <w:jc w:val="both"/>
        <w:rPr>
          <w:rFonts w:ascii="Times" w:hAnsi="Times"/>
          <w:sz w:val="20"/>
          <w:szCs w:val="20"/>
        </w:rPr>
      </w:pPr>
      <w:r>
        <w:rPr>
          <w:rFonts w:ascii="Times" w:hAnsi="Times"/>
          <w:sz w:val="20"/>
          <w:szCs w:val="20"/>
        </w:rPr>
        <w:tab/>
      </w:r>
      <w:r w:rsidR="008104D3" w:rsidRPr="008104D3">
        <w:rPr>
          <w:rFonts w:ascii="Times" w:hAnsi="Times"/>
          <w:sz w:val="20"/>
          <w:szCs w:val="20"/>
        </w:rPr>
        <w:t>18.2.1. A participação de sociedade cooperativa ficará condicionada, além da apresentação da documentação correspondente à sua natureza jurídica, ao atendimento das disposições do art. 16 da Lei Federal nº 14.133/2021 e da legislação específica aplicável, naquilo que for pertinente à natureza da cooperativa e ao objeto da contratação.</w:t>
      </w:r>
    </w:p>
    <w:p w14:paraId="54770241" w14:textId="577C4D15" w:rsidR="000A5FF8" w:rsidRPr="00330FDA" w:rsidRDefault="009352F1" w:rsidP="000A5FF8">
      <w:pPr>
        <w:spacing w:after="0" w:line="276" w:lineRule="auto"/>
        <w:ind w:firstLine="709"/>
        <w:jc w:val="both"/>
        <w:rPr>
          <w:rFonts w:ascii="Times" w:hAnsi="Times"/>
          <w:b/>
          <w:bCs/>
          <w:sz w:val="20"/>
          <w:szCs w:val="20"/>
        </w:rPr>
      </w:pPr>
      <w:r>
        <w:rPr>
          <w:rFonts w:ascii="Times" w:hAnsi="Times"/>
          <w:b/>
          <w:bCs/>
          <w:sz w:val="20"/>
          <w:szCs w:val="20"/>
        </w:rPr>
        <w:t xml:space="preserve">II – </w:t>
      </w:r>
      <w:r w:rsidR="000A5FF8" w:rsidRPr="00330FDA">
        <w:rPr>
          <w:rFonts w:ascii="Times" w:hAnsi="Times"/>
          <w:b/>
          <w:bCs/>
          <w:sz w:val="20"/>
          <w:szCs w:val="20"/>
        </w:rPr>
        <w:t>REGULARIDADE FISCAL E SOCIAL:</w:t>
      </w:r>
    </w:p>
    <w:p w14:paraId="1D6CABBE"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a) prova de inscrição no Cadastro Nacional da Pessoa Jurídica – CNPJ;</w:t>
      </w:r>
    </w:p>
    <w:p w14:paraId="6D0566EC"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b) prova de inscrição no cadastro de contribuintes estadual e/ou municipal, se houver, relativo ao domicílio ou sede do licitante, pertinente ao seu ramo de atividade e compatível com o objeto da contratação;</w:t>
      </w:r>
    </w:p>
    <w:p w14:paraId="034A4FD8"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c) prova de regularidade relativa aos tributos federais e à Dívida Ativa da União, mediante apresentação de Certidão Negativa ou Certidão Positiva com Efeitos de Negativa, expedida conjuntamente pela Secretaria Especial da Receita Federal do Brasil – RFB e pela Procuradoria-Geral da Fazenda Nacional – PGFN;</w:t>
      </w:r>
    </w:p>
    <w:p w14:paraId="54E5B85B"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d) prova de regularidade perante a Fazenda Estadual do domicílio ou sede do licitante, mediante Certidão Negativa ou Certidão Positiva com Efeitos de Negativa;</w:t>
      </w:r>
    </w:p>
    <w:p w14:paraId="0BDE5F52"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e) prova de regularidade perante a Fazenda Municipal do domicílio ou sede do licitante, mediante Certidão Negativa ou Certidão Positiva com Efeitos de Negativa;</w:t>
      </w:r>
    </w:p>
    <w:p w14:paraId="6CFB7240"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f) Certificado de Regularidade do Fundo de Garantia do Tempo de Serviço – FGTS;</w:t>
      </w:r>
    </w:p>
    <w:p w14:paraId="055AFA90" w14:textId="77777777" w:rsidR="009352F1" w:rsidRPr="008104D3" w:rsidRDefault="009352F1" w:rsidP="009352F1">
      <w:pPr>
        <w:spacing w:after="0" w:line="276" w:lineRule="auto"/>
        <w:ind w:firstLine="709"/>
        <w:jc w:val="both"/>
        <w:rPr>
          <w:rFonts w:ascii="Times" w:hAnsi="Times"/>
          <w:sz w:val="20"/>
          <w:szCs w:val="20"/>
        </w:rPr>
      </w:pPr>
      <w:r w:rsidRPr="008104D3">
        <w:rPr>
          <w:rFonts w:ascii="Times" w:hAnsi="Times"/>
          <w:sz w:val="20"/>
          <w:szCs w:val="20"/>
        </w:rPr>
        <w:t>g) prova de inexistência de débitos inadimplidos perante a Justiça do Trabalho, mediante apresentação de Certidão Negativa de Débitos Trabalhistas – CNDT ou Certidão Positiva com Efeitos de Negativa, expedida pela Justiça do Trabalho;</w:t>
      </w:r>
    </w:p>
    <w:p w14:paraId="44D719D3" w14:textId="3D7EF53D" w:rsidR="000A5FF8" w:rsidRPr="00330FDA" w:rsidRDefault="009352F1" w:rsidP="000A5FF8">
      <w:pPr>
        <w:spacing w:after="0" w:line="276" w:lineRule="auto"/>
        <w:ind w:firstLine="709"/>
        <w:jc w:val="both"/>
        <w:rPr>
          <w:rFonts w:ascii="Times" w:hAnsi="Times"/>
          <w:b/>
          <w:bCs/>
          <w:sz w:val="20"/>
          <w:szCs w:val="20"/>
        </w:rPr>
      </w:pPr>
      <w:r>
        <w:rPr>
          <w:rFonts w:ascii="Times" w:hAnsi="Times"/>
          <w:b/>
          <w:bCs/>
          <w:sz w:val="20"/>
          <w:szCs w:val="20"/>
        </w:rPr>
        <w:t>III –</w:t>
      </w:r>
      <w:r w:rsidR="000A5FF8" w:rsidRPr="00330FDA">
        <w:rPr>
          <w:rFonts w:ascii="Times" w:hAnsi="Times"/>
          <w:b/>
          <w:bCs/>
          <w:sz w:val="20"/>
          <w:szCs w:val="20"/>
        </w:rPr>
        <w:t xml:space="preserve"> REGULARIDADE TRABALHISTA E SOCIAL:</w:t>
      </w:r>
    </w:p>
    <w:p w14:paraId="1C097541" w14:textId="77777777" w:rsidR="008104D3" w:rsidRPr="008104D3" w:rsidRDefault="008104D3" w:rsidP="000A5FF8">
      <w:pPr>
        <w:spacing w:after="0" w:line="276" w:lineRule="auto"/>
        <w:ind w:firstLine="709"/>
        <w:jc w:val="both"/>
        <w:rPr>
          <w:rFonts w:ascii="Times" w:hAnsi="Times"/>
          <w:sz w:val="20"/>
          <w:szCs w:val="20"/>
        </w:rPr>
      </w:pPr>
      <w:r w:rsidRPr="008104D3">
        <w:rPr>
          <w:rFonts w:ascii="Times" w:hAnsi="Times"/>
          <w:sz w:val="20"/>
          <w:szCs w:val="20"/>
        </w:rPr>
        <w:t>a) Declaração firmada pelo representante legal da licitante de que não emprega menor de 18 (dezoito) anos em trabalho noturno, perigoso ou insalubre, nem menor de 16 (dezesseis) anos em qualquer trabalho, salvo na condição de aprendiz, a partir dos 14 (quatorze) anos, em atendimento ao disposto no art. 7º, inciso XXXIII, da Constituição Federal e no art. 68, inciso VI, da Lei nº 14.133/2021.</w:t>
      </w:r>
    </w:p>
    <w:p w14:paraId="12E99985" w14:textId="7D4004EA" w:rsidR="000A5FF8" w:rsidRPr="00330FDA" w:rsidRDefault="009352F1" w:rsidP="000A5FF8">
      <w:pPr>
        <w:spacing w:after="0" w:line="276" w:lineRule="auto"/>
        <w:ind w:firstLine="709"/>
        <w:jc w:val="both"/>
        <w:rPr>
          <w:rFonts w:ascii="Times" w:hAnsi="Times"/>
          <w:b/>
          <w:bCs/>
          <w:sz w:val="20"/>
          <w:szCs w:val="20"/>
        </w:rPr>
      </w:pPr>
      <w:r>
        <w:rPr>
          <w:rFonts w:ascii="Times" w:hAnsi="Times"/>
          <w:b/>
          <w:bCs/>
          <w:sz w:val="20"/>
          <w:szCs w:val="20"/>
        </w:rPr>
        <w:t>IV –</w:t>
      </w:r>
      <w:r w:rsidR="000A5FF8" w:rsidRPr="00330FDA">
        <w:rPr>
          <w:rFonts w:ascii="Times" w:hAnsi="Times"/>
          <w:b/>
          <w:bCs/>
          <w:sz w:val="20"/>
          <w:szCs w:val="20"/>
        </w:rPr>
        <w:t xml:space="preserve"> QUALIFICAÇÃO ECONÔMICO-FINANCEIRA:</w:t>
      </w:r>
    </w:p>
    <w:p w14:paraId="2B2EE71F" w14:textId="77777777" w:rsidR="009352F1" w:rsidRPr="009352F1" w:rsidRDefault="009352F1" w:rsidP="009352F1">
      <w:pPr>
        <w:spacing w:after="0" w:line="276" w:lineRule="auto"/>
        <w:ind w:firstLine="709"/>
        <w:jc w:val="both"/>
        <w:rPr>
          <w:rFonts w:ascii="Times" w:hAnsi="Times"/>
          <w:sz w:val="20"/>
          <w:szCs w:val="20"/>
        </w:rPr>
      </w:pPr>
      <w:r w:rsidRPr="009352F1">
        <w:rPr>
          <w:rFonts w:ascii="Times" w:hAnsi="Times"/>
          <w:sz w:val="20"/>
          <w:szCs w:val="20"/>
        </w:rPr>
        <w:t>a) certidão negativa em matéria falimentar, concordatária, de recuperação judicial e extrajudicial, expedida pelo distribuidor da sede da pessoa jurídica, dentro do prazo de validade nela estabelecido ou, quando o documento não estabelecer prazo próprio, emitida há, no máximo, 90 (noventa) dias da data prevista para sua apresentação;</w:t>
      </w:r>
    </w:p>
    <w:p w14:paraId="118B0DC7" w14:textId="77777777" w:rsidR="0086534F" w:rsidRDefault="00733E63" w:rsidP="0086534F">
      <w:pPr>
        <w:spacing w:after="0" w:line="276" w:lineRule="auto"/>
        <w:ind w:firstLine="709"/>
        <w:jc w:val="both"/>
        <w:rPr>
          <w:rFonts w:ascii="Times" w:hAnsi="Times"/>
          <w:sz w:val="20"/>
          <w:szCs w:val="20"/>
        </w:rPr>
      </w:pPr>
      <w:r>
        <w:rPr>
          <w:rFonts w:ascii="Times" w:hAnsi="Times"/>
          <w:sz w:val="20"/>
          <w:szCs w:val="20"/>
        </w:rPr>
        <w:tab/>
        <w:t>a.1</w:t>
      </w:r>
      <w:r w:rsidR="009352F1" w:rsidRPr="009352F1">
        <w:rPr>
          <w:rFonts w:ascii="Times" w:hAnsi="Times"/>
          <w:sz w:val="20"/>
          <w:szCs w:val="20"/>
        </w:rPr>
        <w:t>) a existência de registro de recuperação judicial ou extrajudicial não acarretará, por si só, a inabilitação automática do licitante, devendo a Administração, quando necessário, promover diligência para verificar a situação concreta da empresa, a existência e regularidade do respectivo plano e sua capacidade para assumir e executar as obrigações decorrentes da contratação.</w:t>
      </w:r>
    </w:p>
    <w:p w14:paraId="15666A1C" w14:textId="6C0832A0" w:rsidR="0086534F" w:rsidRPr="0086534F" w:rsidRDefault="0086534F" w:rsidP="0086534F">
      <w:pPr>
        <w:spacing w:after="0" w:line="276" w:lineRule="auto"/>
        <w:ind w:firstLine="709"/>
        <w:jc w:val="both"/>
        <w:rPr>
          <w:rFonts w:ascii="Times" w:hAnsi="Times"/>
          <w:sz w:val="20"/>
          <w:szCs w:val="20"/>
        </w:rPr>
      </w:pPr>
      <w:r w:rsidRPr="0086534F">
        <w:rPr>
          <w:rFonts w:ascii="Times" w:hAnsi="Times"/>
          <w:b/>
          <w:bCs/>
          <w:sz w:val="20"/>
          <w:szCs w:val="20"/>
        </w:rPr>
        <w:t>V – QUALIFICAÇÃO TÉCNICO-OPERACIONAL – APLICÁVEL A TODOS OS ITENS:</w:t>
      </w:r>
    </w:p>
    <w:p w14:paraId="150179A2" w14:textId="3F5517FD" w:rsidR="0086534F" w:rsidRPr="0086534F" w:rsidRDefault="0086534F" w:rsidP="0086534F">
      <w:pPr>
        <w:spacing w:after="0" w:line="276" w:lineRule="auto"/>
        <w:jc w:val="both"/>
        <w:rPr>
          <w:rFonts w:ascii="Times" w:hAnsi="Times"/>
          <w:sz w:val="20"/>
          <w:szCs w:val="20"/>
        </w:rPr>
      </w:pPr>
      <w:r>
        <w:rPr>
          <w:rFonts w:ascii="Times" w:hAnsi="Times"/>
          <w:b/>
          <w:bCs/>
          <w:sz w:val="20"/>
          <w:szCs w:val="20"/>
        </w:rPr>
        <w:tab/>
      </w:r>
      <w:r w:rsidRPr="0086534F">
        <w:rPr>
          <w:rFonts w:ascii="Times" w:hAnsi="Times"/>
          <w:sz w:val="20"/>
          <w:szCs w:val="20"/>
        </w:rPr>
        <w:t>a) apresentação de, no mínimo, 01 (um) Atestado de Capacidade Técnica, emitido por pessoa jurídica de direito público ou privado, que comprove fornecimento anterior satisfatório de equipamento ou bem de natureza compatível com o item para o qual a licitante apresentar proposta;</w:t>
      </w:r>
    </w:p>
    <w:p w14:paraId="199146C9"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a.1) o atestado deverá identificar, no mínimo, a pessoa jurídica emitente, a empresa atestada, o objeto fornecido e elementos suficientes para demonstrar a execução satisfatória da obrigação;</w:t>
      </w:r>
    </w:p>
    <w:p w14:paraId="14E6C5F5"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a.2) quando a licitante apresentar proposta para mais de um item, a comprovação deverá abranger os respectivos equipamentos, admitindo-se que um único atestado comprove fornecimentos relativos a mais de um item;</w:t>
      </w:r>
    </w:p>
    <w:p w14:paraId="5AF9EC18"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a.3) para os Itens 1 a 5, será suficiente a comprovação de fornecimento anterior de equipamento da mesma natureza, não sendo exigida identidade de marca, modelo, potência, cilindrada, capacidade ou demais características específicas; e</w:t>
      </w:r>
    </w:p>
    <w:p w14:paraId="2161BA6B" w14:textId="77777777" w:rsid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a.4) a Administração poderá promover diligência para confirmar a autenticidade, extensão e efetiva execução dos fornecimentos declarados, inclusive mediante consulta ao emitente e solicitação de contratos, notas fiscais, ordens de fornecimento, termos de recebimento ou documentos equivalentes.</w:t>
      </w:r>
    </w:p>
    <w:p w14:paraId="3EBFF51F" w14:textId="3D397011"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b/>
          <w:bCs/>
          <w:sz w:val="20"/>
          <w:szCs w:val="20"/>
        </w:rPr>
        <w:t>VI – QUALIFICAÇÃO TÉCNICO-OPERACIONAL ESPECÍFICA – EXCLUSIVAMENTE PARA O ITEM 6:</w:t>
      </w:r>
    </w:p>
    <w:p w14:paraId="652B7CBA" w14:textId="59014695"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a) apresentação de Atestado de Capacidade Técnica específico, comprovando que a licitante realizou satisfatoriamente fornecimento anterior de picador e/ou triturador de galhos, troncos ou resíduos vegetais com motorização própria e sistema mecanizado de alimentação e corte, ou de equipamento cuja complexidade técnico-operacional seja comprovadamente equivalente;</w:t>
      </w:r>
    </w:p>
    <w:p w14:paraId="505CDCF0" w14:textId="20FDA869"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b) o equipamento objeto da experiência anterior deverá apresentar, no mínimo, características suficientes para demonstrar experiência com:</w:t>
      </w:r>
    </w:p>
    <w:p w14:paraId="1594B636" w14:textId="30CAC472"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 xml:space="preserve">I – </w:t>
      </w:r>
      <w:proofErr w:type="gramStart"/>
      <w:r w:rsidRPr="0086534F">
        <w:rPr>
          <w:rFonts w:ascii="Times" w:hAnsi="Times"/>
          <w:sz w:val="20"/>
          <w:szCs w:val="20"/>
        </w:rPr>
        <w:t>motorização</w:t>
      </w:r>
      <w:proofErr w:type="gramEnd"/>
      <w:r w:rsidRPr="0086534F">
        <w:rPr>
          <w:rFonts w:ascii="Times" w:hAnsi="Times"/>
          <w:sz w:val="20"/>
          <w:szCs w:val="20"/>
        </w:rPr>
        <w:t xml:space="preserve"> própria;</w:t>
      </w:r>
    </w:p>
    <w:p w14:paraId="051EF2FD" w14:textId="39E46E09"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 xml:space="preserve">II – </w:t>
      </w:r>
      <w:proofErr w:type="gramStart"/>
      <w:r w:rsidRPr="0086534F">
        <w:rPr>
          <w:rFonts w:ascii="Times" w:hAnsi="Times"/>
          <w:sz w:val="20"/>
          <w:szCs w:val="20"/>
        </w:rPr>
        <w:t>alimentação</w:t>
      </w:r>
      <w:proofErr w:type="gramEnd"/>
      <w:r w:rsidRPr="0086534F">
        <w:rPr>
          <w:rFonts w:ascii="Times" w:hAnsi="Times"/>
          <w:sz w:val="20"/>
          <w:szCs w:val="20"/>
        </w:rPr>
        <w:t xml:space="preserve"> mecanizada;</w:t>
      </w:r>
    </w:p>
    <w:p w14:paraId="0F5C7E53" w14:textId="20500BE1"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III – sistema próprio de corte ou trituração de galhos e/ou troncos; e</w:t>
      </w:r>
    </w:p>
    <w:p w14:paraId="6A66E248" w14:textId="36A6A57B"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 xml:space="preserve">IV – </w:t>
      </w:r>
      <w:proofErr w:type="gramStart"/>
      <w:r w:rsidRPr="0086534F">
        <w:rPr>
          <w:rFonts w:ascii="Times" w:hAnsi="Times"/>
          <w:sz w:val="20"/>
          <w:szCs w:val="20"/>
        </w:rPr>
        <w:t>configuração</w:t>
      </w:r>
      <w:proofErr w:type="gramEnd"/>
      <w:r w:rsidRPr="0086534F">
        <w:rPr>
          <w:rFonts w:ascii="Times" w:hAnsi="Times"/>
          <w:sz w:val="20"/>
          <w:szCs w:val="20"/>
        </w:rPr>
        <w:t xml:space="preserve"> móvel, rebocável ou outra solução de complexidade técnico-operacional equivalente;</w:t>
      </w:r>
    </w:p>
    <w:p w14:paraId="0803E3D6" w14:textId="32274104"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c) não será exigida identidade de marca, modelo, potência, capacidade máxima de corte, dimensões, rotor, tambor, sistema específico de facas ou demais características construtivas idênticas às previstas neste Termo de Referência;</w:t>
      </w:r>
    </w:p>
    <w:p w14:paraId="18485000" w14:textId="26F60E6C"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d) o atestado deverá conter informações suficientes à identificação do fornecimento executado, incluindo, sempre que disponíveis, descrição do equipamento, fabricante ou modelo, data ou período do fornecimento e identificação do contratante;</w:t>
      </w:r>
    </w:p>
    <w:p w14:paraId="2931DFE0" w14:textId="4894022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e) quando as características de complexidade não estiverem descritas diretamente no atestado, poderão ser comprovadas por contrato, nota fiscal, ordem de fornecimento, termo de recebimento, catálogo correspondente ao equipamento anteriormente fornecido ou diligência junto ao emitente;</w:t>
      </w:r>
    </w:p>
    <w:p w14:paraId="79665FF9" w14:textId="71235F7E"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f) não serão aceitos atestados genéricos que se limitem a mencionar “máquinas”, “equipamentos”, “implementos” ou expressão equivalente sem elementos suficientes à comprovação objetiva da experiência exigida;</w:t>
      </w:r>
    </w:p>
    <w:p w14:paraId="677CDE39" w14:textId="5A3271DD"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g) poderão ser apresentados um ou mais atestados para comprovação da experiência, desde que, em conjunto, permitam aferir a capacidade técnico-operacional exigida; e</w:t>
      </w:r>
    </w:p>
    <w:p w14:paraId="3C6619D5" w14:textId="5C4723B2"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h) a Administração poderá promover diligência junto à pessoa jurídica emitente para confirmar a autenticidade e o conteúdo do atestado.</w:t>
      </w:r>
    </w:p>
    <w:p w14:paraId="4DB69C5F" w14:textId="77777777" w:rsidR="0086534F" w:rsidRDefault="0086534F" w:rsidP="0086534F">
      <w:pPr>
        <w:spacing w:after="0" w:line="276" w:lineRule="auto"/>
        <w:jc w:val="both"/>
        <w:rPr>
          <w:rFonts w:ascii="Times" w:hAnsi="Times"/>
          <w:b/>
          <w:bCs/>
          <w:sz w:val="20"/>
          <w:szCs w:val="20"/>
        </w:rPr>
      </w:pPr>
      <w:r>
        <w:rPr>
          <w:rFonts w:ascii="Times" w:hAnsi="Times"/>
          <w:b/>
          <w:bCs/>
          <w:sz w:val="20"/>
          <w:szCs w:val="20"/>
        </w:rPr>
        <w:tab/>
      </w:r>
      <w:r w:rsidRPr="0086534F">
        <w:rPr>
          <w:rFonts w:ascii="Times" w:hAnsi="Times"/>
          <w:b/>
          <w:bCs/>
          <w:sz w:val="20"/>
          <w:szCs w:val="20"/>
        </w:rPr>
        <w:t>VII – REGULARIDADE PERANTE CONSELHO PROFISSIONAL E RESPONSABILIDADE TÉCNICA – EXCLUSIVAMENTE PARA O ITEM 6:</w:t>
      </w:r>
    </w:p>
    <w:p w14:paraId="124C927E" w14:textId="7199D574" w:rsidR="0086534F" w:rsidRPr="0086534F" w:rsidRDefault="0086534F" w:rsidP="0086534F">
      <w:pPr>
        <w:spacing w:after="0" w:line="276" w:lineRule="auto"/>
        <w:jc w:val="both"/>
        <w:rPr>
          <w:rFonts w:ascii="Times" w:hAnsi="Times"/>
          <w:sz w:val="20"/>
          <w:szCs w:val="20"/>
        </w:rPr>
      </w:pPr>
      <w:r>
        <w:rPr>
          <w:rFonts w:ascii="Times" w:hAnsi="Times"/>
          <w:b/>
          <w:bCs/>
          <w:sz w:val="20"/>
          <w:szCs w:val="20"/>
        </w:rPr>
        <w:tab/>
      </w:r>
      <w:r w:rsidRPr="0086534F">
        <w:rPr>
          <w:rFonts w:ascii="Times" w:hAnsi="Times"/>
          <w:sz w:val="20"/>
          <w:szCs w:val="20"/>
        </w:rPr>
        <w:t>a) quando a licitante executar diretamente atividade técnica sujeita à fiscalização profissional, deverá apresentar Certidão de Registro e Regularidade da Pessoa Jurídica perante o CREA ou CRT, conforme a natureza da atividade e o conselho profissional competente;</w:t>
      </w:r>
    </w:p>
    <w:p w14:paraId="1E9CB9B4" w14:textId="359EC764"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b) quando a atividade sujeita à responsabilidade técnica for executada por fabricante, assistência técnica, empresa especializada ou terceiro formalmente vinculado à licitante, a documentação poderá ser apresentada em nome da pessoa jurídica efetivamente responsável pela atividade, desde que comprovado o respectivo vínculo ou compromisso de atuação na contratação;</w:t>
      </w:r>
    </w:p>
    <w:p w14:paraId="7D8CDE44" w14:textId="275411BC"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c) deverá ser identificado o Responsável Técnico pelas atividades regulamentadas, com comprovação de seu registro regular no conselho competente e de atribuições profissionais compatíveis;</w:t>
      </w:r>
    </w:p>
    <w:p w14:paraId="2037D988" w14:textId="5F391AEF"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d) quando a experiência técnica anteriormente executada estiver legalmente sujeita a responsabilidade profissional, poderá ser exigida a correspondente ART ou TRT vinculada à atividade comprovada;</w:t>
      </w:r>
    </w:p>
    <w:p w14:paraId="19A0EF94" w14:textId="2CCB2129"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e) a ART ou TRT relativa às atividades técnicas da presente contratação deverá ser emitida e apresentada antes da execução da atividade correspondente, quando legalmente exigível;</w:t>
      </w:r>
    </w:p>
    <w:p w14:paraId="4E13CAF2" w14:textId="07C3EFAD"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f) não será aceita ART ou TRT genérica, sem identificação da atividade, do profissional responsável ou sem relação objetiva com a obrigação executada; e</w:t>
      </w:r>
    </w:p>
    <w:p w14:paraId="6942370A" w14:textId="77777777" w:rsidR="0086534F" w:rsidRDefault="0086534F" w:rsidP="0086534F">
      <w:pPr>
        <w:spacing w:after="0" w:line="276" w:lineRule="auto"/>
        <w:jc w:val="both"/>
        <w:rPr>
          <w:rFonts w:ascii="Times" w:hAnsi="Times"/>
          <w:sz w:val="20"/>
          <w:szCs w:val="20"/>
        </w:rPr>
      </w:pPr>
      <w:r w:rsidRPr="0086534F">
        <w:rPr>
          <w:rFonts w:ascii="Times" w:hAnsi="Times"/>
          <w:sz w:val="20"/>
          <w:szCs w:val="20"/>
        </w:rPr>
        <w:tab/>
        <w:t>g) as exigências deste inciso não alcançarão atividades de simples comercialização ou fornecimento quando estas não estiverem submetidas, pela legislação profissional, a registro ou responsabilidade perante CREA ou CRT.</w:t>
      </w:r>
    </w:p>
    <w:p w14:paraId="64F82C6C" w14:textId="2C46579F" w:rsidR="0086534F" w:rsidRPr="0086534F" w:rsidRDefault="0086534F" w:rsidP="0086534F">
      <w:pPr>
        <w:spacing w:after="0" w:line="276" w:lineRule="auto"/>
        <w:jc w:val="both"/>
        <w:rPr>
          <w:rFonts w:ascii="Times" w:hAnsi="Times"/>
          <w:sz w:val="20"/>
          <w:szCs w:val="20"/>
        </w:rPr>
      </w:pPr>
      <w:r>
        <w:rPr>
          <w:rFonts w:ascii="Times" w:hAnsi="Times"/>
          <w:sz w:val="20"/>
          <w:szCs w:val="20"/>
        </w:rPr>
        <w:tab/>
      </w:r>
      <w:r w:rsidRPr="0086534F">
        <w:rPr>
          <w:rFonts w:ascii="Times" w:hAnsi="Times"/>
          <w:b/>
          <w:bCs/>
          <w:sz w:val="20"/>
          <w:szCs w:val="20"/>
        </w:rPr>
        <w:t>VIII – COMPROVAÇÃO DE CAPACIDADE DE ASSISTÊNCIA TÉCNICA E SUPORTE PÓS-VENDA – EXCLUSIVAMENTE PARA O ITEM 6:</w:t>
      </w:r>
    </w:p>
    <w:p w14:paraId="1FCD1E40" w14:textId="219C3233"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a) apresentação de documento que identifique a unidade ou rede de assistência técnica responsável pelo equipamento ofertado;</w:t>
      </w:r>
    </w:p>
    <w:p w14:paraId="1B0E5020" w14:textId="003E944A"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b) indicação da razão social, CNPJ, endereço, telefone e endereço eletrônico da unidade responsável;</w:t>
      </w:r>
    </w:p>
    <w:p w14:paraId="0F248B0F" w14:textId="7BCB927A"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c) comprovação do vínculo da unidade com o fabricante, importador, distribuidor ou rede autorizada, por certificado, declaração, contrato ou documento equivalente;</w:t>
      </w:r>
    </w:p>
    <w:p w14:paraId="07F7711B" w14:textId="4BBF49FB"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d) comprovação da disponibilidade de estrutura técnica apta à manutenção do equipamento, admitidas instalações próprias, locadas, contratadas ou integrantes da rede autorizada;</w:t>
      </w:r>
    </w:p>
    <w:p w14:paraId="3ABAC431" w14:textId="04860D8F"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e) indicação da equipe técnica disponível para os atendimentos, com comprovação de qualificação profissional quando a atividade assim exigir;</w:t>
      </w:r>
    </w:p>
    <w:p w14:paraId="2A056C29" w14:textId="31C328FA"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f) comprovação ou declaração formal de disponibilidade dos meios necessários ao diagnóstico, manutenção, retirada, transporte e devolução do equipamento;</w:t>
      </w:r>
    </w:p>
    <w:p w14:paraId="2D132B00" w14:textId="2707C3FB"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g) comprovação da existência de acesso regular à cadeia de fornecimento de peças, componentes, filtros, elementos de desgaste e demais itens necessários à manutenção;</w:t>
      </w:r>
    </w:p>
    <w:p w14:paraId="53656B20" w14:textId="6FF640C2"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h) apresentação de pelo menos 01 (um) Atestado de Capacidade Técnica de Assistência e Suporte, emitido por pessoa jurídica de direito público ou privado, comprovando experiência satisfatória da assistência indicada, da própria licitante ou da rede autorizada na manutenção de máquinas ou equipamentos de porte e complexidade compatíveis;</w:t>
      </w:r>
    </w:p>
    <w:p w14:paraId="74CB9971" w14:textId="78AB82DC"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h.1) o atestado referido na alínea anterior deverá demonstrar prestação efetiva de assistência técnica, manutenção ou suporte, não sendo necessária identidade de marca ou modelo do equipamento;</w:t>
      </w:r>
    </w:p>
    <w:p w14:paraId="41CA76B1" w14:textId="4C8F4A61"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i) quando legalmente exigível ao funcionamento da unidade de assistência, deverá ser apresentada documentação cadastral, licença, alvará ou documento equivalente; e</w:t>
      </w:r>
    </w:p>
    <w:p w14:paraId="0F383AD9" w14:textId="2A2D947F"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j) a Administração poderá realizar diligência para verificar a existência, regularidade e capacidade operacional da estrutura informada.</w:t>
      </w:r>
    </w:p>
    <w:p w14:paraId="7B364270" w14:textId="5D2C882D"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r>
      <w:r w:rsidRPr="0086534F">
        <w:rPr>
          <w:rFonts w:ascii="Times" w:hAnsi="Times"/>
          <w:sz w:val="20"/>
          <w:szCs w:val="20"/>
        </w:rPr>
        <w:tab/>
        <w:t>18.2.1. Para os fins do inciso VIII, não será exigido que imóveis, oficinas, frota, ferramentas ou demais estruturas sejam de propriedade da licitante, admitindo-se estrutura própria, locada, contratada ou integrante de rede autorizada, desde que sua efetiva disponibilidade seja comprovada.</w:t>
      </w:r>
    </w:p>
    <w:p w14:paraId="6B9FB7F3" w14:textId="10711DA3" w:rsidR="0086534F" w:rsidRPr="0086534F" w:rsidRDefault="0086534F" w:rsidP="0086534F">
      <w:pPr>
        <w:spacing w:after="0" w:line="276" w:lineRule="auto"/>
        <w:jc w:val="both"/>
        <w:rPr>
          <w:rFonts w:ascii="Times" w:hAnsi="Times"/>
          <w:b/>
          <w:bCs/>
          <w:sz w:val="20"/>
          <w:szCs w:val="20"/>
        </w:rPr>
      </w:pPr>
      <w:r>
        <w:rPr>
          <w:rFonts w:ascii="Times" w:hAnsi="Times"/>
          <w:b/>
          <w:bCs/>
          <w:sz w:val="20"/>
          <w:szCs w:val="20"/>
        </w:rPr>
        <w:tab/>
      </w:r>
      <w:r w:rsidRPr="0086534F">
        <w:rPr>
          <w:rFonts w:ascii="Times" w:hAnsi="Times"/>
          <w:b/>
          <w:bCs/>
          <w:sz w:val="20"/>
          <w:szCs w:val="20"/>
        </w:rPr>
        <w:t>IX – COMPATIBILIDADE DA ATIVIDADE EMPRESARIAL – EXCLUSIVAMENTE PARA O ITEM 6:</w:t>
      </w:r>
    </w:p>
    <w:p w14:paraId="6960C974" w14:textId="5E8AB048" w:rsidR="0086534F" w:rsidRPr="0086534F" w:rsidRDefault="0086534F" w:rsidP="0086534F">
      <w:pPr>
        <w:spacing w:after="0" w:line="276" w:lineRule="auto"/>
        <w:jc w:val="both"/>
        <w:rPr>
          <w:rFonts w:ascii="Times" w:hAnsi="Times"/>
          <w:sz w:val="20"/>
          <w:szCs w:val="20"/>
        </w:rPr>
      </w:pPr>
      <w:r>
        <w:rPr>
          <w:rFonts w:ascii="Times" w:hAnsi="Times"/>
          <w:b/>
          <w:bCs/>
          <w:sz w:val="20"/>
          <w:szCs w:val="20"/>
        </w:rPr>
        <w:tab/>
      </w:r>
      <w:r w:rsidRPr="0086534F">
        <w:rPr>
          <w:rFonts w:ascii="Times" w:hAnsi="Times"/>
          <w:sz w:val="20"/>
          <w:szCs w:val="20"/>
        </w:rPr>
        <w:t>a) a licitante deverá possuir objeto social e atividade empresarial compatíveis com a comercialização, distribuição, representação ou fornecimento de máquinas, equipamentos ou implementos da natureza do objeto;</w:t>
      </w:r>
    </w:p>
    <w:p w14:paraId="411D61CC" w14:textId="0999B198"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b) a compatibilidade será verificada mediante análise conjunta do ato constitutivo, CNPJ e cadastro de atividades econômicas;</w:t>
      </w:r>
    </w:p>
    <w:p w14:paraId="1F3DB637" w14:textId="683EDC39"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ab/>
        <w:t>c) não será exigido CNAE único ou específico quando a documentação societária e cadastral demonstrar materialmente a compatibilidade da atividade empresarial com o objeto; e</w:t>
      </w:r>
    </w:p>
    <w:p w14:paraId="1D840D10" w14:textId="2FE4D2F3" w:rsidR="0086534F" w:rsidRDefault="0086534F" w:rsidP="0086534F">
      <w:pPr>
        <w:spacing w:after="0" w:line="276" w:lineRule="auto"/>
        <w:jc w:val="both"/>
        <w:rPr>
          <w:rFonts w:ascii="Times" w:hAnsi="Times"/>
          <w:sz w:val="20"/>
          <w:szCs w:val="20"/>
        </w:rPr>
      </w:pPr>
      <w:r w:rsidRPr="0086534F">
        <w:rPr>
          <w:rFonts w:ascii="Times" w:hAnsi="Times"/>
          <w:sz w:val="20"/>
          <w:szCs w:val="20"/>
        </w:rPr>
        <w:tab/>
        <w:t>d) caso a licitante exerça diretamente atividade de fabricação, implementação, transformação ou modificação veicular, deverá possuir os registros e autorizações legalmente exigíveis para a atividade efetivamente desempenhada.</w:t>
      </w:r>
    </w:p>
    <w:p w14:paraId="64D77ECB" w14:textId="5380C525"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18.3. Os documentos de qualificação técnica destinam-se à comprovação da capacidade da licitante e não se confundem com os documentos destinados à comprovação das características do produto ofertado.</w:t>
      </w:r>
    </w:p>
    <w:p w14:paraId="3A281EC4"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18.4. Catálogos, fichas técnicas, manuais, documentação da NR-12, CAT, CCT, documentação técnica do motor e demais documentos de conformidade do equipamento serão apresentados e analisados na fase prevista no Capítulo 17.</w:t>
      </w:r>
    </w:p>
    <w:p w14:paraId="30312A0F"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18.5. As declarações relativas à garantia, assistência técnica, disponibilidade de peças, suporte do motor, entrega técnica e treinamento apresentadas durante o procedimento vincularão a adjudicatária e integrarão as obrigações da contratação.</w:t>
      </w:r>
    </w:p>
    <w:p w14:paraId="692747A8"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18.6. Quando qualquer documento técnico ou certificado apresentado durante o procedimento possuir prazo de validade e este expirar antes da entrega do equipamento, a contratada deverá apresentar documento vigente antes do recebimento definitivo, quando sua validade constituir requisito legal ou técnico aplicável.</w:t>
      </w:r>
    </w:p>
    <w:p w14:paraId="22F4D971"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18.7. A Administração poderá promover diligências perante emitentes de atestados, conselhos profissionais, fabricantes, importadores, distribuidores, redes autorizadas, SENATRAN, INMETRO e demais entidades competentes, com o objetivo de verificar autenticidade, validade, vigência e conteúdo das informações apresentadas.</w:t>
      </w:r>
    </w:p>
    <w:p w14:paraId="26467CA0"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18.8. A apresentação de documento falso, adulterado, materialmente incompatível com o equipamento ofertado ou contendo informação inverídica sujeitará o responsável às consequências previstas na legislação e nos instrumentos da contratação, observado o devido processo legal.</w:t>
      </w:r>
    </w:p>
    <w:p w14:paraId="7927BEEB" w14:textId="77777777" w:rsidR="0086534F" w:rsidRPr="0086534F" w:rsidRDefault="0086534F" w:rsidP="0086534F">
      <w:pPr>
        <w:spacing w:after="0" w:line="276" w:lineRule="auto"/>
        <w:jc w:val="both"/>
        <w:rPr>
          <w:rFonts w:ascii="Times" w:hAnsi="Times"/>
          <w:sz w:val="20"/>
          <w:szCs w:val="20"/>
        </w:rPr>
      </w:pPr>
      <w:r w:rsidRPr="0086534F">
        <w:rPr>
          <w:rFonts w:ascii="Times" w:hAnsi="Times"/>
          <w:sz w:val="20"/>
          <w:szCs w:val="20"/>
        </w:rPr>
        <w:t>18.9. A ausência de documento efetivamente exigido para habilitação implicará a inabilitação da licitante, ressalvadas as hipóteses de diligência, saneamento e atualização admitidas pela Lei nº 14.133/2021.</w:t>
      </w:r>
    </w:p>
    <w:p w14:paraId="04547FFB" w14:textId="77777777" w:rsidR="0086534F" w:rsidRPr="0086534F" w:rsidRDefault="0086534F" w:rsidP="0086534F">
      <w:pPr>
        <w:spacing w:after="0" w:line="276" w:lineRule="auto"/>
        <w:jc w:val="both"/>
        <w:rPr>
          <w:rFonts w:ascii="Times" w:hAnsi="Times"/>
          <w:sz w:val="20"/>
          <w:szCs w:val="20"/>
        </w:rPr>
      </w:pPr>
    </w:p>
    <w:p w14:paraId="391076FE" w14:textId="67E2615F" w:rsidR="0053371E" w:rsidRPr="00330FDA" w:rsidRDefault="0053371E" w:rsidP="000A5FF8">
      <w:pPr>
        <w:spacing w:after="0" w:line="276" w:lineRule="auto"/>
        <w:jc w:val="both"/>
        <w:rPr>
          <w:rFonts w:ascii="Times" w:hAnsi="Times"/>
          <w:b/>
          <w:sz w:val="20"/>
          <w:szCs w:val="20"/>
        </w:rPr>
      </w:pPr>
      <w:r w:rsidRPr="00330FDA">
        <w:rPr>
          <w:rFonts w:ascii="Times" w:hAnsi="Times"/>
          <w:b/>
          <w:sz w:val="20"/>
          <w:szCs w:val="20"/>
        </w:rPr>
        <w:t>1</w:t>
      </w:r>
      <w:r w:rsidR="008453D7">
        <w:rPr>
          <w:rFonts w:ascii="Times" w:hAnsi="Times"/>
          <w:b/>
          <w:sz w:val="20"/>
          <w:szCs w:val="20"/>
        </w:rPr>
        <w:t>9</w:t>
      </w:r>
      <w:r w:rsidR="00C00AB2" w:rsidRPr="00330FDA">
        <w:rPr>
          <w:rFonts w:ascii="Times" w:hAnsi="Times"/>
          <w:b/>
          <w:sz w:val="20"/>
          <w:szCs w:val="20"/>
        </w:rPr>
        <w:t>.</w:t>
      </w:r>
      <w:r w:rsidRPr="00330FDA">
        <w:rPr>
          <w:rFonts w:ascii="Times" w:hAnsi="Times"/>
          <w:b/>
          <w:sz w:val="20"/>
          <w:szCs w:val="20"/>
        </w:rPr>
        <w:t xml:space="preserve"> ESTIMATIVA D</w:t>
      </w:r>
      <w:r w:rsidR="00856C0C" w:rsidRPr="00330FDA">
        <w:rPr>
          <w:rFonts w:ascii="Times" w:hAnsi="Times"/>
          <w:b/>
          <w:sz w:val="20"/>
          <w:szCs w:val="20"/>
        </w:rPr>
        <w:t>O VALOR DA CONTRATAÇÃO</w:t>
      </w:r>
      <w:r w:rsidR="00C00AB2" w:rsidRPr="00330FDA">
        <w:rPr>
          <w:rFonts w:ascii="Times" w:hAnsi="Times"/>
          <w:b/>
          <w:sz w:val="20"/>
          <w:szCs w:val="20"/>
        </w:rPr>
        <w:t>:</w:t>
      </w:r>
    </w:p>
    <w:p w14:paraId="4893F265" w14:textId="77777777" w:rsidR="00271A8B" w:rsidRPr="00271A8B" w:rsidRDefault="00271A8B" w:rsidP="00271A8B">
      <w:pPr>
        <w:spacing w:after="0" w:line="276" w:lineRule="auto"/>
        <w:jc w:val="both"/>
        <w:rPr>
          <w:rFonts w:ascii="Times" w:hAnsi="Times"/>
          <w:sz w:val="20"/>
          <w:szCs w:val="20"/>
        </w:rPr>
      </w:pPr>
      <w:r w:rsidRPr="00271A8B">
        <w:rPr>
          <w:rFonts w:ascii="Times" w:hAnsi="Times"/>
          <w:sz w:val="20"/>
          <w:szCs w:val="20"/>
        </w:rPr>
        <w:t>19.1. A pesquisa de preços foi realizada de acordo com as disposições da Lei Federal nº 14.133/2021 e com os parâmetros previstos no Capítulo IV do Decreto Municipal nº 1.319, de 02 de janeiro de 2024, tendo as referências utilizadas sido registradas, consolidadas e processadas por meio da plataforma Banco de Preços, conforme relatório e memória de cálculo anexados ao processo administrativo, observados os seguintes elementos:</w:t>
      </w:r>
    </w:p>
    <w:p w14:paraId="6EC6E58E"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b/>
          <w:bCs/>
          <w:sz w:val="20"/>
          <w:szCs w:val="20"/>
        </w:rPr>
        <w:t>I – Do objeto a ser contratado:</w:t>
      </w:r>
      <w:r w:rsidRPr="00271A8B">
        <w:rPr>
          <w:rFonts w:ascii="Times" w:hAnsi="Times"/>
          <w:sz w:val="20"/>
          <w:szCs w:val="20"/>
        </w:rPr>
        <w:t xml:space="preserve"> A descrição dos equipamentos, respectivos quantitativos e especificações encontra-se detalhada no quadro constante do item 1.2 deste Termo de Referência.</w:t>
      </w:r>
    </w:p>
    <w:p w14:paraId="5F616E39"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b/>
          <w:bCs/>
          <w:sz w:val="20"/>
          <w:szCs w:val="20"/>
        </w:rPr>
        <w:t>II – Da identificação do agente responsável pela pesquisa:</w:t>
      </w:r>
      <w:r>
        <w:rPr>
          <w:rFonts w:ascii="Times" w:hAnsi="Times"/>
          <w:sz w:val="20"/>
          <w:szCs w:val="20"/>
        </w:rPr>
        <w:t xml:space="preserve"> Alexandre Luís Kleber, Matrícula Funcional nº 1151.</w:t>
      </w:r>
    </w:p>
    <w:p w14:paraId="37CE6171"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b/>
          <w:bCs/>
          <w:sz w:val="20"/>
          <w:szCs w:val="20"/>
        </w:rPr>
        <w:t>III – Da caracterização das fontes consultadas:</w:t>
      </w:r>
    </w:p>
    <w:p w14:paraId="037CF2A3"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(X) pesquisa em sistemas oficiais de governo, incluindo referências de compras governamentais e informações disponibilizadas em bases oficiais de contratações públicas;</w:t>
      </w:r>
    </w:p>
    <w:p w14:paraId="6B750EBC"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(X) contratações similares realizadas pela Administração Pública, em execução ou concluídas no período admitido pela regulamentação aplicável, inclusive mediante Sistema de Registro de Preços;</w:t>
      </w:r>
    </w:p>
    <w:p w14:paraId="04C332FE"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(X) dados de pesquisa publicados em mídia especializada, tabela de referência formalmente aprovada pelo Poder Executivo da União, Estado ou Município, sítios eletrônicos especializados ou de domínio amplo, desde que atualizados no momento da pesquisa e compreendidos no intervalo temporal admitido pela regulamentação, contendo a respectiva data e hora de acesso;</w:t>
      </w:r>
    </w:p>
    <w:p w14:paraId="4F87F4F1"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(X) pesquisa direta com fornecedores, mediante cotações obtidas junto a empresas do ramo, observados os requisitos de formalização, contemporaneidade e justificativa aplicáveis;</w:t>
      </w:r>
    </w:p>
    <w:p w14:paraId="2DCCA402" w14:textId="77777777" w:rsidR="00271A8B" w:rsidRPr="00271A8B" w:rsidRDefault="00271A8B" w:rsidP="00271A8B">
      <w:pPr>
        <w:spacing w:after="0" w:line="276" w:lineRule="auto"/>
        <w:ind w:firstLine="709"/>
        <w:jc w:val="both"/>
        <w:rPr>
          <w:rFonts w:ascii="Times" w:hAnsi="Times"/>
          <w:sz w:val="20"/>
          <w:szCs w:val="20"/>
        </w:rPr>
      </w:pPr>
      <w:proofErr w:type="gramStart"/>
      <w:r w:rsidRPr="00271A8B">
        <w:rPr>
          <w:rFonts w:ascii="Times" w:hAnsi="Times"/>
          <w:sz w:val="20"/>
          <w:szCs w:val="20"/>
        </w:rPr>
        <w:t>( )</w:t>
      </w:r>
      <w:proofErr w:type="gramEnd"/>
      <w:r w:rsidRPr="00271A8B">
        <w:rPr>
          <w:rFonts w:ascii="Times" w:hAnsi="Times"/>
          <w:sz w:val="20"/>
          <w:szCs w:val="20"/>
        </w:rPr>
        <w:t xml:space="preserve"> pesquisa na base nacional de notas fiscais eletrônicas, desde que a data das notas fiscais esteja compreendida no período admitido pela regulamentação; ou</w:t>
      </w:r>
    </w:p>
    <w:p w14:paraId="1EBCAE21" w14:textId="77777777" w:rsidR="00271A8B" w:rsidRPr="00271A8B" w:rsidRDefault="00271A8B" w:rsidP="00271A8B">
      <w:pPr>
        <w:spacing w:after="0" w:line="276" w:lineRule="auto"/>
        <w:ind w:firstLine="709"/>
        <w:jc w:val="both"/>
        <w:rPr>
          <w:rFonts w:ascii="Times" w:hAnsi="Times"/>
          <w:sz w:val="20"/>
          <w:szCs w:val="20"/>
        </w:rPr>
      </w:pPr>
      <w:proofErr w:type="gramStart"/>
      <w:r w:rsidRPr="00271A8B">
        <w:rPr>
          <w:rFonts w:ascii="Times" w:hAnsi="Times"/>
          <w:sz w:val="20"/>
          <w:szCs w:val="20"/>
        </w:rPr>
        <w:t>( )</w:t>
      </w:r>
      <w:proofErr w:type="gramEnd"/>
      <w:r w:rsidRPr="00271A8B">
        <w:rPr>
          <w:rFonts w:ascii="Times" w:hAnsi="Times"/>
          <w:sz w:val="20"/>
          <w:szCs w:val="20"/>
        </w:rPr>
        <w:t xml:space="preserve"> outro método devidamente justificado.</w:t>
      </w:r>
    </w:p>
    <w:p w14:paraId="0381E0D9" w14:textId="056B16C3" w:rsidR="00FF5545" w:rsidRPr="00FF5545" w:rsidRDefault="00FF5545" w:rsidP="00FF5545">
      <w:pPr>
        <w:spacing w:after="0" w:line="276" w:lineRule="auto"/>
        <w:ind w:firstLine="709"/>
        <w:jc w:val="both"/>
        <w:rPr>
          <w:rFonts w:ascii="Times" w:hAnsi="Times"/>
          <w:b/>
          <w:bCs/>
          <w:sz w:val="20"/>
          <w:szCs w:val="20"/>
        </w:rPr>
      </w:pPr>
      <w:r w:rsidRPr="00FF5545">
        <w:rPr>
          <w:rFonts w:ascii="Times" w:hAnsi="Times"/>
          <w:b/>
          <w:bCs/>
          <w:sz w:val="20"/>
          <w:szCs w:val="20"/>
        </w:rPr>
        <w:t xml:space="preserve">IV – Da série de preços coletados: </w:t>
      </w:r>
      <w:r w:rsidR="00271A8B" w:rsidRPr="00271A8B">
        <w:rPr>
          <w:rFonts w:ascii="Times" w:hAnsi="Times"/>
          <w:sz w:val="20"/>
          <w:szCs w:val="20"/>
        </w:rPr>
        <w:t>A série de preços utilizada para formação da estimativa encontra-se consolidada no relatório emitido pela plataforma Banco de Preços, contendo, conforme a natureza de cada referência, a identificação da fonte consultada, órgão ou entidade contratante, fornecedor, descrição do objeto, data da consulta ou contratação, quantitativos, valores e demais informações disponíveis.</w:t>
      </w:r>
      <w:r w:rsidR="00271A8B">
        <w:rPr>
          <w:rFonts w:ascii="Times" w:hAnsi="Times"/>
          <w:sz w:val="20"/>
          <w:szCs w:val="20"/>
        </w:rPr>
        <w:t xml:space="preserve"> </w:t>
      </w:r>
      <w:r w:rsidR="00271A8B" w:rsidRPr="00271A8B">
        <w:rPr>
          <w:rFonts w:ascii="Times" w:hAnsi="Times"/>
          <w:sz w:val="20"/>
          <w:szCs w:val="20"/>
        </w:rPr>
        <w:t>Os documentos integrantes da pesquisa permitem a rastreabilidade das referências utilizadas e a verificação da compatibilidade entre os equipamentos pesquisados e as especificações técnicas estabelecidas para a presente contratação.</w:t>
      </w:r>
      <w:r w:rsidR="00271A8B">
        <w:rPr>
          <w:rFonts w:ascii="Times" w:hAnsi="Times"/>
          <w:sz w:val="20"/>
          <w:szCs w:val="20"/>
        </w:rPr>
        <w:t xml:space="preserve"> </w:t>
      </w:r>
    </w:p>
    <w:p w14:paraId="7C0C859A" w14:textId="398FE47D" w:rsidR="00271A8B" w:rsidRPr="00271A8B" w:rsidRDefault="00FF5545" w:rsidP="00271A8B">
      <w:pPr>
        <w:spacing w:after="0" w:line="276" w:lineRule="auto"/>
        <w:ind w:firstLine="709"/>
        <w:jc w:val="both"/>
        <w:rPr>
          <w:rFonts w:ascii="Times" w:hAnsi="Times"/>
          <w:sz w:val="20"/>
          <w:szCs w:val="20"/>
        </w:rPr>
      </w:pPr>
      <w:r w:rsidRPr="00FF5545">
        <w:rPr>
          <w:rFonts w:ascii="Times" w:hAnsi="Times"/>
          <w:b/>
          <w:bCs/>
          <w:sz w:val="20"/>
          <w:szCs w:val="20"/>
        </w:rPr>
        <w:t xml:space="preserve">V – Do método aplicado para a definição dos valores estimados: </w:t>
      </w:r>
      <w:r w:rsidR="00271A8B" w:rsidRPr="00271A8B">
        <w:rPr>
          <w:rFonts w:ascii="Times" w:hAnsi="Times"/>
          <w:sz w:val="20"/>
          <w:szCs w:val="20"/>
        </w:rPr>
        <w:t>Para definição do valor estimado de cada item foi utilizada a média aritmética dos preços considerados válidos e comparáveis, após análise crítica da série coletada e exclusão, quando necessária e devidamente justificada, das referências consideradas incompatíveis, inconsistentes, inexequíveis ou excessivamente elevadas. A adoção da média aritmética busca representar o comportamento central dos preços considerados adequados à contratação, reduzindo a influência de condições específicas ou particulares presentes em referências isoladas e proporcionando parâmetro compatível com os valores praticados no mercado.</w:t>
      </w:r>
    </w:p>
    <w:p w14:paraId="597FA141" w14:textId="77777777" w:rsidR="00271A8B" w:rsidRDefault="00FF5545" w:rsidP="00271A8B">
      <w:pPr>
        <w:spacing w:after="0" w:line="276" w:lineRule="auto"/>
        <w:ind w:firstLine="709"/>
        <w:jc w:val="both"/>
        <w:rPr>
          <w:rFonts w:ascii="Times" w:hAnsi="Times"/>
          <w:sz w:val="20"/>
          <w:szCs w:val="20"/>
        </w:rPr>
      </w:pPr>
      <w:r w:rsidRPr="00FF5545">
        <w:rPr>
          <w:rFonts w:ascii="Times" w:hAnsi="Times"/>
          <w:b/>
          <w:bCs/>
          <w:sz w:val="20"/>
          <w:szCs w:val="20"/>
        </w:rPr>
        <w:t>VI – Das justificativas para a metodologia utilizada e para eventual desconsideração de valores:</w:t>
      </w:r>
      <w:r>
        <w:rPr>
          <w:rFonts w:ascii="Times" w:hAnsi="Times"/>
          <w:b/>
          <w:bCs/>
          <w:sz w:val="20"/>
          <w:szCs w:val="20"/>
        </w:rPr>
        <w:t xml:space="preserve"> </w:t>
      </w:r>
      <w:r w:rsidR="00271A8B" w:rsidRPr="00271A8B">
        <w:rPr>
          <w:rFonts w:ascii="Times" w:hAnsi="Times"/>
          <w:sz w:val="20"/>
          <w:szCs w:val="20"/>
        </w:rPr>
        <w:t>Os preços registrados na plataforma Banco de Preços foram submetidos à análise crítica quanto à contemporaneidade, origem da informação, descrição e características do equipamento, quantitativos, acessórios incluídos, condições de fornecimento, garantia e demais elementos capazes de influenciar sua comparabilidade com o objeto pretendido.</w:t>
      </w:r>
      <w:r w:rsidR="00271A8B">
        <w:rPr>
          <w:rFonts w:ascii="Times" w:hAnsi="Times"/>
          <w:sz w:val="20"/>
          <w:szCs w:val="20"/>
        </w:rPr>
        <w:t xml:space="preserve"> </w:t>
      </w:r>
      <w:r w:rsidR="00271A8B" w:rsidRPr="00271A8B">
        <w:rPr>
          <w:rFonts w:ascii="Times" w:hAnsi="Times"/>
          <w:sz w:val="20"/>
          <w:szCs w:val="20"/>
        </w:rPr>
        <w:t>Foram desconsideradas, quando aplicável, somente as referências que apresentaram divergências relevantes em relação ao equipamento pesquisado, inconsistências nas informações disponíveis ou valores cuja utilização pudesse provocar distorção injustificada na formação do preço estimado, devendo eventual exclusão permanecer identificada e fundamentada na memória de cálculo.</w:t>
      </w:r>
      <w:r w:rsidR="00271A8B">
        <w:rPr>
          <w:rFonts w:ascii="Times" w:hAnsi="Times"/>
          <w:sz w:val="20"/>
          <w:szCs w:val="20"/>
        </w:rPr>
        <w:t xml:space="preserve"> </w:t>
      </w:r>
    </w:p>
    <w:p w14:paraId="559C2269" w14:textId="3AFB65DD"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A exclusão de determinada referência não decorre unicamente de sua condição de maior ou menor preço da amostra. Sua desconsideração exige fundamento objetivo relacionado à ausência de comparabilidade, inconsistência dos dados, inexequibilidade aparente, excessiva discrepância ou circunstância específica que impeça sua utilização como parâmetro representativo.</w:t>
      </w:r>
    </w:p>
    <w:p w14:paraId="10558CF5" w14:textId="25ABDFB1" w:rsidR="00271A8B" w:rsidRPr="00271A8B" w:rsidRDefault="00FF5545" w:rsidP="00271A8B">
      <w:pPr>
        <w:spacing w:after="0" w:line="276" w:lineRule="auto"/>
        <w:ind w:firstLine="709"/>
        <w:jc w:val="both"/>
        <w:rPr>
          <w:rFonts w:ascii="Times" w:hAnsi="Times"/>
          <w:sz w:val="20"/>
          <w:szCs w:val="20"/>
        </w:rPr>
      </w:pPr>
      <w:r w:rsidRPr="00FF5545">
        <w:rPr>
          <w:rFonts w:ascii="Times" w:hAnsi="Times"/>
          <w:b/>
          <w:bCs/>
          <w:sz w:val="20"/>
          <w:szCs w:val="20"/>
        </w:rPr>
        <w:t xml:space="preserve">VII – Da memória de cálculo do valor estimado e dos documentos que lhe dão suporte: </w:t>
      </w:r>
      <w:r w:rsidR="00271A8B" w:rsidRPr="00271A8B">
        <w:rPr>
          <w:rFonts w:ascii="Times" w:hAnsi="Times"/>
          <w:sz w:val="20"/>
          <w:szCs w:val="20"/>
        </w:rPr>
        <w:t>O relatório consolidado emitido pela plataforma Banco de Preços, a memória de cálculo, as referências extraídas das fontes consultadas e os documentos correspondentes às cotações inseridas manualmente encontram-se anexados ao processo administrativo e integram a formação da estimativa da contratação.</w:t>
      </w:r>
      <w:r w:rsidR="00271A8B">
        <w:rPr>
          <w:rFonts w:ascii="Times" w:hAnsi="Times"/>
          <w:sz w:val="20"/>
          <w:szCs w:val="20"/>
        </w:rPr>
        <w:t xml:space="preserve"> </w:t>
      </w:r>
      <w:r w:rsidR="00271A8B" w:rsidRPr="00271A8B">
        <w:rPr>
          <w:rFonts w:ascii="Times" w:hAnsi="Times"/>
          <w:sz w:val="20"/>
          <w:szCs w:val="20"/>
        </w:rPr>
        <w:t>A memória de cálculo demonstra, para cada item, o quantitativo estimado, os preços considerados válidos, o método aplicado, o valor unitário estimado e o correspondente valor total, permitindo a conferência e a rastreabilidade da formação do orçamento.</w:t>
      </w:r>
    </w:p>
    <w:p w14:paraId="648E5502" w14:textId="77777777" w:rsidR="00271A8B" w:rsidRPr="00271A8B" w:rsidRDefault="00FF5545" w:rsidP="00271A8B">
      <w:pPr>
        <w:spacing w:after="0" w:line="276" w:lineRule="auto"/>
        <w:ind w:firstLine="709"/>
        <w:jc w:val="both"/>
        <w:rPr>
          <w:rFonts w:ascii="Times" w:hAnsi="Times"/>
          <w:sz w:val="20"/>
          <w:szCs w:val="20"/>
        </w:rPr>
      </w:pPr>
      <w:r w:rsidRPr="00FF5545">
        <w:rPr>
          <w:rFonts w:ascii="Times" w:hAnsi="Times"/>
          <w:b/>
          <w:bCs/>
          <w:sz w:val="20"/>
          <w:szCs w:val="20"/>
        </w:rPr>
        <w:t xml:space="preserve">VIII – Da justificativa da escolha dos fornecedores, no caso de pesquisa direta: </w:t>
      </w:r>
      <w:r w:rsidR="00271A8B" w:rsidRPr="00271A8B">
        <w:rPr>
          <w:rFonts w:ascii="Times" w:hAnsi="Times"/>
          <w:sz w:val="20"/>
          <w:szCs w:val="20"/>
        </w:rPr>
        <w:t xml:space="preserve">Para formação do preço estimado do Item 6 – Picador e Triturador Móvel de Galhos e Troncos Rebocável, foram utilizadas, em conjunto com referências de contratações públicas, cotações diretas obtidas junto às empresas </w:t>
      </w:r>
      <w:r w:rsidR="00271A8B" w:rsidRPr="00733E63">
        <w:rPr>
          <w:rFonts w:ascii="Times" w:hAnsi="Times"/>
          <w:sz w:val="20"/>
          <w:szCs w:val="20"/>
        </w:rPr>
        <w:t>ECO-TEC AMBIENTAL COMÉRCIO DE MÁQUINAS LTDA, NBX LOCAÇÃO LTDA e LIPPEL ENGENHARIA E EQUIPAMENTOS LTDA, cujos valores e documentos comprobatórios foram inseridos e registrados</w:t>
      </w:r>
      <w:r w:rsidR="00271A8B" w:rsidRPr="00271A8B">
        <w:rPr>
          <w:rFonts w:ascii="Times" w:hAnsi="Times"/>
          <w:sz w:val="20"/>
          <w:szCs w:val="20"/>
        </w:rPr>
        <w:t xml:space="preserve"> na plataforma Banco de Preços. </w:t>
      </w:r>
    </w:p>
    <w:p w14:paraId="436027D0" w14:textId="77777777" w:rsidR="00271A8B" w:rsidRPr="00271A8B" w:rsidRDefault="00271A8B" w:rsidP="00271A8B">
      <w:pPr>
        <w:spacing w:after="0" w:line="276" w:lineRule="auto"/>
        <w:ind w:firstLine="709"/>
        <w:jc w:val="both"/>
        <w:rPr>
          <w:rFonts w:ascii="Times" w:hAnsi="Times"/>
          <w:sz w:val="20"/>
          <w:szCs w:val="20"/>
        </w:rPr>
      </w:pPr>
      <w:r w:rsidRPr="00271A8B">
        <w:rPr>
          <w:rFonts w:ascii="Times" w:hAnsi="Times"/>
          <w:sz w:val="20"/>
          <w:szCs w:val="20"/>
        </w:rPr>
        <w:t>A consulta considerou empresas atuantes no fornecimento de equipamentos dessa natureza, aptas a apresentar propostas compatíveis com as características técnicas pesquisadas. Os valores obtidos foram analisados conjuntamente com as demais referências coletadas, submetendo-se aos mesmos critérios de contemporaneidade, pertinência, comparabilidade e análise crítica utilizados na formação do preço estimado.</w:t>
      </w:r>
    </w:p>
    <w:p w14:paraId="6B064221" w14:textId="77777777" w:rsidR="00271A8B" w:rsidRDefault="00FF5545" w:rsidP="00271A8B">
      <w:pPr>
        <w:spacing w:after="0" w:line="276" w:lineRule="auto"/>
        <w:ind w:firstLine="709"/>
        <w:jc w:val="both"/>
        <w:rPr>
          <w:rFonts w:ascii="Times" w:hAnsi="Times"/>
          <w:sz w:val="20"/>
          <w:szCs w:val="20"/>
        </w:rPr>
      </w:pPr>
      <w:r w:rsidRPr="00FF5545">
        <w:rPr>
          <w:rFonts w:ascii="Times" w:hAnsi="Times"/>
          <w:b/>
          <w:bCs/>
          <w:sz w:val="20"/>
          <w:szCs w:val="20"/>
        </w:rPr>
        <w:t xml:space="preserve">IX – Do valor estimado: </w:t>
      </w:r>
      <w:r w:rsidR="00271A8B" w:rsidRPr="00271A8B">
        <w:rPr>
          <w:rFonts w:ascii="Times" w:hAnsi="Times"/>
          <w:sz w:val="20"/>
          <w:szCs w:val="20"/>
        </w:rPr>
        <w:t xml:space="preserve">Com base na pesquisa realizada, nas referências registradas e consolidadas na plataforma Banco de Preços, nos preços considerados válidos e na metodologia descrita neste capítulo, estima-se o valor total da contratação em </w:t>
      </w:r>
      <w:r w:rsidR="00271A8B" w:rsidRPr="00271A8B">
        <w:rPr>
          <w:rFonts w:ascii="Times" w:hAnsi="Times"/>
          <w:b/>
          <w:bCs/>
          <w:sz w:val="20"/>
          <w:szCs w:val="20"/>
        </w:rPr>
        <w:t>R$ 311.570,17 (trezentos e onze mil quinhentos e setenta reais e dezessete centavos)</w:t>
      </w:r>
      <w:r w:rsidR="00271A8B" w:rsidRPr="00271A8B">
        <w:rPr>
          <w:rFonts w:ascii="Times" w:hAnsi="Times"/>
          <w:sz w:val="20"/>
          <w:szCs w:val="20"/>
        </w:rPr>
        <w:t xml:space="preserve">, correspondente à soma dos valores estimados dos quantitativos constantes do quadro do item 1.2 deste Termo de Referência. </w:t>
      </w:r>
    </w:p>
    <w:p w14:paraId="2BC08D33" w14:textId="7F1F3376" w:rsidR="00271A8B" w:rsidRPr="00271A8B" w:rsidRDefault="00271A8B" w:rsidP="00271A8B">
      <w:pPr>
        <w:spacing w:after="0" w:line="276" w:lineRule="auto"/>
        <w:jc w:val="both"/>
        <w:rPr>
          <w:rFonts w:ascii="Times" w:hAnsi="Times"/>
          <w:sz w:val="20"/>
          <w:szCs w:val="20"/>
        </w:rPr>
      </w:pPr>
      <w:r w:rsidRPr="00271A8B">
        <w:rPr>
          <w:rFonts w:ascii="Times" w:hAnsi="Times"/>
          <w:sz w:val="20"/>
          <w:szCs w:val="20"/>
        </w:rPr>
        <w:t>19.2. O valor estimado possui caráter referencial e será utilizado para subsidiar a análise da aceitabilidade das propostas, o planejamento da contratação, a verificação da disponibilidade orçamentária e financeira e o controle de eventual sobrepreço, sem prejuízo da obtenção da proposta mais vantajosa para a Administração.</w:t>
      </w:r>
    </w:p>
    <w:p w14:paraId="14F5AC0E" w14:textId="77777777" w:rsidR="00271A8B" w:rsidRPr="00271A8B" w:rsidRDefault="00271A8B" w:rsidP="00271A8B">
      <w:pPr>
        <w:spacing w:after="0" w:line="276" w:lineRule="auto"/>
        <w:jc w:val="both"/>
        <w:rPr>
          <w:rFonts w:ascii="Times" w:hAnsi="Times"/>
          <w:sz w:val="20"/>
          <w:szCs w:val="20"/>
        </w:rPr>
      </w:pPr>
      <w:r w:rsidRPr="00271A8B">
        <w:rPr>
          <w:rFonts w:ascii="Times" w:hAnsi="Times"/>
          <w:sz w:val="20"/>
          <w:szCs w:val="20"/>
        </w:rPr>
        <w:t>19.3. O orçamento estimado da contratação não será sigiloso, permanecendo disponível nos documentos que integram o procedimento licitatório, conforme definição adotada pela Administração no Estudo Técnico Preliminar.</w:t>
      </w:r>
    </w:p>
    <w:p w14:paraId="582B674F" w14:textId="2FD6565A" w:rsidR="005F2EC5" w:rsidRPr="00330FDA" w:rsidRDefault="005F2EC5" w:rsidP="00271A8B">
      <w:pPr>
        <w:spacing w:after="0" w:line="276" w:lineRule="auto"/>
        <w:ind w:firstLine="709"/>
        <w:jc w:val="both"/>
        <w:rPr>
          <w:rFonts w:ascii="Times" w:hAnsi="Times"/>
          <w:sz w:val="20"/>
          <w:szCs w:val="20"/>
        </w:rPr>
      </w:pPr>
    </w:p>
    <w:p w14:paraId="6FB3ED3C" w14:textId="6850C3B7" w:rsidR="0053371E" w:rsidRPr="00330FDA" w:rsidRDefault="008453D7" w:rsidP="00920F82">
      <w:pPr>
        <w:spacing w:after="0" w:line="276" w:lineRule="auto"/>
        <w:jc w:val="both"/>
        <w:rPr>
          <w:rFonts w:ascii="Times" w:hAnsi="Times"/>
          <w:b/>
          <w:sz w:val="20"/>
          <w:szCs w:val="20"/>
        </w:rPr>
      </w:pPr>
      <w:r>
        <w:rPr>
          <w:rFonts w:ascii="Times" w:hAnsi="Times"/>
          <w:b/>
          <w:sz w:val="20"/>
          <w:szCs w:val="20"/>
        </w:rPr>
        <w:t>20</w:t>
      </w:r>
      <w:r w:rsidR="00856C0C" w:rsidRPr="00330FDA">
        <w:rPr>
          <w:rFonts w:ascii="Times" w:hAnsi="Times"/>
          <w:b/>
          <w:sz w:val="20"/>
          <w:szCs w:val="20"/>
        </w:rPr>
        <w:t>.</w:t>
      </w:r>
      <w:r w:rsidR="0053371E" w:rsidRPr="00330FDA">
        <w:rPr>
          <w:rFonts w:ascii="Times" w:hAnsi="Times"/>
          <w:b/>
          <w:sz w:val="20"/>
          <w:szCs w:val="20"/>
        </w:rPr>
        <w:t xml:space="preserve"> ADEQUAÇÃO ORÇAMENT</w:t>
      </w:r>
      <w:r w:rsidR="006929C0" w:rsidRPr="00330FDA">
        <w:rPr>
          <w:rFonts w:ascii="Times" w:hAnsi="Times"/>
          <w:b/>
          <w:sz w:val="20"/>
          <w:szCs w:val="20"/>
        </w:rPr>
        <w:t>Á</w:t>
      </w:r>
      <w:r w:rsidR="0053371E" w:rsidRPr="00330FDA">
        <w:rPr>
          <w:rFonts w:ascii="Times" w:hAnsi="Times"/>
          <w:b/>
          <w:sz w:val="20"/>
          <w:szCs w:val="20"/>
        </w:rPr>
        <w:t>RIA</w:t>
      </w:r>
      <w:r w:rsidR="003F6FEE" w:rsidRPr="00330FDA">
        <w:rPr>
          <w:rFonts w:ascii="Times" w:hAnsi="Times"/>
          <w:b/>
          <w:sz w:val="20"/>
          <w:szCs w:val="20"/>
        </w:rPr>
        <w:t>:</w:t>
      </w:r>
    </w:p>
    <w:p w14:paraId="404DE70C" w14:textId="77777777" w:rsidR="000A3C4B" w:rsidRPr="000A3C4B" w:rsidRDefault="000A3C4B" w:rsidP="00FF5545">
      <w:pPr>
        <w:spacing w:after="0" w:line="276" w:lineRule="auto"/>
        <w:jc w:val="both"/>
        <w:rPr>
          <w:rFonts w:ascii="Times" w:hAnsi="Times"/>
          <w:sz w:val="20"/>
          <w:szCs w:val="20"/>
        </w:rPr>
      </w:pPr>
      <w:r>
        <w:rPr>
          <w:rFonts w:ascii="Times" w:hAnsi="Times"/>
          <w:sz w:val="20"/>
          <w:szCs w:val="20"/>
        </w:rPr>
        <w:t>20.1. A presente contratação será processada mediante Sistema de Registro de Preços. Formalizado o contrato administrativo decorrente da Ata, a indicação da dotação orçamentária correspondente será realizada por ocasião de cada aquisição efetivamente solicitada, previamente à emissão da respectiva Nota de Empenho e à execução do fornecimento, observadas a disponibilidade orçamentária e financeira e a legislação aplicável.</w:t>
      </w:r>
    </w:p>
    <w:p w14:paraId="00621141" w14:textId="3C0C560C" w:rsidR="00FF5545" w:rsidRPr="00FF5545" w:rsidRDefault="00FF5545" w:rsidP="00FF5545">
      <w:pPr>
        <w:spacing w:after="0" w:line="276" w:lineRule="auto"/>
        <w:jc w:val="both"/>
        <w:rPr>
          <w:rFonts w:ascii="Times" w:hAnsi="Times"/>
          <w:sz w:val="20"/>
          <w:szCs w:val="20"/>
        </w:rPr>
      </w:pPr>
      <w:r w:rsidRPr="00FF5545">
        <w:rPr>
          <w:rFonts w:ascii="Times" w:hAnsi="Times"/>
          <w:sz w:val="20"/>
          <w:szCs w:val="20"/>
        </w:rPr>
        <w:t>20.2. As despesas decorrentes das aquisições serão custeadas, principalmente, com recursos provenientes de transferência voluntária da União vinculados ao Convênio nº 981455/2025, celebrado entre o Município de Paverama e a União, por intermédio do Ministério da Integração e do Desenvolvimento Regional, bem como com os recursos de contrapartida municipal previstos no respectivo instrumento e Plano de Trabalho.</w:t>
      </w:r>
    </w:p>
    <w:p w14:paraId="4D3C995E" w14:textId="77777777" w:rsidR="00FF5545" w:rsidRPr="00FF5545" w:rsidRDefault="00FF5545" w:rsidP="00FF5545">
      <w:pPr>
        <w:spacing w:after="0" w:line="276" w:lineRule="auto"/>
        <w:jc w:val="both"/>
        <w:rPr>
          <w:rFonts w:ascii="Times" w:hAnsi="Times"/>
          <w:sz w:val="20"/>
          <w:szCs w:val="20"/>
        </w:rPr>
      </w:pPr>
      <w:r w:rsidRPr="00FF5545">
        <w:rPr>
          <w:rFonts w:ascii="Times" w:hAnsi="Times"/>
          <w:sz w:val="20"/>
          <w:szCs w:val="20"/>
        </w:rPr>
        <w:t>20.3. Quando necessário e legalmente admissível, poderão ser utilizados recursos próprios do Município para complementar as despesas da contratação, desde que exista dotação orçamentária adequada, disponibilidade financeira e compatibilidade com o objeto, sem prejuízo da observância das condições estabelecidas no Convênio e no respectivo Plano de Trabalho.</w:t>
      </w:r>
    </w:p>
    <w:p w14:paraId="28D4922E" w14:textId="77777777" w:rsidR="00FF5545" w:rsidRPr="00FF5545" w:rsidRDefault="00FF5545" w:rsidP="00FF5545">
      <w:pPr>
        <w:spacing w:after="0" w:line="276" w:lineRule="auto"/>
        <w:jc w:val="both"/>
        <w:rPr>
          <w:rFonts w:ascii="Times" w:hAnsi="Times"/>
          <w:sz w:val="20"/>
          <w:szCs w:val="20"/>
        </w:rPr>
      </w:pPr>
      <w:r w:rsidRPr="00FF5545">
        <w:rPr>
          <w:rFonts w:ascii="Times" w:hAnsi="Times"/>
          <w:sz w:val="20"/>
          <w:szCs w:val="20"/>
        </w:rPr>
        <w:t>20.4. A execução orçamentária e financeira dos recursos federais vinculados ao Convênio observará as disposições do instrumento de transferência, do Plano de Trabalho aprovado, das normas aplicáveis ao Transferegov.br e das Portarias Conjuntas que disciplinam a execução, movimentação, acompanhamento e prestação de contas dos recursos transferidos pela União.</w:t>
      </w:r>
    </w:p>
    <w:p w14:paraId="7DF8A734" w14:textId="77777777" w:rsidR="00FF5545" w:rsidRPr="00FF5545" w:rsidRDefault="00FF5545" w:rsidP="00FF5545">
      <w:pPr>
        <w:spacing w:after="0" w:line="276" w:lineRule="auto"/>
        <w:jc w:val="both"/>
        <w:rPr>
          <w:rFonts w:ascii="Times" w:hAnsi="Times"/>
          <w:sz w:val="20"/>
          <w:szCs w:val="20"/>
        </w:rPr>
      </w:pPr>
      <w:r w:rsidRPr="00FF5545">
        <w:rPr>
          <w:rFonts w:ascii="Times" w:hAnsi="Times"/>
          <w:sz w:val="20"/>
          <w:szCs w:val="20"/>
        </w:rPr>
        <w:t>20.5. Nenhuma aquisição decorrente da Ata de Registro de Preços poderá ser formalizada sem a prévia verificação da existência de disponibilidade orçamentária e financeira e da compatibilidade da despesa com a respectiva fonte de recursos, devendo ser emitido o correspondente empenho antes da execução do fornecimento.</w:t>
      </w:r>
    </w:p>
    <w:p w14:paraId="12D10E9D" w14:textId="77777777" w:rsidR="00856C0C" w:rsidRPr="00330FDA" w:rsidRDefault="00856C0C" w:rsidP="00920F82">
      <w:pPr>
        <w:spacing w:after="0" w:line="276" w:lineRule="auto"/>
        <w:jc w:val="both"/>
        <w:rPr>
          <w:rFonts w:ascii="Times" w:hAnsi="Times"/>
          <w:sz w:val="20"/>
          <w:szCs w:val="20"/>
        </w:rPr>
      </w:pPr>
    </w:p>
    <w:p w14:paraId="792A6783" w14:textId="77777777" w:rsidR="0053371E" w:rsidRPr="00330FDA" w:rsidRDefault="0053371E" w:rsidP="00920F82">
      <w:pPr>
        <w:spacing w:after="0" w:line="276" w:lineRule="auto"/>
        <w:jc w:val="center"/>
        <w:rPr>
          <w:rFonts w:ascii="Times" w:hAnsi="Times"/>
          <w:b/>
          <w:sz w:val="20"/>
          <w:szCs w:val="20"/>
        </w:rPr>
      </w:pPr>
      <w:r w:rsidRPr="00330FDA">
        <w:rPr>
          <w:rFonts w:ascii="Times" w:hAnsi="Times"/>
          <w:b/>
          <w:sz w:val="20"/>
          <w:szCs w:val="20"/>
        </w:rPr>
        <w:t>CAPÍTULO VII</w:t>
      </w:r>
    </w:p>
    <w:p w14:paraId="6AD1FB8E" w14:textId="77777777" w:rsidR="0053371E" w:rsidRPr="00330FDA" w:rsidRDefault="0053371E" w:rsidP="00920F82">
      <w:pPr>
        <w:spacing w:after="0" w:line="276" w:lineRule="auto"/>
        <w:jc w:val="center"/>
        <w:rPr>
          <w:rFonts w:ascii="Times" w:hAnsi="Times"/>
          <w:b/>
          <w:sz w:val="20"/>
          <w:szCs w:val="20"/>
        </w:rPr>
      </w:pPr>
      <w:r w:rsidRPr="00330FDA">
        <w:rPr>
          <w:rFonts w:ascii="Times" w:hAnsi="Times"/>
          <w:b/>
          <w:sz w:val="20"/>
          <w:szCs w:val="20"/>
        </w:rPr>
        <w:t>DISPOSIÇÕES GERAIS E INFORMAÇÕES COMPLEMENTARES</w:t>
      </w:r>
    </w:p>
    <w:p w14:paraId="14AC773E" w14:textId="77AF21BD" w:rsidR="0053371E" w:rsidRPr="00330FDA" w:rsidRDefault="0053371E" w:rsidP="00920F82">
      <w:pPr>
        <w:spacing w:after="0" w:line="276" w:lineRule="auto"/>
        <w:jc w:val="both"/>
        <w:rPr>
          <w:rFonts w:ascii="Times" w:hAnsi="Times"/>
          <w:b/>
          <w:sz w:val="20"/>
          <w:szCs w:val="20"/>
        </w:rPr>
      </w:pPr>
      <w:r w:rsidRPr="00330FDA">
        <w:rPr>
          <w:rFonts w:ascii="Times" w:hAnsi="Times"/>
          <w:b/>
          <w:sz w:val="20"/>
          <w:szCs w:val="20"/>
        </w:rPr>
        <w:t>2</w:t>
      </w:r>
      <w:r w:rsidR="002C4F9F">
        <w:rPr>
          <w:rFonts w:ascii="Times" w:hAnsi="Times"/>
          <w:b/>
          <w:sz w:val="20"/>
          <w:szCs w:val="20"/>
        </w:rPr>
        <w:t>1</w:t>
      </w:r>
      <w:r w:rsidR="00856C0C" w:rsidRPr="00330FDA">
        <w:rPr>
          <w:rFonts w:ascii="Times" w:hAnsi="Times"/>
          <w:b/>
          <w:sz w:val="20"/>
          <w:szCs w:val="20"/>
        </w:rPr>
        <w:t>.</w:t>
      </w:r>
      <w:r w:rsidRPr="00330FDA">
        <w:rPr>
          <w:rFonts w:ascii="Times" w:hAnsi="Times"/>
          <w:b/>
          <w:sz w:val="20"/>
          <w:szCs w:val="20"/>
        </w:rPr>
        <w:t xml:space="preserve"> DISPOSIÇÕES GERAIS</w:t>
      </w:r>
      <w:r w:rsidR="00856C0C" w:rsidRPr="00330FDA">
        <w:rPr>
          <w:rFonts w:ascii="Times" w:hAnsi="Times"/>
          <w:b/>
          <w:sz w:val="20"/>
          <w:szCs w:val="20"/>
        </w:rPr>
        <w:t>:</w:t>
      </w:r>
    </w:p>
    <w:p w14:paraId="4AED56B8" w14:textId="77777777" w:rsidR="00FF5545" w:rsidRPr="00271A8B" w:rsidRDefault="00FF5545" w:rsidP="00FF5545">
      <w:pPr>
        <w:spacing w:after="0" w:line="276" w:lineRule="auto"/>
        <w:jc w:val="both"/>
        <w:rPr>
          <w:rFonts w:ascii="Times" w:hAnsi="Times"/>
          <w:sz w:val="20"/>
          <w:szCs w:val="20"/>
        </w:rPr>
      </w:pPr>
      <w:r w:rsidRPr="00271A8B">
        <w:rPr>
          <w:rFonts w:ascii="Times" w:hAnsi="Times"/>
          <w:sz w:val="20"/>
          <w:szCs w:val="20"/>
        </w:rPr>
        <w:t>21.1. O presente Termo de Referência integra o processo administrativo da contratação e constitui documento técnico destinado a orientar a elaboração do Edital, da Ata de Registro de Preços e dos demais instrumentos necessários à realização e execução do procedimento licitatório.</w:t>
      </w:r>
    </w:p>
    <w:p w14:paraId="0E24B27B" w14:textId="77777777" w:rsidR="00FF5545" w:rsidRPr="00271A8B" w:rsidRDefault="00FF5545" w:rsidP="00FF5545">
      <w:pPr>
        <w:spacing w:after="0" w:line="276" w:lineRule="auto"/>
        <w:jc w:val="both"/>
        <w:rPr>
          <w:rFonts w:ascii="Times" w:hAnsi="Times"/>
          <w:sz w:val="20"/>
          <w:szCs w:val="20"/>
        </w:rPr>
      </w:pPr>
      <w:r w:rsidRPr="00271A8B">
        <w:rPr>
          <w:rFonts w:ascii="Times" w:hAnsi="Times"/>
          <w:sz w:val="20"/>
          <w:szCs w:val="20"/>
        </w:rPr>
        <w:t>21.2. As disposições deste Termo de Referência deverão ser interpretadas de forma integrada com o Estudo Técnico Preliminar, o Edital, a Ata de Registro de Preços e os demais documentos que compõem a contratação. Eventuais divergências ou inconsistências identificadas deverão ser objeto de esclarecimento, correção ou retificação formal pela Administração, não sendo admitida alteração informal das condições estabelecidas.</w:t>
      </w:r>
    </w:p>
    <w:p w14:paraId="12CDC7E9" w14:textId="12FC3B25" w:rsidR="00FF5545" w:rsidRPr="00271A8B" w:rsidRDefault="00FF5545" w:rsidP="00FF5545">
      <w:pPr>
        <w:spacing w:after="0" w:line="276" w:lineRule="auto"/>
        <w:jc w:val="both"/>
        <w:rPr>
          <w:rFonts w:ascii="Times" w:hAnsi="Times"/>
          <w:sz w:val="20"/>
          <w:szCs w:val="20"/>
        </w:rPr>
      </w:pPr>
      <w:r w:rsidRPr="00271A8B">
        <w:rPr>
          <w:rFonts w:ascii="Times" w:hAnsi="Times"/>
          <w:sz w:val="20"/>
          <w:szCs w:val="20"/>
        </w:rPr>
        <w:t>21.3. Os casos omissos serão resolvidos pela Administração Municipal com fundamento na Lei Federal nº 14.133/2021, no Decreto Municipal nº 1.319/2024, na legislação aplicável às transferências voluntárias da União e nas demais normas pertinentes à contratação.</w:t>
      </w:r>
    </w:p>
    <w:p w14:paraId="0D504EB2" w14:textId="77777777" w:rsidR="00856C0C" w:rsidRPr="00330FDA" w:rsidRDefault="00856C0C" w:rsidP="00920F82">
      <w:pPr>
        <w:spacing w:after="0" w:line="276" w:lineRule="auto"/>
        <w:jc w:val="both"/>
        <w:rPr>
          <w:rFonts w:ascii="Times" w:hAnsi="Times"/>
          <w:sz w:val="20"/>
          <w:szCs w:val="20"/>
        </w:rPr>
      </w:pPr>
    </w:p>
    <w:p w14:paraId="5CE7A8A7" w14:textId="296D37CA" w:rsidR="00856C0C" w:rsidRPr="00330FDA" w:rsidRDefault="0053371E" w:rsidP="00920F82">
      <w:pPr>
        <w:spacing w:after="0" w:line="276" w:lineRule="auto"/>
        <w:jc w:val="both"/>
        <w:rPr>
          <w:rFonts w:ascii="Times" w:hAnsi="Times"/>
          <w:b/>
          <w:sz w:val="20"/>
          <w:szCs w:val="20"/>
        </w:rPr>
      </w:pPr>
      <w:r w:rsidRPr="00330FDA">
        <w:rPr>
          <w:rFonts w:ascii="Times" w:hAnsi="Times"/>
          <w:b/>
          <w:sz w:val="20"/>
          <w:szCs w:val="20"/>
        </w:rPr>
        <w:t>2</w:t>
      </w:r>
      <w:r w:rsidR="002C4F9F">
        <w:rPr>
          <w:rFonts w:ascii="Times" w:hAnsi="Times"/>
          <w:b/>
          <w:sz w:val="20"/>
          <w:szCs w:val="20"/>
        </w:rPr>
        <w:t>2.</w:t>
      </w:r>
      <w:r w:rsidRPr="00330FDA">
        <w:rPr>
          <w:rFonts w:ascii="Times" w:hAnsi="Times"/>
          <w:b/>
          <w:sz w:val="20"/>
          <w:szCs w:val="20"/>
        </w:rPr>
        <w:t xml:space="preserve"> INFORMAÇÕES COMPLEMENTARES</w:t>
      </w:r>
      <w:r w:rsidR="00856C0C" w:rsidRPr="00330FDA">
        <w:rPr>
          <w:rFonts w:ascii="Times" w:hAnsi="Times"/>
          <w:b/>
          <w:sz w:val="20"/>
          <w:szCs w:val="20"/>
        </w:rPr>
        <w:t>:</w:t>
      </w:r>
    </w:p>
    <w:p w14:paraId="2B0385CF" w14:textId="7033EDE9" w:rsidR="00856C0C" w:rsidRPr="00FF5545" w:rsidRDefault="00FF5545" w:rsidP="00FF5545">
      <w:pPr>
        <w:spacing w:after="0" w:line="276" w:lineRule="auto"/>
        <w:jc w:val="both"/>
        <w:rPr>
          <w:rFonts w:ascii="Times" w:hAnsi="Times"/>
          <w:sz w:val="20"/>
          <w:szCs w:val="20"/>
        </w:rPr>
      </w:pPr>
      <w:r w:rsidRPr="00FF5545">
        <w:rPr>
          <w:rFonts w:ascii="Times" w:hAnsi="Times"/>
          <w:sz w:val="20"/>
          <w:szCs w:val="20"/>
        </w:rPr>
        <w:t>22.1. Não há informações complementares além daquelas constantes deste Termo de Referência e dos documentos que integram o processo administrativo da contratação.</w:t>
      </w:r>
    </w:p>
    <w:p w14:paraId="0C5167EE" w14:textId="77777777" w:rsidR="00FF5545" w:rsidRPr="00330FDA" w:rsidRDefault="00FF5545" w:rsidP="006929C0">
      <w:pPr>
        <w:spacing w:after="0" w:line="276" w:lineRule="auto"/>
        <w:rPr>
          <w:rFonts w:ascii="Times" w:hAnsi="Times"/>
          <w:sz w:val="20"/>
          <w:szCs w:val="20"/>
        </w:rPr>
      </w:pPr>
    </w:p>
    <w:p w14:paraId="41310FAB" w14:textId="58C39109" w:rsidR="00AB1D84" w:rsidRPr="00330FDA" w:rsidRDefault="00AB1D84" w:rsidP="00920F82">
      <w:pPr>
        <w:spacing w:after="0" w:line="276" w:lineRule="auto"/>
        <w:jc w:val="center"/>
        <w:rPr>
          <w:rFonts w:ascii="Times" w:hAnsi="Times"/>
          <w:sz w:val="20"/>
          <w:szCs w:val="20"/>
        </w:rPr>
      </w:pPr>
      <w:r>
        <w:rPr>
          <w:rFonts w:ascii="Times" w:hAnsi="Times"/>
          <w:sz w:val="20"/>
          <w:szCs w:val="20"/>
        </w:rPr>
        <w:t>Paverama/RS, 13 de outubro de 2026.</w:t>
      </w:r>
    </w:p>
    <w:p w14:paraId="1232F92D" w14:textId="77777777" w:rsidR="00997034" w:rsidRPr="00330FDA" w:rsidRDefault="00997034" w:rsidP="00920F82">
      <w:pPr>
        <w:spacing w:after="0" w:line="276" w:lineRule="auto"/>
        <w:jc w:val="center"/>
        <w:rPr>
          <w:rFonts w:ascii="Times" w:hAnsi="Times"/>
          <w:sz w:val="20"/>
          <w:szCs w:val="20"/>
        </w:rPr>
      </w:pPr>
    </w:p>
    <w:p w14:paraId="0921A434" w14:textId="77777777" w:rsidR="00D33908" w:rsidRPr="00330FDA" w:rsidRDefault="00D33908" w:rsidP="006929C0">
      <w:pPr>
        <w:spacing w:after="0" w:line="276" w:lineRule="auto"/>
        <w:rPr>
          <w:rFonts w:ascii="Times" w:hAnsi="Times"/>
          <w:sz w:val="20"/>
          <w:szCs w:val="20"/>
        </w:rPr>
      </w:pPr>
    </w:p>
    <w:p w14:paraId="6AA51D74" w14:textId="77777777" w:rsidR="00AB1D84" w:rsidRPr="00330FDA" w:rsidRDefault="00AB1D84" w:rsidP="00920F82">
      <w:pPr>
        <w:spacing w:after="0" w:line="276" w:lineRule="auto"/>
        <w:jc w:val="center"/>
        <w:rPr>
          <w:rFonts w:ascii="Times" w:hAnsi="Times"/>
          <w:b/>
          <w:sz w:val="20"/>
          <w:szCs w:val="20"/>
        </w:rPr>
      </w:pPr>
    </w:p>
    <w:p w14:paraId="5B67DEAE" w14:textId="77777777" w:rsidR="000713C1" w:rsidRPr="00330FDA" w:rsidRDefault="00911E3D" w:rsidP="00920F82">
      <w:pPr>
        <w:spacing w:after="0" w:line="276" w:lineRule="auto"/>
        <w:jc w:val="center"/>
        <w:rPr>
          <w:rFonts w:ascii="Times" w:hAnsi="Times"/>
          <w:b/>
          <w:sz w:val="20"/>
          <w:szCs w:val="20"/>
        </w:rPr>
      </w:pPr>
      <w:r w:rsidRPr="00330FDA">
        <w:rPr>
          <w:rFonts w:ascii="Times" w:hAnsi="Times"/>
          <w:b/>
          <w:sz w:val="20"/>
          <w:szCs w:val="20"/>
        </w:rPr>
        <w:t>ALEXANDRE LUÍS KLEBER</w:t>
      </w:r>
    </w:p>
    <w:p w14:paraId="3AD6967F" w14:textId="77777777" w:rsidR="000713C1" w:rsidRPr="00330FDA" w:rsidRDefault="009B494F" w:rsidP="00920F82">
      <w:pPr>
        <w:spacing w:after="0" w:line="276" w:lineRule="auto"/>
        <w:jc w:val="center"/>
        <w:rPr>
          <w:rFonts w:ascii="Times" w:hAnsi="Times"/>
          <w:sz w:val="20"/>
          <w:szCs w:val="20"/>
        </w:rPr>
      </w:pPr>
      <w:r w:rsidRPr="00330FDA">
        <w:rPr>
          <w:rFonts w:ascii="Times" w:hAnsi="Times"/>
          <w:b/>
          <w:sz w:val="20"/>
          <w:szCs w:val="20"/>
        </w:rPr>
        <w:t>Secretári</w:t>
      </w:r>
      <w:r w:rsidR="00911E3D" w:rsidRPr="00330FDA">
        <w:rPr>
          <w:rFonts w:ascii="Times" w:hAnsi="Times"/>
          <w:b/>
          <w:sz w:val="20"/>
          <w:szCs w:val="20"/>
        </w:rPr>
        <w:t>o</w:t>
      </w:r>
      <w:r w:rsidRPr="00330FDA">
        <w:rPr>
          <w:rFonts w:ascii="Times" w:hAnsi="Times"/>
          <w:b/>
          <w:sz w:val="20"/>
          <w:szCs w:val="20"/>
        </w:rPr>
        <w:t xml:space="preserve"> Municipal de </w:t>
      </w:r>
      <w:r w:rsidR="00D9586F" w:rsidRPr="00330FDA">
        <w:rPr>
          <w:rFonts w:ascii="Times" w:hAnsi="Times"/>
          <w:b/>
          <w:sz w:val="20"/>
          <w:szCs w:val="20"/>
        </w:rPr>
        <w:t>Administração, Fazenda e Planejamento</w:t>
      </w:r>
    </w:p>
    <w:sectPr w:rsidR="000713C1" w:rsidRPr="00330FDA" w:rsidSect="00982319">
      <w:headerReference w:type="default" r:id="rId9"/>
      <w:footerReference w:type="default" r:id="rId10"/>
      <w:pgSz w:w="11906" w:h="16838"/>
      <w:pgMar w:top="1843"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EF1DB" w14:textId="77777777" w:rsidR="0048746A" w:rsidRDefault="0048746A" w:rsidP="0097686E">
      <w:pPr>
        <w:spacing w:after="0" w:line="240" w:lineRule="auto"/>
      </w:pPr>
      <w:r>
        <w:separator/>
      </w:r>
    </w:p>
  </w:endnote>
  <w:endnote w:type="continuationSeparator" w:id="0">
    <w:p w14:paraId="265E20C5" w14:textId="77777777" w:rsidR="0048746A" w:rsidRDefault="0048746A" w:rsidP="0097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60D9" w14:textId="77777777" w:rsidR="003A6AA8" w:rsidRDefault="00C904F9">
    <w:pPr>
      <w:pStyle w:val="Rodap"/>
    </w:pPr>
    <w:r>
      <w:rPr>
        <w:noProof/>
        <w:lang w:eastAsia="pt-BR"/>
      </w:rPr>
      <w:drawing>
        <wp:anchor distT="0" distB="0" distL="114300" distR="114300" simplePos="0" relativeHeight="251659264" behindDoc="1" locked="0" layoutInCell="1" allowOverlap="1" wp14:anchorId="65939628" wp14:editId="3CF01D1B">
          <wp:simplePos x="0" y="0"/>
          <wp:positionH relativeFrom="column">
            <wp:posOffset>529590</wp:posOffset>
          </wp:positionH>
          <wp:positionV relativeFrom="paragraph">
            <wp:posOffset>5080</wp:posOffset>
          </wp:positionV>
          <wp:extent cx="4338638" cy="718821"/>
          <wp:effectExtent l="0" t="0" r="0" b="0"/>
          <wp:wrapNone/>
          <wp:docPr id="157958264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8638" cy="718821"/>
                  </a:xfrm>
                  <a:prstGeom prst="rect">
                    <a:avLst/>
                  </a:prstGeom>
                  <a:noFill/>
                </pic:spPr>
              </pic:pic>
            </a:graphicData>
          </a:graphic>
          <wp14:sizeRelH relativeFrom="page">
            <wp14:pctWidth>0</wp14:pctWidth>
          </wp14:sizeRelH>
          <wp14:sizeRelV relativeFrom="page">
            <wp14:pctHeight>0</wp14:pctHeight>
          </wp14:sizeRelV>
        </wp:anchor>
      </w:drawing>
    </w:r>
  </w:p>
  <w:p w14:paraId="472336BB" w14:textId="77777777" w:rsidR="003A6AA8" w:rsidRDefault="003A6A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A470A" w14:textId="77777777" w:rsidR="0048746A" w:rsidRDefault="0048746A" w:rsidP="0097686E">
      <w:pPr>
        <w:spacing w:after="0" w:line="240" w:lineRule="auto"/>
      </w:pPr>
      <w:r>
        <w:separator/>
      </w:r>
    </w:p>
  </w:footnote>
  <w:footnote w:type="continuationSeparator" w:id="0">
    <w:p w14:paraId="36A50CCE" w14:textId="77777777" w:rsidR="0048746A" w:rsidRDefault="0048746A" w:rsidP="00976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97F8" w14:textId="77777777" w:rsidR="003A6AA8" w:rsidRDefault="003A6AA8">
    <w:pPr>
      <w:pStyle w:val="Cabealho"/>
    </w:pPr>
    <w:r>
      <w:rPr>
        <w:noProof/>
        <w:lang w:eastAsia="pt-BR"/>
      </w:rPr>
      <w:drawing>
        <wp:anchor distT="0" distB="0" distL="114300" distR="114300" simplePos="0" relativeHeight="251656192" behindDoc="1" locked="0" layoutInCell="1" allowOverlap="1" wp14:anchorId="1CFE9F78" wp14:editId="6F388001">
          <wp:simplePos x="0" y="0"/>
          <wp:positionH relativeFrom="margin">
            <wp:align>center</wp:align>
          </wp:positionH>
          <wp:positionV relativeFrom="paragraph">
            <wp:posOffset>-314960</wp:posOffset>
          </wp:positionV>
          <wp:extent cx="4381500" cy="981710"/>
          <wp:effectExtent l="19050" t="0" r="0" b="0"/>
          <wp:wrapNone/>
          <wp:docPr id="971939054" name="Imagem 971939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srcRect/>
                  <a:stretch>
                    <a:fillRect/>
                  </a:stretch>
                </pic:blipFill>
                <pic:spPr bwMode="auto">
                  <a:xfrm>
                    <a:off x="0" y="0"/>
                    <a:ext cx="4381500" cy="981710"/>
                  </a:xfrm>
                  <a:prstGeom prst="rect">
                    <a:avLst/>
                  </a:prstGeom>
                  <a:noFill/>
                  <a:ln w="9525">
                    <a:noFill/>
                    <a:miter lim="800000"/>
                    <a:headEnd/>
                    <a:tailEnd/>
                  </a:ln>
                </pic:spPr>
              </pic:pic>
            </a:graphicData>
          </a:graphic>
        </wp:anchor>
      </w:drawing>
    </w:r>
  </w:p>
  <w:p w14:paraId="522FD052" w14:textId="77777777" w:rsidR="003A6AA8" w:rsidRDefault="003A6AA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B8C71F0"/>
    <w:lvl w:ilvl="0">
      <w:start w:val="1"/>
      <w:numFmt w:val="decimal"/>
      <w:pStyle w:val="Numerada"/>
      <w:lvlText w:val="%1."/>
      <w:lvlJc w:val="left"/>
      <w:pPr>
        <w:tabs>
          <w:tab w:val="num" w:pos="360"/>
        </w:tabs>
        <w:ind w:left="360" w:hanging="360"/>
      </w:pPr>
    </w:lvl>
  </w:abstractNum>
  <w:abstractNum w:abstractNumId="1" w15:restartNumberingAfterBreak="0">
    <w:nsid w:val="00000001"/>
    <w:multiLevelType w:val="multilevel"/>
    <w:tmpl w:val="00000001"/>
    <w:lvl w:ilvl="0">
      <w:start w:val="2"/>
      <w:numFmt w:val="decimal"/>
      <w:lvlText w:val="%1."/>
      <w:lvlJc w:val="left"/>
      <w:pPr>
        <w:ind w:left="360" w:hanging="360"/>
      </w:pPr>
    </w:lvl>
    <w:lvl w:ilvl="1">
      <w:start w:val="1"/>
      <w:numFmt w:val="decimal"/>
      <w:lvlText w:val="%1.%2."/>
      <w:lvlJc w:val="left"/>
      <w:pPr>
        <w:ind w:left="420" w:hanging="360"/>
      </w:pPr>
    </w:lvl>
    <w:lvl w:ilvl="2">
      <w:start w:val="1"/>
      <w:numFmt w:val="decimal"/>
      <w:lvlText w:val="%1.%2.%3."/>
      <w:lvlJc w:val="left"/>
      <w:pPr>
        <w:ind w:left="480" w:hanging="360"/>
      </w:pPr>
    </w:lvl>
    <w:lvl w:ilvl="3">
      <w:start w:val="1"/>
      <w:numFmt w:val="decimal"/>
      <w:lvlText w:val="%1.%2.%3.%4."/>
      <w:lvlJc w:val="left"/>
      <w:pPr>
        <w:ind w:left="540" w:hanging="360"/>
      </w:pPr>
    </w:lvl>
    <w:lvl w:ilvl="4">
      <w:start w:val="1"/>
      <w:numFmt w:val="decimal"/>
      <w:lvlText w:val="%1.%2.%3.%4.%5."/>
      <w:lvlJc w:val="left"/>
      <w:pPr>
        <w:ind w:left="600" w:hanging="360"/>
      </w:pPr>
    </w:lvl>
    <w:lvl w:ilvl="5">
      <w:start w:val="1"/>
      <w:numFmt w:val="decimal"/>
      <w:lvlText w:val="%1.%2.%3.%4.%5.%6."/>
      <w:lvlJc w:val="left"/>
      <w:pPr>
        <w:ind w:left="660" w:hanging="360"/>
      </w:pPr>
    </w:lvl>
    <w:lvl w:ilvl="6">
      <w:start w:val="1"/>
      <w:numFmt w:val="decimal"/>
      <w:lvlText w:val="%1.%2.%3.%4.%5.%6.%7."/>
      <w:lvlJc w:val="left"/>
      <w:pPr>
        <w:ind w:left="720" w:hanging="360"/>
      </w:pPr>
    </w:lvl>
    <w:lvl w:ilvl="7">
      <w:start w:val="1"/>
      <w:numFmt w:val="decimal"/>
      <w:lvlText w:val="%1.%2.%3.%4.%5.%6.%7.%8."/>
      <w:lvlJc w:val="left"/>
      <w:pPr>
        <w:ind w:left="780" w:hanging="360"/>
      </w:pPr>
    </w:lvl>
    <w:lvl w:ilvl="8">
      <w:start w:val="1"/>
      <w:numFmt w:val="decimal"/>
      <w:lvlText w:val="%1.%2.%3.%4.%5.%6.%7.%8.%9."/>
      <w:lvlJc w:val="left"/>
      <w:pPr>
        <w:ind w:left="840" w:hanging="360"/>
      </w:pPr>
    </w:lvl>
  </w:abstractNum>
  <w:abstractNum w:abstractNumId="2" w15:restartNumberingAfterBreak="0">
    <w:nsid w:val="0000000E"/>
    <w:multiLevelType w:val="singleLevel"/>
    <w:tmpl w:val="0000000E"/>
    <w:name w:val="WW8Num12"/>
    <w:lvl w:ilvl="0">
      <w:start w:val="1"/>
      <w:numFmt w:val="lowerLetter"/>
      <w:lvlText w:val="%1)"/>
      <w:lvlJc w:val="left"/>
      <w:pPr>
        <w:tabs>
          <w:tab w:val="num" w:pos="720"/>
        </w:tabs>
        <w:ind w:left="720" w:hanging="360"/>
      </w:pPr>
    </w:lvl>
  </w:abstractNum>
  <w:abstractNum w:abstractNumId="3" w15:restartNumberingAfterBreak="0">
    <w:nsid w:val="05D01B85"/>
    <w:multiLevelType w:val="hybridMultilevel"/>
    <w:tmpl w:val="B148B226"/>
    <w:lvl w:ilvl="0" w:tplc="35B4C70C">
      <w:start w:val="1"/>
      <w:numFmt w:val="lowerLetter"/>
      <w:lvlText w:val="%1)"/>
      <w:lvlJc w:val="left"/>
      <w:pPr>
        <w:tabs>
          <w:tab w:val="num" w:pos="1065"/>
        </w:tabs>
        <w:ind w:left="1065" w:hanging="360"/>
      </w:pPr>
    </w:lvl>
    <w:lvl w:ilvl="1" w:tplc="04160019">
      <w:start w:val="1"/>
      <w:numFmt w:val="lowerLetter"/>
      <w:lvlText w:val="%2."/>
      <w:lvlJc w:val="left"/>
      <w:pPr>
        <w:tabs>
          <w:tab w:val="num" w:pos="1785"/>
        </w:tabs>
        <w:ind w:left="1785" w:hanging="360"/>
      </w:pPr>
    </w:lvl>
    <w:lvl w:ilvl="2" w:tplc="0416001B">
      <w:start w:val="1"/>
      <w:numFmt w:val="lowerRoman"/>
      <w:lvlText w:val="%3."/>
      <w:lvlJc w:val="right"/>
      <w:pPr>
        <w:tabs>
          <w:tab w:val="num" w:pos="2505"/>
        </w:tabs>
        <w:ind w:left="2505" w:hanging="180"/>
      </w:pPr>
    </w:lvl>
    <w:lvl w:ilvl="3" w:tplc="0416000F">
      <w:start w:val="1"/>
      <w:numFmt w:val="decimal"/>
      <w:lvlText w:val="%4."/>
      <w:lvlJc w:val="left"/>
      <w:pPr>
        <w:tabs>
          <w:tab w:val="num" w:pos="3225"/>
        </w:tabs>
        <w:ind w:left="3225" w:hanging="360"/>
      </w:pPr>
    </w:lvl>
    <w:lvl w:ilvl="4" w:tplc="04160019">
      <w:start w:val="1"/>
      <w:numFmt w:val="lowerLetter"/>
      <w:lvlText w:val="%5."/>
      <w:lvlJc w:val="left"/>
      <w:pPr>
        <w:tabs>
          <w:tab w:val="num" w:pos="3945"/>
        </w:tabs>
        <w:ind w:left="3945" w:hanging="360"/>
      </w:pPr>
    </w:lvl>
    <w:lvl w:ilvl="5" w:tplc="0416001B">
      <w:start w:val="1"/>
      <w:numFmt w:val="lowerRoman"/>
      <w:lvlText w:val="%6."/>
      <w:lvlJc w:val="right"/>
      <w:pPr>
        <w:tabs>
          <w:tab w:val="num" w:pos="4665"/>
        </w:tabs>
        <w:ind w:left="4665" w:hanging="180"/>
      </w:pPr>
    </w:lvl>
    <w:lvl w:ilvl="6" w:tplc="0416000F">
      <w:start w:val="1"/>
      <w:numFmt w:val="decimal"/>
      <w:lvlText w:val="%7."/>
      <w:lvlJc w:val="left"/>
      <w:pPr>
        <w:tabs>
          <w:tab w:val="num" w:pos="5385"/>
        </w:tabs>
        <w:ind w:left="5385" w:hanging="360"/>
      </w:pPr>
    </w:lvl>
    <w:lvl w:ilvl="7" w:tplc="04160019">
      <w:start w:val="1"/>
      <w:numFmt w:val="lowerLetter"/>
      <w:lvlText w:val="%8."/>
      <w:lvlJc w:val="left"/>
      <w:pPr>
        <w:tabs>
          <w:tab w:val="num" w:pos="6105"/>
        </w:tabs>
        <w:ind w:left="6105" w:hanging="360"/>
      </w:pPr>
    </w:lvl>
    <w:lvl w:ilvl="8" w:tplc="0416001B">
      <w:start w:val="1"/>
      <w:numFmt w:val="lowerRoman"/>
      <w:lvlText w:val="%9."/>
      <w:lvlJc w:val="right"/>
      <w:pPr>
        <w:tabs>
          <w:tab w:val="num" w:pos="6825"/>
        </w:tabs>
        <w:ind w:left="6825" w:hanging="180"/>
      </w:pPr>
    </w:lvl>
  </w:abstractNum>
  <w:abstractNum w:abstractNumId="4" w15:restartNumberingAfterBreak="0">
    <w:nsid w:val="13D92330"/>
    <w:multiLevelType w:val="hybridMultilevel"/>
    <w:tmpl w:val="44909E4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75A161A"/>
    <w:multiLevelType w:val="hybridMultilevel"/>
    <w:tmpl w:val="16BA1BFC"/>
    <w:lvl w:ilvl="0" w:tplc="8478733A">
      <w:start w:val="1"/>
      <w:numFmt w:val="decimal"/>
      <w:lvlText w:val="%1."/>
      <w:lvlJc w:val="left"/>
      <w:pPr>
        <w:ind w:left="720" w:hanging="360"/>
      </w:pPr>
      <w:rPr>
        <w:rFonts w:hint="default"/>
        <w:b w:val="0"/>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424866"/>
    <w:multiLevelType w:val="multilevel"/>
    <w:tmpl w:val="6F0EDD16"/>
    <w:lvl w:ilvl="0">
      <w:start w:val="8"/>
      <w:numFmt w:val="decimal"/>
      <w:lvlText w:val="%1.0"/>
      <w:lvlJc w:val="left"/>
      <w:pPr>
        <w:tabs>
          <w:tab w:val="num" w:pos="2130"/>
        </w:tabs>
        <w:ind w:left="2130" w:hanging="720"/>
      </w:pPr>
      <w:rPr>
        <w:rFonts w:hint="default"/>
      </w:rPr>
    </w:lvl>
    <w:lvl w:ilvl="1">
      <w:start w:val="1"/>
      <w:numFmt w:val="decimal"/>
      <w:lvlText w:val="%1.%2"/>
      <w:lvlJc w:val="left"/>
      <w:pPr>
        <w:tabs>
          <w:tab w:val="num" w:pos="2838"/>
        </w:tabs>
        <w:ind w:left="2838" w:hanging="720"/>
      </w:pPr>
      <w:rPr>
        <w:rFonts w:hint="default"/>
      </w:rPr>
    </w:lvl>
    <w:lvl w:ilvl="2">
      <w:start w:val="1"/>
      <w:numFmt w:val="decimal"/>
      <w:lvlText w:val="%1.%2.%3"/>
      <w:lvlJc w:val="left"/>
      <w:pPr>
        <w:tabs>
          <w:tab w:val="num" w:pos="3546"/>
        </w:tabs>
        <w:ind w:left="3546" w:hanging="720"/>
      </w:pPr>
      <w:rPr>
        <w:rFonts w:hint="default"/>
      </w:rPr>
    </w:lvl>
    <w:lvl w:ilvl="3">
      <w:start w:val="1"/>
      <w:numFmt w:val="decimal"/>
      <w:lvlText w:val="%1.%2.%3.%4"/>
      <w:lvlJc w:val="left"/>
      <w:pPr>
        <w:tabs>
          <w:tab w:val="num" w:pos="4254"/>
        </w:tabs>
        <w:ind w:left="4254" w:hanging="720"/>
      </w:pPr>
      <w:rPr>
        <w:rFonts w:hint="default"/>
      </w:rPr>
    </w:lvl>
    <w:lvl w:ilvl="4">
      <w:start w:val="1"/>
      <w:numFmt w:val="decimal"/>
      <w:lvlText w:val="%1.%2.%3.%4.%5"/>
      <w:lvlJc w:val="left"/>
      <w:pPr>
        <w:tabs>
          <w:tab w:val="num" w:pos="4962"/>
        </w:tabs>
        <w:ind w:left="4962" w:hanging="720"/>
      </w:pPr>
      <w:rPr>
        <w:rFonts w:hint="default"/>
      </w:rPr>
    </w:lvl>
    <w:lvl w:ilvl="5">
      <w:start w:val="1"/>
      <w:numFmt w:val="decimal"/>
      <w:lvlText w:val="%1.%2.%3.%4.%5.%6"/>
      <w:lvlJc w:val="left"/>
      <w:pPr>
        <w:tabs>
          <w:tab w:val="num" w:pos="6030"/>
        </w:tabs>
        <w:ind w:left="6030" w:hanging="1080"/>
      </w:pPr>
      <w:rPr>
        <w:rFonts w:hint="default"/>
      </w:rPr>
    </w:lvl>
    <w:lvl w:ilvl="6">
      <w:start w:val="1"/>
      <w:numFmt w:val="decimal"/>
      <w:lvlText w:val="%1.%2.%3.%4.%5.%6.%7"/>
      <w:lvlJc w:val="left"/>
      <w:pPr>
        <w:tabs>
          <w:tab w:val="num" w:pos="6738"/>
        </w:tabs>
        <w:ind w:left="6738" w:hanging="1080"/>
      </w:pPr>
      <w:rPr>
        <w:rFonts w:hint="default"/>
      </w:rPr>
    </w:lvl>
    <w:lvl w:ilvl="7">
      <w:start w:val="1"/>
      <w:numFmt w:val="decimal"/>
      <w:lvlText w:val="%1.%2.%3.%4.%5.%6.%7.%8"/>
      <w:lvlJc w:val="left"/>
      <w:pPr>
        <w:tabs>
          <w:tab w:val="num" w:pos="7806"/>
        </w:tabs>
        <w:ind w:left="7806" w:hanging="1440"/>
      </w:pPr>
      <w:rPr>
        <w:rFonts w:hint="default"/>
      </w:rPr>
    </w:lvl>
    <w:lvl w:ilvl="8">
      <w:start w:val="1"/>
      <w:numFmt w:val="decimal"/>
      <w:lvlText w:val="%1.%2.%3.%4.%5.%6.%7.%8.%9"/>
      <w:lvlJc w:val="left"/>
      <w:pPr>
        <w:tabs>
          <w:tab w:val="num" w:pos="8514"/>
        </w:tabs>
        <w:ind w:left="8514" w:hanging="1440"/>
      </w:pPr>
      <w:rPr>
        <w:rFonts w:hint="default"/>
      </w:rPr>
    </w:lvl>
  </w:abstractNum>
  <w:abstractNum w:abstractNumId="7" w15:restartNumberingAfterBreak="0">
    <w:nsid w:val="23CF7130"/>
    <w:multiLevelType w:val="multilevel"/>
    <w:tmpl w:val="9A9CF844"/>
    <w:lvl w:ilvl="0">
      <w:start w:val="1"/>
      <w:numFmt w:val="decimal"/>
      <w:lvlText w:val="%1."/>
      <w:lvlJc w:val="left"/>
      <w:pPr>
        <w:ind w:left="420" w:hanging="420"/>
      </w:pPr>
      <w:rPr>
        <w:rFonts w:ascii="Arial" w:hAnsi="Arial" w:hint="default"/>
      </w:rPr>
    </w:lvl>
    <w:lvl w:ilvl="1">
      <w:start w:val="1"/>
      <w:numFmt w:val="decimal"/>
      <w:lvlText w:val="%1.%2."/>
      <w:lvlJc w:val="left"/>
      <w:pPr>
        <w:ind w:left="420" w:hanging="4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8" w15:restartNumberingAfterBreak="0">
    <w:nsid w:val="29A266F9"/>
    <w:multiLevelType w:val="hybridMultilevel"/>
    <w:tmpl w:val="4948A2D4"/>
    <w:lvl w:ilvl="0" w:tplc="01C67628">
      <w:start w:val="1"/>
      <w:numFmt w:val="bullet"/>
      <w:lvlText w:val=""/>
      <w:lvlJc w:val="left"/>
      <w:pPr>
        <w:tabs>
          <w:tab w:val="num" w:pos="1065"/>
        </w:tabs>
        <w:ind w:left="1065" w:hanging="360"/>
      </w:pPr>
      <w:rPr>
        <w:rFonts w:ascii="Symbol" w:eastAsia="Times New Roman" w:hAnsi="Symbol" w:hint="default"/>
      </w:rPr>
    </w:lvl>
    <w:lvl w:ilvl="1" w:tplc="04160003">
      <w:start w:val="1"/>
      <w:numFmt w:val="bullet"/>
      <w:lvlText w:val="o"/>
      <w:lvlJc w:val="left"/>
      <w:pPr>
        <w:tabs>
          <w:tab w:val="num" w:pos="1785"/>
        </w:tabs>
        <w:ind w:left="1785" w:hanging="360"/>
      </w:pPr>
      <w:rPr>
        <w:rFonts w:ascii="Courier New" w:hAnsi="Courier New" w:cs="Courier New" w:hint="default"/>
      </w:rPr>
    </w:lvl>
    <w:lvl w:ilvl="2" w:tplc="04160005">
      <w:start w:val="1"/>
      <w:numFmt w:val="bullet"/>
      <w:lvlText w:val=""/>
      <w:lvlJc w:val="left"/>
      <w:pPr>
        <w:tabs>
          <w:tab w:val="num" w:pos="2505"/>
        </w:tabs>
        <w:ind w:left="2505" w:hanging="360"/>
      </w:pPr>
      <w:rPr>
        <w:rFonts w:ascii="Wingdings" w:hAnsi="Wingdings" w:cs="Times New Roman" w:hint="default"/>
      </w:rPr>
    </w:lvl>
    <w:lvl w:ilvl="3" w:tplc="04160001">
      <w:start w:val="1"/>
      <w:numFmt w:val="bullet"/>
      <w:lvlText w:val=""/>
      <w:lvlJc w:val="left"/>
      <w:pPr>
        <w:tabs>
          <w:tab w:val="num" w:pos="3225"/>
        </w:tabs>
        <w:ind w:left="3225" w:hanging="360"/>
      </w:pPr>
      <w:rPr>
        <w:rFonts w:ascii="Symbol" w:hAnsi="Symbol" w:cs="Times New Roman" w:hint="default"/>
      </w:rPr>
    </w:lvl>
    <w:lvl w:ilvl="4" w:tplc="04160003">
      <w:start w:val="1"/>
      <w:numFmt w:val="bullet"/>
      <w:lvlText w:val="o"/>
      <w:lvlJc w:val="left"/>
      <w:pPr>
        <w:tabs>
          <w:tab w:val="num" w:pos="3945"/>
        </w:tabs>
        <w:ind w:left="3945" w:hanging="360"/>
      </w:pPr>
      <w:rPr>
        <w:rFonts w:ascii="Courier New" w:hAnsi="Courier New" w:cs="Courier New" w:hint="default"/>
      </w:rPr>
    </w:lvl>
    <w:lvl w:ilvl="5" w:tplc="04160005">
      <w:start w:val="1"/>
      <w:numFmt w:val="bullet"/>
      <w:lvlText w:val=""/>
      <w:lvlJc w:val="left"/>
      <w:pPr>
        <w:tabs>
          <w:tab w:val="num" w:pos="4665"/>
        </w:tabs>
        <w:ind w:left="4665" w:hanging="360"/>
      </w:pPr>
      <w:rPr>
        <w:rFonts w:ascii="Wingdings" w:hAnsi="Wingdings" w:cs="Times New Roman" w:hint="default"/>
      </w:rPr>
    </w:lvl>
    <w:lvl w:ilvl="6" w:tplc="04160001">
      <w:start w:val="1"/>
      <w:numFmt w:val="bullet"/>
      <w:lvlText w:val=""/>
      <w:lvlJc w:val="left"/>
      <w:pPr>
        <w:tabs>
          <w:tab w:val="num" w:pos="5385"/>
        </w:tabs>
        <w:ind w:left="5385" w:hanging="360"/>
      </w:pPr>
      <w:rPr>
        <w:rFonts w:ascii="Symbol" w:hAnsi="Symbol" w:cs="Times New Roman" w:hint="default"/>
      </w:rPr>
    </w:lvl>
    <w:lvl w:ilvl="7" w:tplc="04160003">
      <w:start w:val="1"/>
      <w:numFmt w:val="bullet"/>
      <w:lvlText w:val="o"/>
      <w:lvlJc w:val="left"/>
      <w:pPr>
        <w:tabs>
          <w:tab w:val="num" w:pos="6105"/>
        </w:tabs>
        <w:ind w:left="6105" w:hanging="360"/>
      </w:pPr>
      <w:rPr>
        <w:rFonts w:ascii="Courier New" w:hAnsi="Courier New" w:cs="Courier New" w:hint="default"/>
      </w:rPr>
    </w:lvl>
    <w:lvl w:ilvl="8" w:tplc="04160005">
      <w:start w:val="1"/>
      <w:numFmt w:val="bullet"/>
      <w:lvlText w:val=""/>
      <w:lvlJc w:val="left"/>
      <w:pPr>
        <w:tabs>
          <w:tab w:val="num" w:pos="6825"/>
        </w:tabs>
        <w:ind w:left="6825" w:hanging="360"/>
      </w:pPr>
      <w:rPr>
        <w:rFonts w:ascii="Wingdings" w:hAnsi="Wingdings" w:cs="Times New Roman" w:hint="default"/>
      </w:rPr>
    </w:lvl>
  </w:abstractNum>
  <w:abstractNum w:abstractNumId="9" w15:restartNumberingAfterBreak="0">
    <w:nsid w:val="32146F8F"/>
    <w:multiLevelType w:val="hybridMultilevel"/>
    <w:tmpl w:val="92F2DEF2"/>
    <w:lvl w:ilvl="0" w:tplc="0B36773C">
      <w:start w:val="130"/>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86068F"/>
    <w:multiLevelType w:val="multilevel"/>
    <w:tmpl w:val="BCBABD4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DA6707"/>
    <w:multiLevelType w:val="hybridMultilevel"/>
    <w:tmpl w:val="2D78C6E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7B085B"/>
    <w:multiLevelType w:val="hybridMultilevel"/>
    <w:tmpl w:val="04E28A10"/>
    <w:lvl w:ilvl="0" w:tplc="BED453D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081D29"/>
    <w:multiLevelType w:val="hybridMultilevel"/>
    <w:tmpl w:val="0616EF98"/>
    <w:lvl w:ilvl="0" w:tplc="2548B1F2">
      <w:start w:val="1"/>
      <w:numFmt w:val="lowerLetter"/>
      <w:lvlText w:val="%1)"/>
      <w:lvlJc w:val="left"/>
      <w:pPr>
        <w:tabs>
          <w:tab w:val="num" w:pos="1065"/>
        </w:tabs>
        <w:ind w:left="1065"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4" w15:restartNumberingAfterBreak="0">
    <w:nsid w:val="53C31796"/>
    <w:multiLevelType w:val="hybridMultilevel"/>
    <w:tmpl w:val="48F2B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4E22C53"/>
    <w:multiLevelType w:val="singleLevel"/>
    <w:tmpl w:val="04160017"/>
    <w:lvl w:ilvl="0">
      <w:start w:val="1"/>
      <w:numFmt w:val="lowerLetter"/>
      <w:lvlText w:val="%1)"/>
      <w:lvlJc w:val="left"/>
      <w:pPr>
        <w:tabs>
          <w:tab w:val="num" w:pos="360"/>
        </w:tabs>
        <w:ind w:left="360" w:hanging="360"/>
      </w:pPr>
    </w:lvl>
  </w:abstractNum>
  <w:abstractNum w:abstractNumId="16" w15:restartNumberingAfterBreak="0">
    <w:nsid w:val="5CA97874"/>
    <w:multiLevelType w:val="multilevel"/>
    <w:tmpl w:val="F602643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5E29236B"/>
    <w:multiLevelType w:val="multilevel"/>
    <w:tmpl w:val="B880B8D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8A1734"/>
    <w:multiLevelType w:val="hybridMultilevel"/>
    <w:tmpl w:val="707E08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9E25F1E"/>
    <w:multiLevelType w:val="multilevel"/>
    <w:tmpl w:val="99DAED4A"/>
    <w:lvl w:ilvl="0">
      <w:start w:val="1"/>
      <w:numFmt w:val="decimal"/>
      <w:lvlText w:val="%1.0"/>
      <w:lvlJc w:val="left"/>
      <w:pPr>
        <w:tabs>
          <w:tab w:val="num" w:pos="480"/>
        </w:tabs>
        <w:ind w:left="480" w:hanging="480"/>
      </w:pPr>
      <w:rPr>
        <w:rFonts w:hint="default"/>
      </w:rPr>
    </w:lvl>
    <w:lvl w:ilvl="1">
      <w:start w:val="1"/>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0" w15:restartNumberingAfterBreak="0">
    <w:nsid w:val="7B3278F5"/>
    <w:multiLevelType w:val="multilevel"/>
    <w:tmpl w:val="2380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467AEC"/>
    <w:multiLevelType w:val="multilevel"/>
    <w:tmpl w:val="F690BC06"/>
    <w:lvl w:ilvl="0">
      <w:start w:val="1"/>
      <w:numFmt w:val="decimal"/>
      <w:lvlText w:val="%1"/>
      <w:lvlJc w:val="left"/>
      <w:pPr>
        <w:tabs>
          <w:tab w:val="num" w:pos="450"/>
        </w:tabs>
        <w:ind w:left="450" w:hanging="45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2160"/>
        </w:tabs>
        <w:ind w:left="2160" w:hanging="2160"/>
      </w:pPr>
      <w:rPr>
        <w:b/>
      </w:rPr>
    </w:lvl>
    <w:lvl w:ilvl="8">
      <w:start w:val="1"/>
      <w:numFmt w:val="decimal"/>
      <w:lvlText w:val="%1.%2.%3.%4.%5.%6.%7.%8.%9"/>
      <w:lvlJc w:val="left"/>
      <w:pPr>
        <w:tabs>
          <w:tab w:val="num" w:pos="2160"/>
        </w:tabs>
        <w:ind w:left="2160" w:hanging="2160"/>
      </w:pPr>
      <w:rPr>
        <w:b/>
      </w:rPr>
    </w:lvl>
  </w:abstractNum>
  <w:abstractNum w:abstractNumId="22" w15:restartNumberingAfterBreak="0">
    <w:nsid w:val="7E0B3F5A"/>
    <w:multiLevelType w:val="multilevel"/>
    <w:tmpl w:val="3C5290C8"/>
    <w:lvl w:ilvl="0">
      <w:start w:val="1"/>
      <w:numFmt w:val="upperLetter"/>
      <w:lvlText w:val="%1."/>
      <w:lvlJc w:val="left"/>
      <w:pPr>
        <w:ind w:left="0" w:firstLine="0"/>
      </w:pPr>
      <w:rPr>
        <w:b/>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16cid:durableId="649216826">
    <w:abstractNumId w:val="12"/>
  </w:num>
  <w:num w:numId="2" w16cid:durableId="168906603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5413427">
    <w:abstractNumId w:val="8"/>
  </w:num>
  <w:num w:numId="4" w16cid:durableId="2092920256">
    <w:abstractNumId w:val="9"/>
  </w:num>
  <w:num w:numId="5" w16cid:durableId="2043478532">
    <w:abstractNumId w:val="5"/>
  </w:num>
  <w:num w:numId="6" w16cid:durableId="1905556603">
    <w:abstractNumId w:val="7"/>
  </w:num>
  <w:num w:numId="7" w16cid:durableId="167864293">
    <w:abstractNumId w:val="19"/>
  </w:num>
  <w:num w:numId="8" w16cid:durableId="1435902764">
    <w:abstractNumId w:val="22"/>
  </w:num>
  <w:num w:numId="9" w16cid:durableId="1244222176">
    <w:abstractNumId w:val="14"/>
  </w:num>
  <w:num w:numId="10" w16cid:durableId="60641407">
    <w:abstractNumId w:val="18"/>
  </w:num>
  <w:num w:numId="11" w16cid:durableId="1323120428">
    <w:abstractNumId w:val="15"/>
    <w:lvlOverride w:ilvl="0">
      <w:startOverride w:val="1"/>
    </w:lvlOverride>
  </w:num>
  <w:num w:numId="12" w16cid:durableId="1138837467">
    <w:abstractNumId w:val="10"/>
  </w:num>
  <w:num w:numId="13" w16cid:durableId="1106853342">
    <w:abstractNumId w:val="11"/>
  </w:num>
  <w:num w:numId="14" w16cid:durableId="2081515040">
    <w:abstractNumId w:val="4"/>
  </w:num>
  <w:num w:numId="15" w16cid:durableId="1551459296">
    <w:abstractNumId w:val="0"/>
  </w:num>
  <w:num w:numId="16" w16cid:durableId="1660965208">
    <w:abstractNumId w:val="16"/>
  </w:num>
  <w:num w:numId="17" w16cid:durableId="414204892">
    <w:abstractNumId w:val="21"/>
  </w:num>
  <w:num w:numId="18" w16cid:durableId="915553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4385067">
    <w:abstractNumId w:val="3"/>
  </w:num>
  <w:num w:numId="20" w16cid:durableId="1025060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9002980">
    <w:abstractNumId w:val="13"/>
  </w:num>
  <w:num w:numId="22" w16cid:durableId="14774498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8747349">
    <w:abstractNumId w:val="2"/>
  </w:num>
  <w:num w:numId="24" w16cid:durableId="159465113">
    <w:abstractNumId w:val="17"/>
  </w:num>
  <w:num w:numId="25" w16cid:durableId="1255439590">
    <w:abstractNumId w:val="20"/>
  </w:num>
  <w:num w:numId="26" w16cid:durableId="1668485289">
    <w:abstractNumId w:val="6"/>
  </w:num>
  <w:num w:numId="27" w16cid:durableId="5539280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686E"/>
    <w:rsid w:val="0000244D"/>
    <w:rsid w:val="00003C78"/>
    <w:rsid w:val="00006598"/>
    <w:rsid w:val="000072ED"/>
    <w:rsid w:val="00010FCA"/>
    <w:rsid w:val="00017FF7"/>
    <w:rsid w:val="000304F7"/>
    <w:rsid w:val="0003703F"/>
    <w:rsid w:val="0004466D"/>
    <w:rsid w:val="0005113A"/>
    <w:rsid w:val="00053668"/>
    <w:rsid w:val="000549D8"/>
    <w:rsid w:val="00054BB5"/>
    <w:rsid w:val="00054D02"/>
    <w:rsid w:val="00056F4A"/>
    <w:rsid w:val="00057F8E"/>
    <w:rsid w:val="000665BF"/>
    <w:rsid w:val="000713C1"/>
    <w:rsid w:val="000926AA"/>
    <w:rsid w:val="00095466"/>
    <w:rsid w:val="000A35E8"/>
    <w:rsid w:val="000A3C4B"/>
    <w:rsid w:val="000A5FF8"/>
    <w:rsid w:val="000B0396"/>
    <w:rsid w:val="000B1B19"/>
    <w:rsid w:val="000B241B"/>
    <w:rsid w:val="000B2EAE"/>
    <w:rsid w:val="000B42AA"/>
    <w:rsid w:val="000B591E"/>
    <w:rsid w:val="000B72D3"/>
    <w:rsid w:val="000B778F"/>
    <w:rsid w:val="000C1855"/>
    <w:rsid w:val="000C7900"/>
    <w:rsid w:val="000D34D7"/>
    <w:rsid w:val="000D68F1"/>
    <w:rsid w:val="000E061C"/>
    <w:rsid w:val="000E5168"/>
    <w:rsid w:val="000E6AD0"/>
    <w:rsid w:val="0010063B"/>
    <w:rsid w:val="0010383F"/>
    <w:rsid w:val="0011011F"/>
    <w:rsid w:val="0011286F"/>
    <w:rsid w:val="0011303F"/>
    <w:rsid w:val="001133CC"/>
    <w:rsid w:val="00123BF6"/>
    <w:rsid w:val="00145197"/>
    <w:rsid w:val="001467F0"/>
    <w:rsid w:val="001514DC"/>
    <w:rsid w:val="00151D70"/>
    <w:rsid w:val="00153671"/>
    <w:rsid w:val="00153F38"/>
    <w:rsid w:val="001564CA"/>
    <w:rsid w:val="00160552"/>
    <w:rsid w:val="00180BCE"/>
    <w:rsid w:val="0018399A"/>
    <w:rsid w:val="0018788B"/>
    <w:rsid w:val="001934F9"/>
    <w:rsid w:val="00193FAE"/>
    <w:rsid w:val="001968F2"/>
    <w:rsid w:val="001A67E6"/>
    <w:rsid w:val="001B0129"/>
    <w:rsid w:val="001B2EFD"/>
    <w:rsid w:val="001B4029"/>
    <w:rsid w:val="001B5B05"/>
    <w:rsid w:val="001D4F01"/>
    <w:rsid w:val="001D7138"/>
    <w:rsid w:val="001E155E"/>
    <w:rsid w:val="001F33A9"/>
    <w:rsid w:val="001F6693"/>
    <w:rsid w:val="001F7E87"/>
    <w:rsid w:val="002005AA"/>
    <w:rsid w:val="00203FD6"/>
    <w:rsid w:val="002066B7"/>
    <w:rsid w:val="0021246F"/>
    <w:rsid w:val="0021249F"/>
    <w:rsid w:val="00217CFA"/>
    <w:rsid w:val="00221F82"/>
    <w:rsid w:val="00224D38"/>
    <w:rsid w:val="00226D68"/>
    <w:rsid w:val="00232D12"/>
    <w:rsid w:val="00240E2C"/>
    <w:rsid w:val="00254199"/>
    <w:rsid w:val="00256711"/>
    <w:rsid w:val="00261137"/>
    <w:rsid w:val="0026365E"/>
    <w:rsid w:val="00266B7E"/>
    <w:rsid w:val="00271A8B"/>
    <w:rsid w:val="002963D2"/>
    <w:rsid w:val="002967E2"/>
    <w:rsid w:val="002A3A41"/>
    <w:rsid w:val="002A5C21"/>
    <w:rsid w:val="002B3333"/>
    <w:rsid w:val="002B5E6D"/>
    <w:rsid w:val="002C2FEA"/>
    <w:rsid w:val="002C4F9F"/>
    <w:rsid w:val="002D7E4E"/>
    <w:rsid w:val="002E0056"/>
    <w:rsid w:val="002E0A11"/>
    <w:rsid w:val="002E3A92"/>
    <w:rsid w:val="002E3BE6"/>
    <w:rsid w:val="002E70F0"/>
    <w:rsid w:val="002F0234"/>
    <w:rsid w:val="002F5E92"/>
    <w:rsid w:val="00302947"/>
    <w:rsid w:val="00303E69"/>
    <w:rsid w:val="00304DE0"/>
    <w:rsid w:val="00313232"/>
    <w:rsid w:val="00313C16"/>
    <w:rsid w:val="00314E63"/>
    <w:rsid w:val="0031592F"/>
    <w:rsid w:val="00317952"/>
    <w:rsid w:val="00320C05"/>
    <w:rsid w:val="0032274E"/>
    <w:rsid w:val="00322F29"/>
    <w:rsid w:val="0032334C"/>
    <w:rsid w:val="00323B56"/>
    <w:rsid w:val="00330FDA"/>
    <w:rsid w:val="00340AF9"/>
    <w:rsid w:val="003512D3"/>
    <w:rsid w:val="00352E4A"/>
    <w:rsid w:val="003537A5"/>
    <w:rsid w:val="003568BC"/>
    <w:rsid w:val="00364FB1"/>
    <w:rsid w:val="00367E7A"/>
    <w:rsid w:val="00373A1A"/>
    <w:rsid w:val="00384774"/>
    <w:rsid w:val="00385FD8"/>
    <w:rsid w:val="0038763E"/>
    <w:rsid w:val="00387AE9"/>
    <w:rsid w:val="00392B43"/>
    <w:rsid w:val="003935D7"/>
    <w:rsid w:val="00395675"/>
    <w:rsid w:val="003A58D8"/>
    <w:rsid w:val="003A6AA8"/>
    <w:rsid w:val="003B03B4"/>
    <w:rsid w:val="003B299F"/>
    <w:rsid w:val="003B2FC3"/>
    <w:rsid w:val="003B5AD6"/>
    <w:rsid w:val="003C401D"/>
    <w:rsid w:val="003C5A7E"/>
    <w:rsid w:val="003C64A9"/>
    <w:rsid w:val="003D2881"/>
    <w:rsid w:val="003D3760"/>
    <w:rsid w:val="003D65CC"/>
    <w:rsid w:val="003E70F1"/>
    <w:rsid w:val="003F2A01"/>
    <w:rsid w:val="003F51EA"/>
    <w:rsid w:val="003F6FEE"/>
    <w:rsid w:val="00415517"/>
    <w:rsid w:val="00417EE2"/>
    <w:rsid w:val="00423ADE"/>
    <w:rsid w:val="00424F21"/>
    <w:rsid w:val="0043045C"/>
    <w:rsid w:val="00431054"/>
    <w:rsid w:val="004332EB"/>
    <w:rsid w:val="0043610A"/>
    <w:rsid w:val="00437D8E"/>
    <w:rsid w:val="004506D9"/>
    <w:rsid w:val="00460D58"/>
    <w:rsid w:val="00465B94"/>
    <w:rsid w:val="00466D1D"/>
    <w:rsid w:val="00467F58"/>
    <w:rsid w:val="00470C70"/>
    <w:rsid w:val="004710BA"/>
    <w:rsid w:val="00471ACA"/>
    <w:rsid w:val="0048236E"/>
    <w:rsid w:val="0048371A"/>
    <w:rsid w:val="004848FC"/>
    <w:rsid w:val="004853E2"/>
    <w:rsid w:val="00486617"/>
    <w:rsid w:val="0048746A"/>
    <w:rsid w:val="0048798A"/>
    <w:rsid w:val="004915BE"/>
    <w:rsid w:val="00492D0B"/>
    <w:rsid w:val="00494A6F"/>
    <w:rsid w:val="004B5671"/>
    <w:rsid w:val="004B5769"/>
    <w:rsid w:val="004C2CA0"/>
    <w:rsid w:val="004C41AA"/>
    <w:rsid w:val="004C4D14"/>
    <w:rsid w:val="004C73BC"/>
    <w:rsid w:val="004E17CC"/>
    <w:rsid w:val="004E7448"/>
    <w:rsid w:val="00502FC0"/>
    <w:rsid w:val="00505580"/>
    <w:rsid w:val="00507AC0"/>
    <w:rsid w:val="005119A1"/>
    <w:rsid w:val="00517813"/>
    <w:rsid w:val="00523843"/>
    <w:rsid w:val="00527C72"/>
    <w:rsid w:val="0053028F"/>
    <w:rsid w:val="0053371E"/>
    <w:rsid w:val="005414AC"/>
    <w:rsid w:val="00544F9F"/>
    <w:rsid w:val="00554327"/>
    <w:rsid w:val="00556047"/>
    <w:rsid w:val="00556BA7"/>
    <w:rsid w:val="00557F89"/>
    <w:rsid w:val="0056386E"/>
    <w:rsid w:val="00564DD3"/>
    <w:rsid w:val="00565F19"/>
    <w:rsid w:val="00572DE4"/>
    <w:rsid w:val="00573580"/>
    <w:rsid w:val="005743FA"/>
    <w:rsid w:val="00577C93"/>
    <w:rsid w:val="00584296"/>
    <w:rsid w:val="00586B10"/>
    <w:rsid w:val="00591D2B"/>
    <w:rsid w:val="00595696"/>
    <w:rsid w:val="00597261"/>
    <w:rsid w:val="005A0518"/>
    <w:rsid w:val="005A1D9C"/>
    <w:rsid w:val="005A5A34"/>
    <w:rsid w:val="005A5B68"/>
    <w:rsid w:val="005C3DFD"/>
    <w:rsid w:val="005D1303"/>
    <w:rsid w:val="005D33DB"/>
    <w:rsid w:val="005D5789"/>
    <w:rsid w:val="005E328A"/>
    <w:rsid w:val="005E498D"/>
    <w:rsid w:val="005F2EC5"/>
    <w:rsid w:val="005F3370"/>
    <w:rsid w:val="005F7199"/>
    <w:rsid w:val="00601063"/>
    <w:rsid w:val="00605620"/>
    <w:rsid w:val="0060582C"/>
    <w:rsid w:val="006104E0"/>
    <w:rsid w:val="00614E9A"/>
    <w:rsid w:val="006155A2"/>
    <w:rsid w:val="00616627"/>
    <w:rsid w:val="00622E62"/>
    <w:rsid w:val="00632CA2"/>
    <w:rsid w:val="006334C5"/>
    <w:rsid w:val="00640839"/>
    <w:rsid w:val="00641F3E"/>
    <w:rsid w:val="006441C5"/>
    <w:rsid w:val="00656465"/>
    <w:rsid w:val="00675DFA"/>
    <w:rsid w:val="00683C43"/>
    <w:rsid w:val="00685622"/>
    <w:rsid w:val="00691BCF"/>
    <w:rsid w:val="006929C0"/>
    <w:rsid w:val="0069345D"/>
    <w:rsid w:val="00693736"/>
    <w:rsid w:val="006A0AE2"/>
    <w:rsid w:val="006A2F1A"/>
    <w:rsid w:val="006A57F1"/>
    <w:rsid w:val="006A61A0"/>
    <w:rsid w:val="006A79ED"/>
    <w:rsid w:val="006B0BAB"/>
    <w:rsid w:val="006B7A60"/>
    <w:rsid w:val="006C1C71"/>
    <w:rsid w:val="006C3E5E"/>
    <w:rsid w:val="006D35DB"/>
    <w:rsid w:val="006D398E"/>
    <w:rsid w:val="006D7CED"/>
    <w:rsid w:val="006E43B3"/>
    <w:rsid w:val="006E51FA"/>
    <w:rsid w:val="006F0AC0"/>
    <w:rsid w:val="006F3664"/>
    <w:rsid w:val="006F37B4"/>
    <w:rsid w:val="006F3859"/>
    <w:rsid w:val="006F6742"/>
    <w:rsid w:val="007066D7"/>
    <w:rsid w:val="00717825"/>
    <w:rsid w:val="00717C64"/>
    <w:rsid w:val="00720CE5"/>
    <w:rsid w:val="00721DF8"/>
    <w:rsid w:val="007227D0"/>
    <w:rsid w:val="00723179"/>
    <w:rsid w:val="00733E63"/>
    <w:rsid w:val="00734011"/>
    <w:rsid w:val="00734FDB"/>
    <w:rsid w:val="00742A4B"/>
    <w:rsid w:val="0074574E"/>
    <w:rsid w:val="0074671E"/>
    <w:rsid w:val="00750E97"/>
    <w:rsid w:val="00751B36"/>
    <w:rsid w:val="007623FF"/>
    <w:rsid w:val="007665AF"/>
    <w:rsid w:val="007766E7"/>
    <w:rsid w:val="00781245"/>
    <w:rsid w:val="00782292"/>
    <w:rsid w:val="007960CB"/>
    <w:rsid w:val="007B1AEF"/>
    <w:rsid w:val="007B2CC7"/>
    <w:rsid w:val="007C027D"/>
    <w:rsid w:val="007C228B"/>
    <w:rsid w:val="007C3B38"/>
    <w:rsid w:val="007C425D"/>
    <w:rsid w:val="007C592C"/>
    <w:rsid w:val="007D195D"/>
    <w:rsid w:val="007D1EE0"/>
    <w:rsid w:val="007D229A"/>
    <w:rsid w:val="007D6B14"/>
    <w:rsid w:val="007E027A"/>
    <w:rsid w:val="007E1CB1"/>
    <w:rsid w:val="007E4402"/>
    <w:rsid w:val="007F524C"/>
    <w:rsid w:val="00807EE1"/>
    <w:rsid w:val="008104D3"/>
    <w:rsid w:val="0083371C"/>
    <w:rsid w:val="00836586"/>
    <w:rsid w:val="008453D7"/>
    <w:rsid w:val="0084589A"/>
    <w:rsid w:val="00845BB2"/>
    <w:rsid w:val="00854253"/>
    <w:rsid w:val="00856C0C"/>
    <w:rsid w:val="00856CA2"/>
    <w:rsid w:val="0086289E"/>
    <w:rsid w:val="0086534F"/>
    <w:rsid w:val="008660A7"/>
    <w:rsid w:val="008735D9"/>
    <w:rsid w:val="00873A8F"/>
    <w:rsid w:val="008825A4"/>
    <w:rsid w:val="00896131"/>
    <w:rsid w:val="0089726E"/>
    <w:rsid w:val="008A1531"/>
    <w:rsid w:val="008A1659"/>
    <w:rsid w:val="008A3EB7"/>
    <w:rsid w:val="008A60AD"/>
    <w:rsid w:val="008C4E7D"/>
    <w:rsid w:val="008C71E5"/>
    <w:rsid w:val="008D7EA9"/>
    <w:rsid w:val="008E30B9"/>
    <w:rsid w:val="008E6578"/>
    <w:rsid w:val="008F245C"/>
    <w:rsid w:val="008F5D41"/>
    <w:rsid w:val="00903788"/>
    <w:rsid w:val="00904FD5"/>
    <w:rsid w:val="00905F21"/>
    <w:rsid w:val="00911E23"/>
    <w:rsid w:val="00911E3D"/>
    <w:rsid w:val="00912BBB"/>
    <w:rsid w:val="00913539"/>
    <w:rsid w:val="00914978"/>
    <w:rsid w:val="00920A55"/>
    <w:rsid w:val="00920F82"/>
    <w:rsid w:val="00922BEA"/>
    <w:rsid w:val="00927EEB"/>
    <w:rsid w:val="0093034C"/>
    <w:rsid w:val="009352F1"/>
    <w:rsid w:val="00936D11"/>
    <w:rsid w:val="0093704C"/>
    <w:rsid w:val="009413A6"/>
    <w:rsid w:val="00946A5B"/>
    <w:rsid w:val="00950CAE"/>
    <w:rsid w:val="009514D0"/>
    <w:rsid w:val="00951AEC"/>
    <w:rsid w:val="00953884"/>
    <w:rsid w:val="0096421D"/>
    <w:rsid w:val="00967864"/>
    <w:rsid w:val="00973260"/>
    <w:rsid w:val="0097686E"/>
    <w:rsid w:val="00977FEF"/>
    <w:rsid w:val="00982319"/>
    <w:rsid w:val="00986A83"/>
    <w:rsid w:val="00986C8D"/>
    <w:rsid w:val="00990C74"/>
    <w:rsid w:val="00994E46"/>
    <w:rsid w:val="00997034"/>
    <w:rsid w:val="009A04B0"/>
    <w:rsid w:val="009A4A04"/>
    <w:rsid w:val="009B494F"/>
    <w:rsid w:val="009D03BC"/>
    <w:rsid w:val="009D0429"/>
    <w:rsid w:val="009D25D8"/>
    <w:rsid w:val="009D5BE6"/>
    <w:rsid w:val="009E0807"/>
    <w:rsid w:val="009E4FF5"/>
    <w:rsid w:val="009E7B4F"/>
    <w:rsid w:val="009F0140"/>
    <w:rsid w:val="009F5BF6"/>
    <w:rsid w:val="00A00CDD"/>
    <w:rsid w:val="00A00E40"/>
    <w:rsid w:val="00A02176"/>
    <w:rsid w:val="00A1521B"/>
    <w:rsid w:val="00A17D17"/>
    <w:rsid w:val="00A23A66"/>
    <w:rsid w:val="00A24E8F"/>
    <w:rsid w:val="00A26D38"/>
    <w:rsid w:val="00A312A1"/>
    <w:rsid w:val="00A3407B"/>
    <w:rsid w:val="00A3592F"/>
    <w:rsid w:val="00A46223"/>
    <w:rsid w:val="00A477A0"/>
    <w:rsid w:val="00A539F1"/>
    <w:rsid w:val="00A54F5E"/>
    <w:rsid w:val="00A560E0"/>
    <w:rsid w:val="00A6351E"/>
    <w:rsid w:val="00A713C4"/>
    <w:rsid w:val="00A7334F"/>
    <w:rsid w:val="00A765BF"/>
    <w:rsid w:val="00A805F3"/>
    <w:rsid w:val="00A8100E"/>
    <w:rsid w:val="00A8401D"/>
    <w:rsid w:val="00A9182C"/>
    <w:rsid w:val="00A9376E"/>
    <w:rsid w:val="00AA05CB"/>
    <w:rsid w:val="00AA0FF8"/>
    <w:rsid w:val="00AA4326"/>
    <w:rsid w:val="00AA7211"/>
    <w:rsid w:val="00AB1D84"/>
    <w:rsid w:val="00AB7BA5"/>
    <w:rsid w:val="00AC2359"/>
    <w:rsid w:val="00AC3FB0"/>
    <w:rsid w:val="00AC6436"/>
    <w:rsid w:val="00AD22A2"/>
    <w:rsid w:val="00AD2864"/>
    <w:rsid w:val="00AE35B7"/>
    <w:rsid w:val="00AF0800"/>
    <w:rsid w:val="00B02178"/>
    <w:rsid w:val="00B0508F"/>
    <w:rsid w:val="00B068A1"/>
    <w:rsid w:val="00B07BA2"/>
    <w:rsid w:val="00B1436F"/>
    <w:rsid w:val="00B22949"/>
    <w:rsid w:val="00B2583F"/>
    <w:rsid w:val="00B2783B"/>
    <w:rsid w:val="00B3242A"/>
    <w:rsid w:val="00B41A35"/>
    <w:rsid w:val="00B43124"/>
    <w:rsid w:val="00B45B69"/>
    <w:rsid w:val="00B53B92"/>
    <w:rsid w:val="00B53DB3"/>
    <w:rsid w:val="00B54FDA"/>
    <w:rsid w:val="00B600BD"/>
    <w:rsid w:val="00B73BE4"/>
    <w:rsid w:val="00B7610E"/>
    <w:rsid w:val="00B76E4C"/>
    <w:rsid w:val="00B777A4"/>
    <w:rsid w:val="00B83E2B"/>
    <w:rsid w:val="00B86F71"/>
    <w:rsid w:val="00B90DD2"/>
    <w:rsid w:val="00B92EBB"/>
    <w:rsid w:val="00B954B8"/>
    <w:rsid w:val="00B95CBD"/>
    <w:rsid w:val="00BB0CA9"/>
    <w:rsid w:val="00BB2713"/>
    <w:rsid w:val="00BB7638"/>
    <w:rsid w:val="00BB7F19"/>
    <w:rsid w:val="00BB7FAC"/>
    <w:rsid w:val="00BC39ED"/>
    <w:rsid w:val="00BD4ACE"/>
    <w:rsid w:val="00BE10D3"/>
    <w:rsid w:val="00BE12DE"/>
    <w:rsid w:val="00BE229B"/>
    <w:rsid w:val="00BE4CAE"/>
    <w:rsid w:val="00BE6090"/>
    <w:rsid w:val="00BF1226"/>
    <w:rsid w:val="00BF5C9C"/>
    <w:rsid w:val="00C00AB2"/>
    <w:rsid w:val="00C07E5B"/>
    <w:rsid w:val="00C1735A"/>
    <w:rsid w:val="00C17F9E"/>
    <w:rsid w:val="00C20589"/>
    <w:rsid w:val="00C30AD4"/>
    <w:rsid w:val="00C324F2"/>
    <w:rsid w:val="00C32B69"/>
    <w:rsid w:val="00C34BA6"/>
    <w:rsid w:val="00C52F4E"/>
    <w:rsid w:val="00C54503"/>
    <w:rsid w:val="00C55505"/>
    <w:rsid w:val="00C57552"/>
    <w:rsid w:val="00C64667"/>
    <w:rsid w:val="00C64860"/>
    <w:rsid w:val="00C66F1D"/>
    <w:rsid w:val="00C70DFA"/>
    <w:rsid w:val="00C74AB2"/>
    <w:rsid w:val="00C803E5"/>
    <w:rsid w:val="00C824E2"/>
    <w:rsid w:val="00C86F0D"/>
    <w:rsid w:val="00C904F9"/>
    <w:rsid w:val="00C90516"/>
    <w:rsid w:val="00C9138A"/>
    <w:rsid w:val="00C91ACC"/>
    <w:rsid w:val="00C9412A"/>
    <w:rsid w:val="00C964A6"/>
    <w:rsid w:val="00C968D0"/>
    <w:rsid w:val="00CA60BB"/>
    <w:rsid w:val="00CB128B"/>
    <w:rsid w:val="00CB2601"/>
    <w:rsid w:val="00CB3872"/>
    <w:rsid w:val="00CB5EB7"/>
    <w:rsid w:val="00CB65E0"/>
    <w:rsid w:val="00CC2822"/>
    <w:rsid w:val="00CC4679"/>
    <w:rsid w:val="00CC4952"/>
    <w:rsid w:val="00CC4A8E"/>
    <w:rsid w:val="00CC5BE1"/>
    <w:rsid w:val="00CC7977"/>
    <w:rsid w:val="00CD2A38"/>
    <w:rsid w:val="00CD582D"/>
    <w:rsid w:val="00CE1E84"/>
    <w:rsid w:val="00CF1D8F"/>
    <w:rsid w:val="00CF5262"/>
    <w:rsid w:val="00CF5C5D"/>
    <w:rsid w:val="00CF61D4"/>
    <w:rsid w:val="00D00092"/>
    <w:rsid w:val="00D21573"/>
    <w:rsid w:val="00D226D9"/>
    <w:rsid w:val="00D23F36"/>
    <w:rsid w:val="00D3090D"/>
    <w:rsid w:val="00D33908"/>
    <w:rsid w:val="00D363DE"/>
    <w:rsid w:val="00D4019A"/>
    <w:rsid w:val="00D45526"/>
    <w:rsid w:val="00D565AF"/>
    <w:rsid w:val="00D658CE"/>
    <w:rsid w:val="00D744C0"/>
    <w:rsid w:val="00D8378B"/>
    <w:rsid w:val="00D9416E"/>
    <w:rsid w:val="00D94FE9"/>
    <w:rsid w:val="00D9555E"/>
    <w:rsid w:val="00D9586F"/>
    <w:rsid w:val="00DA03A6"/>
    <w:rsid w:val="00DA2D2C"/>
    <w:rsid w:val="00DA62B4"/>
    <w:rsid w:val="00DB0B54"/>
    <w:rsid w:val="00DB1926"/>
    <w:rsid w:val="00DB445D"/>
    <w:rsid w:val="00DC3418"/>
    <w:rsid w:val="00DD5D08"/>
    <w:rsid w:val="00DE024C"/>
    <w:rsid w:val="00DE20BF"/>
    <w:rsid w:val="00DE3E0B"/>
    <w:rsid w:val="00DE3EA0"/>
    <w:rsid w:val="00DE56E2"/>
    <w:rsid w:val="00DF4ABF"/>
    <w:rsid w:val="00E01C12"/>
    <w:rsid w:val="00E01D30"/>
    <w:rsid w:val="00E034F0"/>
    <w:rsid w:val="00E06061"/>
    <w:rsid w:val="00E1061A"/>
    <w:rsid w:val="00E108A3"/>
    <w:rsid w:val="00E128B3"/>
    <w:rsid w:val="00E1454B"/>
    <w:rsid w:val="00E20474"/>
    <w:rsid w:val="00E2079F"/>
    <w:rsid w:val="00E21D1E"/>
    <w:rsid w:val="00E2279F"/>
    <w:rsid w:val="00E2591D"/>
    <w:rsid w:val="00E30C0D"/>
    <w:rsid w:val="00E31BC1"/>
    <w:rsid w:val="00E3524B"/>
    <w:rsid w:val="00E37B44"/>
    <w:rsid w:val="00E4101D"/>
    <w:rsid w:val="00E41C62"/>
    <w:rsid w:val="00E41CC8"/>
    <w:rsid w:val="00E438E1"/>
    <w:rsid w:val="00E439D0"/>
    <w:rsid w:val="00E45F9D"/>
    <w:rsid w:val="00E50331"/>
    <w:rsid w:val="00E50D79"/>
    <w:rsid w:val="00E514FA"/>
    <w:rsid w:val="00E5673B"/>
    <w:rsid w:val="00E57697"/>
    <w:rsid w:val="00E62085"/>
    <w:rsid w:val="00E6599A"/>
    <w:rsid w:val="00E70A59"/>
    <w:rsid w:val="00E72516"/>
    <w:rsid w:val="00E74697"/>
    <w:rsid w:val="00E766FD"/>
    <w:rsid w:val="00E81219"/>
    <w:rsid w:val="00E87713"/>
    <w:rsid w:val="00EA21C4"/>
    <w:rsid w:val="00EA5E38"/>
    <w:rsid w:val="00EA6A10"/>
    <w:rsid w:val="00EB5A0F"/>
    <w:rsid w:val="00EC14BB"/>
    <w:rsid w:val="00ED3DAD"/>
    <w:rsid w:val="00ED6E49"/>
    <w:rsid w:val="00ED7DDD"/>
    <w:rsid w:val="00EE18F4"/>
    <w:rsid w:val="00EE249F"/>
    <w:rsid w:val="00EE2E0E"/>
    <w:rsid w:val="00EE4B10"/>
    <w:rsid w:val="00EE65C0"/>
    <w:rsid w:val="00EE6860"/>
    <w:rsid w:val="00EF58B9"/>
    <w:rsid w:val="00EF7987"/>
    <w:rsid w:val="00F0511F"/>
    <w:rsid w:val="00F100C1"/>
    <w:rsid w:val="00F1043A"/>
    <w:rsid w:val="00F14845"/>
    <w:rsid w:val="00F201A2"/>
    <w:rsid w:val="00F22AB0"/>
    <w:rsid w:val="00F34220"/>
    <w:rsid w:val="00F36C32"/>
    <w:rsid w:val="00F4073B"/>
    <w:rsid w:val="00F43C34"/>
    <w:rsid w:val="00F5208D"/>
    <w:rsid w:val="00F55AC5"/>
    <w:rsid w:val="00F60099"/>
    <w:rsid w:val="00F73DC4"/>
    <w:rsid w:val="00F7578E"/>
    <w:rsid w:val="00F779EF"/>
    <w:rsid w:val="00F77CA2"/>
    <w:rsid w:val="00F80C5A"/>
    <w:rsid w:val="00F81EE5"/>
    <w:rsid w:val="00F82E9E"/>
    <w:rsid w:val="00F83490"/>
    <w:rsid w:val="00F86926"/>
    <w:rsid w:val="00F92A3B"/>
    <w:rsid w:val="00F95177"/>
    <w:rsid w:val="00F9693D"/>
    <w:rsid w:val="00FB0650"/>
    <w:rsid w:val="00FB06BE"/>
    <w:rsid w:val="00FB3613"/>
    <w:rsid w:val="00FC1C6B"/>
    <w:rsid w:val="00FD6319"/>
    <w:rsid w:val="00FD74F9"/>
    <w:rsid w:val="00FE12F1"/>
    <w:rsid w:val="00FE3362"/>
    <w:rsid w:val="00FE759C"/>
    <w:rsid w:val="00FF38A6"/>
    <w:rsid w:val="00FF55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B2806"/>
  <w15:docId w15:val="{2B8979B8-7AE2-409E-BAD2-ECA0CD03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7F0"/>
    <w:pPr>
      <w:spacing w:after="160" w:line="259" w:lineRule="auto"/>
    </w:pPr>
    <w:rPr>
      <w:sz w:val="22"/>
      <w:szCs w:val="22"/>
      <w:lang w:eastAsia="en-US"/>
    </w:rPr>
  </w:style>
  <w:style w:type="paragraph" w:styleId="Ttulo1">
    <w:name w:val="heading 1"/>
    <w:basedOn w:val="Normal"/>
    <w:next w:val="Normal"/>
    <w:link w:val="Ttulo1Char"/>
    <w:qFormat/>
    <w:rsid w:val="00FB06BE"/>
    <w:pPr>
      <w:keepNext/>
      <w:spacing w:after="0" w:line="240" w:lineRule="auto"/>
      <w:jc w:val="center"/>
      <w:outlineLvl w:val="0"/>
    </w:pPr>
    <w:rPr>
      <w:rFonts w:ascii="Arial" w:eastAsia="Times New Roman" w:hAnsi="Arial"/>
      <w:b/>
      <w:bCs/>
    </w:rPr>
  </w:style>
  <w:style w:type="paragraph" w:styleId="Ttulo2">
    <w:name w:val="heading 2"/>
    <w:basedOn w:val="Normal"/>
    <w:next w:val="Normal"/>
    <w:link w:val="Ttulo2Char"/>
    <w:qFormat/>
    <w:rsid w:val="00FB06BE"/>
    <w:pPr>
      <w:keepNext/>
      <w:autoSpaceDE w:val="0"/>
      <w:autoSpaceDN w:val="0"/>
      <w:spacing w:after="0" w:line="240" w:lineRule="auto"/>
      <w:jc w:val="center"/>
      <w:outlineLvl w:val="1"/>
    </w:pPr>
    <w:rPr>
      <w:rFonts w:ascii="Courier New" w:eastAsia="Times New Roman" w:hAnsi="Courier New"/>
      <w:b/>
      <w:sz w:val="24"/>
      <w:szCs w:val="20"/>
    </w:rPr>
  </w:style>
  <w:style w:type="paragraph" w:styleId="Ttulo3">
    <w:name w:val="heading 3"/>
    <w:basedOn w:val="Normal"/>
    <w:next w:val="Normal"/>
    <w:link w:val="Ttulo3Char"/>
    <w:qFormat/>
    <w:rsid w:val="00FB06BE"/>
    <w:pPr>
      <w:keepNext/>
      <w:spacing w:before="240" w:after="60" w:line="240" w:lineRule="auto"/>
      <w:outlineLvl w:val="2"/>
    </w:pPr>
    <w:rPr>
      <w:rFonts w:ascii="Cambria" w:eastAsia="Times New Roman" w:hAnsi="Cambria"/>
      <w:b/>
      <w:bCs/>
      <w:sz w:val="26"/>
      <w:szCs w:val="26"/>
    </w:rPr>
  </w:style>
  <w:style w:type="paragraph" w:styleId="Ttulo4">
    <w:name w:val="heading 4"/>
    <w:basedOn w:val="Normal"/>
    <w:next w:val="Normal"/>
    <w:link w:val="Ttulo4Char"/>
    <w:qFormat/>
    <w:rsid w:val="00FB06BE"/>
    <w:pPr>
      <w:keepNext/>
      <w:spacing w:before="240" w:after="60" w:line="240" w:lineRule="auto"/>
      <w:outlineLvl w:val="3"/>
    </w:pPr>
    <w:rPr>
      <w:rFonts w:eastAsia="Times New Roman"/>
      <w:b/>
      <w:bCs/>
      <w:sz w:val="28"/>
      <w:szCs w:val="28"/>
    </w:rPr>
  </w:style>
  <w:style w:type="paragraph" w:styleId="Ttulo5">
    <w:name w:val="heading 5"/>
    <w:basedOn w:val="Normal"/>
    <w:next w:val="Normal"/>
    <w:link w:val="Ttulo5Char"/>
    <w:qFormat/>
    <w:rsid w:val="00FB06BE"/>
    <w:pPr>
      <w:spacing w:before="240" w:after="60" w:line="240" w:lineRule="auto"/>
      <w:outlineLvl w:val="4"/>
    </w:pPr>
    <w:rPr>
      <w:rFonts w:ascii="Times New Roman" w:eastAsia="Times New Roman" w:hAnsi="Times New Roman"/>
      <w:b/>
      <w:bCs/>
      <w:i/>
      <w:iCs/>
      <w:sz w:val="26"/>
      <w:szCs w:val="26"/>
    </w:rPr>
  </w:style>
  <w:style w:type="paragraph" w:styleId="Ttulo6">
    <w:name w:val="heading 6"/>
    <w:basedOn w:val="Normal"/>
    <w:next w:val="Normal"/>
    <w:link w:val="Ttulo6Char"/>
    <w:qFormat/>
    <w:rsid w:val="00FB06BE"/>
    <w:pPr>
      <w:keepNext/>
      <w:tabs>
        <w:tab w:val="left" w:pos="2835"/>
      </w:tabs>
      <w:spacing w:before="120" w:after="0" w:line="360" w:lineRule="auto"/>
      <w:jc w:val="both"/>
      <w:outlineLvl w:val="5"/>
    </w:pPr>
    <w:rPr>
      <w:rFonts w:ascii="Arial" w:eastAsia="Times New Roman" w:hAnsi="Arial"/>
      <w:b/>
      <w:bCs/>
      <w:sz w:val="24"/>
      <w:szCs w:val="20"/>
    </w:rPr>
  </w:style>
  <w:style w:type="paragraph" w:styleId="Ttulo7">
    <w:name w:val="heading 7"/>
    <w:basedOn w:val="Normal"/>
    <w:next w:val="Normal"/>
    <w:link w:val="Ttulo7Char"/>
    <w:unhideWhenUsed/>
    <w:qFormat/>
    <w:rsid w:val="00FB06BE"/>
    <w:pPr>
      <w:spacing w:before="240" w:after="60" w:line="240" w:lineRule="auto"/>
      <w:outlineLvl w:val="6"/>
    </w:pPr>
    <w:rPr>
      <w:rFonts w:eastAsia="Times New Roman"/>
      <w:sz w:val="24"/>
      <w:szCs w:val="24"/>
    </w:rPr>
  </w:style>
  <w:style w:type="paragraph" w:styleId="Ttulo9">
    <w:name w:val="heading 9"/>
    <w:basedOn w:val="Normal"/>
    <w:next w:val="Normal"/>
    <w:link w:val="Ttulo9Char"/>
    <w:uiPriority w:val="9"/>
    <w:semiHidden/>
    <w:unhideWhenUsed/>
    <w:qFormat/>
    <w:rsid w:val="00986C8D"/>
    <w:pPr>
      <w:spacing w:before="240" w:after="60"/>
      <w:outlineLvl w:val="8"/>
    </w:pPr>
    <w:rPr>
      <w:rFonts w:ascii="Calibri Light" w:eastAsia="Times New Roman" w:hAnsi="Calibri Ligh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7686E"/>
    <w:pPr>
      <w:tabs>
        <w:tab w:val="center" w:pos="4252"/>
        <w:tab w:val="right" w:pos="8504"/>
      </w:tabs>
      <w:spacing w:after="0" w:line="240" w:lineRule="auto"/>
    </w:pPr>
  </w:style>
  <w:style w:type="character" w:customStyle="1" w:styleId="CabealhoChar">
    <w:name w:val="Cabeçalho Char"/>
    <w:basedOn w:val="Fontepargpadro"/>
    <w:link w:val="Cabealho"/>
    <w:rsid w:val="0097686E"/>
  </w:style>
  <w:style w:type="paragraph" w:styleId="Rodap">
    <w:name w:val="footer"/>
    <w:basedOn w:val="Normal"/>
    <w:link w:val="RodapChar"/>
    <w:unhideWhenUsed/>
    <w:rsid w:val="0097686E"/>
    <w:pPr>
      <w:tabs>
        <w:tab w:val="center" w:pos="4252"/>
        <w:tab w:val="right" w:pos="8504"/>
      </w:tabs>
      <w:spacing w:after="0" w:line="240" w:lineRule="auto"/>
    </w:pPr>
  </w:style>
  <w:style w:type="character" w:customStyle="1" w:styleId="RodapChar">
    <w:name w:val="Rodapé Char"/>
    <w:basedOn w:val="Fontepargpadro"/>
    <w:link w:val="Rodap"/>
    <w:rsid w:val="0097686E"/>
  </w:style>
  <w:style w:type="character" w:customStyle="1" w:styleId="Ttulo1Char">
    <w:name w:val="Título 1 Char"/>
    <w:link w:val="Ttulo1"/>
    <w:rsid w:val="00FB06BE"/>
    <w:rPr>
      <w:rFonts w:ascii="Arial" w:eastAsia="Times New Roman" w:hAnsi="Arial"/>
      <w:b/>
      <w:bCs/>
      <w:sz w:val="22"/>
      <w:szCs w:val="22"/>
    </w:rPr>
  </w:style>
  <w:style w:type="character" w:customStyle="1" w:styleId="Ttulo2Char">
    <w:name w:val="Título 2 Char"/>
    <w:link w:val="Ttulo2"/>
    <w:rsid w:val="00FB06BE"/>
    <w:rPr>
      <w:rFonts w:ascii="Courier New" w:eastAsia="Times New Roman" w:hAnsi="Courier New"/>
      <w:b/>
      <w:sz w:val="24"/>
    </w:rPr>
  </w:style>
  <w:style w:type="character" w:customStyle="1" w:styleId="Ttulo3Char">
    <w:name w:val="Título 3 Char"/>
    <w:link w:val="Ttulo3"/>
    <w:rsid w:val="00FB06BE"/>
    <w:rPr>
      <w:rFonts w:ascii="Cambria" w:eastAsia="Times New Roman" w:hAnsi="Cambria"/>
      <w:b/>
      <w:bCs/>
      <w:sz w:val="26"/>
      <w:szCs w:val="26"/>
    </w:rPr>
  </w:style>
  <w:style w:type="character" w:customStyle="1" w:styleId="Ttulo4Char">
    <w:name w:val="Título 4 Char"/>
    <w:link w:val="Ttulo4"/>
    <w:rsid w:val="00FB06BE"/>
    <w:rPr>
      <w:rFonts w:eastAsia="Times New Roman"/>
      <w:b/>
      <w:bCs/>
      <w:sz w:val="28"/>
      <w:szCs w:val="28"/>
    </w:rPr>
  </w:style>
  <w:style w:type="character" w:customStyle="1" w:styleId="Ttulo5Char">
    <w:name w:val="Título 5 Char"/>
    <w:link w:val="Ttulo5"/>
    <w:rsid w:val="00FB06BE"/>
    <w:rPr>
      <w:rFonts w:ascii="Times New Roman" w:eastAsia="Times New Roman" w:hAnsi="Times New Roman"/>
      <w:b/>
      <w:bCs/>
      <w:i/>
      <w:iCs/>
      <w:sz w:val="26"/>
      <w:szCs w:val="26"/>
    </w:rPr>
  </w:style>
  <w:style w:type="character" w:customStyle="1" w:styleId="Ttulo6Char">
    <w:name w:val="Título 6 Char"/>
    <w:link w:val="Ttulo6"/>
    <w:rsid w:val="00FB06BE"/>
    <w:rPr>
      <w:rFonts w:ascii="Arial" w:eastAsia="Times New Roman" w:hAnsi="Arial"/>
      <w:b/>
      <w:bCs/>
      <w:sz w:val="24"/>
    </w:rPr>
  </w:style>
  <w:style w:type="character" w:customStyle="1" w:styleId="Ttulo7Char">
    <w:name w:val="Título 7 Char"/>
    <w:link w:val="Ttulo7"/>
    <w:rsid w:val="00FB06BE"/>
    <w:rPr>
      <w:rFonts w:eastAsia="Times New Roman"/>
      <w:sz w:val="24"/>
      <w:szCs w:val="24"/>
    </w:rPr>
  </w:style>
  <w:style w:type="numbering" w:customStyle="1" w:styleId="Semlista1">
    <w:name w:val="Sem lista1"/>
    <w:next w:val="Semlista"/>
    <w:uiPriority w:val="99"/>
    <w:semiHidden/>
    <w:unhideWhenUsed/>
    <w:rsid w:val="00FB06BE"/>
  </w:style>
  <w:style w:type="character" w:styleId="Hyperlink">
    <w:name w:val="Hyperlink"/>
    <w:uiPriority w:val="99"/>
    <w:rsid w:val="00FB06BE"/>
    <w:rPr>
      <w:color w:val="0000FF"/>
      <w:u w:val="single"/>
    </w:rPr>
  </w:style>
  <w:style w:type="paragraph" w:styleId="Corpodetexto">
    <w:name w:val="Body Text"/>
    <w:basedOn w:val="Normal"/>
    <w:link w:val="CorpodetextoChar"/>
    <w:rsid w:val="00FB06BE"/>
    <w:pPr>
      <w:widowControl w:val="0"/>
      <w:autoSpaceDE w:val="0"/>
      <w:autoSpaceDN w:val="0"/>
      <w:spacing w:after="0" w:line="240" w:lineRule="auto"/>
      <w:jc w:val="both"/>
    </w:pPr>
    <w:rPr>
      <w:rFonts w:ascii="Courier New" w:eastAsia="Times New Roman" w:hAnsi="Courier New"/>
      <w:sz w:val="24"/>
      <w:szCs w:val="20"/>
    </w:rPr>
  </w:style>
  <w:style w:type="character" w:customStyle="1" w:styleId="CorpodetextoChar">
    <w:name w:val="Corpo de texto Char"/>
    <w:link w:val="Corpodetexto"/>
    <w:rsid w:val="00FB06BE"/>
    <w:rPr>
      <w:rFonts w:ascii="Courier New" w:eastAsia="Times New Roman" w:hAnsi="Courier New"/>
      <w:sz w:val="24"/>
    </w:rPr>
  </w:style>
  <w:style w:type="paragraph" w:styleId="Corpodetexto3">
    <w:name w:val="Body Text 3"/>
    <w:basedOn w:val="Normal"/>
    <w:link w:val="Corpodetexto3Char"/>
    <w:rsid w:val="00FB06BE"/>
    <w:pPr>
      <w:widowControl w:val="0"/>
      <w:autoSpaceDE w:val="0"/>
      <w:autoSpaceDN w:val="0"/>
      <w:spacing w:after="0" w:line="240" w:lineRule="auto"/>
      <w:jc w:val="both"/>
    </w:pPr>
    <w:rPr>
      <w:rFonts w:ascii="Courier New" w:eastAsia="Times New Roman" w:hAnsi="Courier New"/>
      <w:sz w:val="20"/>
      <w:szCs w:val="20"/>
    </w:rPr>
  </w:style>
  <w:style w:type="character" w:customStyle="1" w:styleId="Corpodetexto3Char">
    <w:name w:val="Corpo de texto 3 Char"/>
    <w:link w:val="Corpodetexto3"/>
    <w:rsid w:val="00FB06BE"/>
    <w:rPr>
      <w:rFonts w:ascii="Courier New" w:eastAsia="Times New Roman" w:hAnsi="Courier New"/>
    </w:rPr>
  </w:style>
  <w:style w:type="paragraph" w:styleId="Recuodecorpodetexto">
    <w:name w:val="Body Text Indent"/>
    <w:basedOn w:val="Normal"/>
    <w:link w:val="RecuodecorpodetextoChar"/>
    <w:rsid w:val="00FB06BE"/>
    <w:pPr>
      <w:widowControl w:val="0"/>
      <w:autoSpaceDE w:val="0"/>
      <w:autoSpaceDN w:val="0"/>
      <w:spacing w:after="0" w:line="240" w:lineRule="auto"/>
      <w:jc w:val="both"/>
    </w:pPr>
    <w:rPr>
      <w:rFonts w:ascii="Courier New" w:eastAsia="Times New Roman" w:hAnsi="Courier New"/>
      <w:color w:val="000000"/>
      <w:sz w:val="20"/>
      <w:szCs w:val="20"/>
    </w:rPr>
  </w:style>
  <w:style w:type="character" w:customStyle="1" w:styleId="RecuodecorpodetextoChar">
    <w:name w:val="Recuo de corpo de texto Char"/>
    <w:link w:val="Recuodecorpodetexto"/>
    <w:rsid w:val="00FB06BE"/>
    <w:rPr>
      <w:rFonts w:ascii="Courier New" w:eastAsia="Times New Roman" w:hAnsi="Courier New"/>
      <w:color w:val="000000"/>
    </w:rPr>
  </w:style>
  <w:style w:type="paragraph" w:styleId="Recuodecorpodetexto3">
    <w:name w:val="Body Text Indent 3"/>
    <w:basedOn w:val="Normal"/>
    <w:link w:val="Recuodecorpodetexto3Char"/>
    <w:rsid w:val="00FB06BE"/>
    <w:pPr>
      <w:widowControl w:val="0"/>
      <w:autoSpaceDE w:val="0"/>
      <w:autoSpaceDN w:val="0"/>
      <w:spacing w:after="0" w:line="240" w:lineRule="auto"/>
      <w:ind w:firstLine="850"/>
      <w:jc w:val="both"/>
    </w:pPr>
    <w:rPr>
      <w:rFonts w:ascii="Courier New" w:eastAsia="Times New Roman" w:hAnsi="Courier New"/>
      <w:color w:val="000000"/>
      <w:sz w:val="20"/>
      <w:szCs w:val="20"/>
    </w:rPr>
  </w:style>
  <w:style w:type="character" w:customStyle="1" w:styleId="Recuodecorpodetexto3Char">
    <w:name w:val="Recuo de corpo de texto 3 Char"/>
    <w:link w:val="Recuodecorpodetexto3"/>
    <w:rsid w:val="00FB06BE"/>
    <w:rPr>
      <w:rFonts w:ascii="Courier New" w:eastAsia="Times New Roman" w:hAnsi="Courier New"/>
      <w:color w:val="000000"/>
    </w:rPr>
  </w:style>
  <w:style w:type="paragraph" w:styleId="Corpodetexto2">
    <w:name w:val="Body Text 2"/>
    <w:basedOn w:val="Normal"/>
    <w:link w:val="Corpodetexto2Char"/>
    <w:rsid w:val="00FB06BE"/>
    <w:pPr>
      <w:widowControl w:val="0"/>
      <w:autoSpaceDE w:val="0"/>
      <w:autoSpaceDN w:val="0"/>
      <w:spacing w:after="0" w:line="240" w:lineRule="auto"/>
      <w:jc w:val="both"/>
    </w:pPr>
    <w:rPr>
      <w:rFonts w:ascii="Courier New" w:eastAsia="Times New Roman" w:hAnsi="Courier New"/>
      <w:snapToGrid w:val="0"/>
      <w:color w:val="000000"/>
      <w:sz w:val="20"/>
      <w:szCs w:val="20"/>
    </w:rPr>
  </w:style>
  <w:style w:type="character" w:customStyle="1" w:styleId="Corpodetexto2Char">
    <w:name w:val="Corpo de texto 2 Char"/>
    <w:link w:val="Corpodetexto2"/>
    <w:rsid w:val="00FB06BE"/>
    <w:rPr>
      <w:rFonts w:ascii="Courier New" w:eastAsia="Times New Roman" w:hAnsi="Courier New"/>
      <w:snapToGrid w:val="0"/>
      <w:color w:val="000000"/>
    </w:rPr>
  </w:style>
  <w:style w:type="paragraph" w:styleId="Lista">
    <w:name w:val="List"/>
    <w:basedOn w:val="Corpodetexto"/>
    <w:rsid w:val="00FB06BE"/>
    <w:pPr>
      <w:widowControl/>
      <w:suppressAutoHyphens/>
      <w:autoSpaceDN/>
    </w:pPr>
    <w:rPr>
      <w:rFonts w:ascii="Times New Roman" w:hAnsi="Times New Roman" w:cs="Tahoma"/>
      <w:szCs w:val="24"/>
      <w:lang w:eastAsia="ar-SA"/>
    </w:rPr>
  </w:style>
  <w:style w:type="paragraph" w:styleId="Ttulo">
    <w:name w:val="Title"/>
    <w:basedOn w:val="Normal"/>
    <w:link w:val="TtuloChar"/>
    <w:qFormat/>
    <w:rsid w:val="00FB06BE"/>
    <w:pPr>
      <w:spacing w:after="0" w:line="240" w:lineRule="auto"/>
      <w:jc w:val="center"/>
    </w:pPr>
    <w:rPr>
      <w:rFonts w:ascii="Arial" w:eastAsia="Times New Roman" w:hAnsi="Arial"/>
      <w:b/>
      <w:bCs/>
      <w:sz w:val="20"/>
      <w:szCs w:val="20"/>
    </w:rPr>
  </w:style>
  <w:style w:type="character" w:customStyle="1" w:styleId="TtuloChar">
    <w:name w:val="Título Char"/>
    <w:link w:val="Ttulo"/>
    <w:rsid w:val="00FB06BE"/>
    <w:rPr>
      <w:rFonts w:ascii="Arial" w:eastAsia="Times New Roman" w:hAnsi="Arial"/>
      <w:b/>
      <w:bCs/>
    </w:rPr>
  </w:style>
  <w:style w:type="character" w:customStyle="1" w:styleId="CharChar">
    <w:name w:val="Char Char"/>
    <w:basedOn w:val="Fontepargpadro"/>
    <w:rsid w:val="00FB06BE"/>
  </w:style>
  <w:style w:type="character" w:styleId="Nmerodepgina">
    <w:name w:val="page number"/>
    <w:basedOn w:val="Fontepargpadro"/>
    <w:rsid w:val="00FB06BE"/>
  </w:style>
  <w:style w:type="paragraph" w:customStyle="1" w:styleId="Corpodetexto31">
    <w:name w:val="Corpo de texto 31"/>
    <w:basedOn w:val="Normal"/>
    <w:rsid w:val="00FB06BE"/>
    <w:pPr>
      <w:widowControl w:val="0"/>
      <w:suppressAutoHyphens/>
      <w:autoSpaceDE w:val="0"/>
      <w:spacing w:after="0" w:line="240" w:lineRule="auto"/>
      <w:jc w:val="both"/>
    </w:pPr>
    <w:rPr>
      <w:rFonts w:ascii="Courier New" w:eastAsia="Lucida Sans Unicode" w:hAnsi="Courier New"/>
      <w:kern w:val="2"/>
      <w:sz w:val="20"/>
      <w:szCs w:val="20"/>
      <w:lang w:eastAsia="pt-BR"/>
    </w:rPr>
  </w:style>
  <w:style w:type="paragraph" w:customStyle="1" w:styleId="Recuodecorpodetexto31">
    <w:name w:val="Recuo de corpo de texto 31"/>
    <w:basedOn w:val="Normal"/>
    <w:rsid w:val="00FB06BE"/>
    <w:pPr>
      <w:widowControl w:val="0"/>
      <w:suppressAutoHyphens/>
      <w:autoSpaceDE w:val="0"/>
      <w:spacing w:after="0" w:line="240" w:lineRule="auto"/>
      <w:ind w:firstLine="850"/>
      <w:jc w:val="both"/>
    </w:pPr>
    <w:rPr>
      <w:rFonts w:ascii="Courier New" w:eastAsia="Lucida Sans Unicode" w:hAnsi="Courier New"/>
      <w:color w:val="000000"/>
      <w:kern w:val="2"/>
      <w:sz w:val="20"/>
      <w:szCs w:val="20"/>
      <w:lang w:eastAsia="pt-BR"/>
    </w:rPr>
  </w:style>
  <w:style w:type="paragraph" w:customStyle="1" w:styleId="Padro">
    <w:name w:val="Padrão"/>
    <w:rsid w:val="00FB06BE"/>
    <w:pPr>
      <w:widowControl w:val="0"/>
    </w:pPr>
    <w:rPr>
      <w:rFonts w:ascii="Times New Roman" w:eastAsia="Times New Roman" w:hAnsi="Times New Roman"/>
      <w:sz w:val="24"/>
    </w:rPr>
  </w:style>
  <w:style w:type="paragraph" w:styleId="Textodebalo">
    <w:name w:val="Balloon Text"/>
    <w:basedOn w:val="Normal"/>
    <w:link w:val="TextodebaloChar"/>
    <w:semiHidden/>
    <w:rsid w:val="00FB06BE"/>
    <w:pPr>
      <w:spacing w:after="0" w:line="240" w:lineRule="auto"/>
    </w:pPr>
    <w:rPr>
      <w:rFonts w:ascii="Tahoma" w:eastAsia="Times New Roman" w:hAnsi="Tahoma"/>
      <w:sz w:val="16"/>
      <w:szCs w:val="16"/>
    </w:rPr>
  </w:style>
  <w:style w:type="character" w:customStyle="1" w:styleId="TextodebaloChar">
    <w:name w:val="Texto de balão Char"/>
    <w:link w:val="Textodebalo"/>
    <w:semiHidden/>
    <w:rsid w:val="00FB06BE"/>
    <w:rPr>
      <w:rFonts w:ascii="Tahoma" w:eastAsia="Times New Roman" w:hAnsi="Tahoma"/>
      <w:sz w:val="16"/>
      <w:szCs w:val="16"/>
    </w:rPr>
  </w:style>
  <w:style w:type="paragraph" w:styleId="TextosemFormatao">
    <w:name w:val="Plain Text"/>
    <w:basedOn w:val="Normal"/>
    <w:link w:val="TextosemFormataoChar"/>
    <w:rsid w:val="00FB06BE"/>
    <w:pPr>
      <w:spacing w:before="100" w:beforeAutospacing="1" w:after="100" w:afterAutospacing="1" w:line="240" w:lineRule="auto"/>
    </w:pPr>
    <w:rPr>
      <w:rFonts w:ascii="Times New Roman" w:eastAsia="Times New Roman" w:hAnsi="Times New Roman"/>
      <w:sz w:val="24"/>
      <w:szCs w:val="24"/>
    </w:rPr>
  </w:style>
  <w:style w:type="character" w:customStyle="1" w:styleId="TextosemFormataoChar">
    <w:name w:val="Texto sem Formatação Char"/>
    <w:link w:val="TextosemFormatao"/>
    <w:rsid w:val="00FB06BE"/>
    <w:rPr>
      <w:rFonts w:ascii="Times New Roman" w:eastAsia="Times New Roman" w:hAnsi="Times New Roman"/>
      <w:sz w:val="24"/>
      <w:szCs w:val="24"/>
    </w:rPr>
  </w:style>
  <w:style w:type="paragraph" w:customStyle="1" w:styleId="Corpodotexto">
    <w:name w:val="Corpo do texto"/>
    <w:basedOn w:val="Normal"/>
    <w:rsid w:val="00FB06BE"/>
    <w:pPr>
      <w:widowControl w:val="0"/>
      <w:spacing w:after="0" w:line="240" w:lineRule="auto"/>
      <w:jc w:val="both"/>
    </w:pPr>
    <w:rPr>
      <w:rFonts w:ascii="Times New Roman" w:eastAsia="Times New Roman" w:hAnsi="Times New Roman"/>
      <w:sz w:val="24"/>
      <w:szCs w:val="20"/>
      <w:lang w:eastAsia="pt-BR"/>
    </w:rPr>
  </w:style>
  <w:style w:type="paragraph" w:styleId="Lista3">
    <w:name w:val="List 3"/>
    <w:basedOn w:val="Normal"/>
    <w:rsid w:val="00FB06BE"/>
    <w:pPr>
      <w:spacing w:after="0" w:line="240" w:lineRule="auto"/>
      <w:ind w:left="849" w:hanging="283"/>
    </w:pPr>
    <w:rPr>
      <w:rFonts w:ascii="Times New Roman" w:eastAsia="Times New Roman" w:hAnsi="Times New Roman"/>
      <w:sz w:val="24"/>
      <w:szCs w:val="24"/>
      <w:lang w:eastAsia="pt-BR"/>
    </w:rPr>
  </w:style>
  <w:style w:type="paragraph" w:styleId="NormalWeb">
    <w:name w:val="Normal (Web)"/>
    <w:basedOn w:val="Normal"/>
    <w:uiPriority w:val="99"/>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ubttulo">
    <w:name w:val="Subtitle"/>
    <w:basedOn w:val="Padro"/>
    <w:next w:val="Corpodotexto"/>
    <w:link w:val="SubttuloChar"/>
    <w:qFormat/>
    <w:rsid w:val="00FB06BE"/>
    <w:pPr>
      <w:autoSpaceDE w:val="0"/>
      <w:autoSpaceDN w:val="0"/>
      <w:adjustRightInd w:val="0"/>
      <w:jc w:val="center"/>
    </w:pPr>
    <w:rPr>
      <w:sz w:val="28"/>
      <w:szCs w:val="28"/>
    </w:rPr>
  </w:style>
  <w:style w:type="character" w:customStyle="1" w:styleId="SubttuloChar">
    <w:name w:val="Subtítulo Char"/>
    <w:link w:val="Subttulo"/>
    <w:rsid w:val="00FB06BE"/>
    <w:rPr>
      <w:rFonts w:ascii="Times New Roman" w:eastAsia="Times New Roman" w:hAnsi="Times New Roman"/>
      <w:sz w:val="28"/>
      <w:szCs w:val="28"/>
    </w:rPr>
  </w:style>
  <w:style w:type="paragraph" w:customStyle="1" w:styleId="WW-Corpodetexto2">
    <w:name w:val="WW-Corpo de texto 2"/>
    <w:basedOn w:val="Padro"/>
    <w:rsid w:val="00FB06BE"/>
    <w:pPr>
      <w:autoSpaceDE w:val="0"/>
      <w:autoSpaceDN w:val="0"/>
      <w:adjustRightInd w:val="0"/>
    </w:pPr>
    <w:rPr>
      <w:szCs w:val="24"/>
    </w:rPr>
  </w:style>
  <w:style w:type="paragraph" w:customStyle="1" w:styleId="BodyText24">
    <w:name w:val="Body Text 24"/>
    <w:basedOn w:val="Padro"/>
    <w:rsid w:val="00FB06BE"/>
    <w:pPr>
      <w:autoSpaceDE w:val="0"/>
      <w:autoSpaceDN w:val="0"/>
      <w:adjustRightInd w:val="0"/>
      <w:jc w:val="both"/>
    </w:pPr>
    <w:rPr>
      <w:rFonts w:ascii="Arial" w:cs="Arial"/>
      <w:szCs w:val="24"/>
    </w:rPr>
  </w:style>
  <w:style w:type="character" w:customStyle="1" w:styleId="LinkdaInternet">
    <w:name w:val="Link da Internet"/>
    <w:rsid w:val="00FB06BE"/>
    <w:rPr>
      <w:rFonts w:ascii="Arial Unicode MS" w:eastAsia="Arial Unicode MS" w:hAnsi="Arial Unicode MS" w:cs="Arial Unicode MS" w:hint="eastAsia"/>
      <w:color w:val="000080"/>
      <w:u w:val="single"/>
      <w:lang w:val="pt-PT"/>
    </w:rPr>
  </w:style>
  <w:style w:type="character" w:customStyle="1" w:styleId="WW-Hyperlink">
    <w:name w:val="WW-Hyperlink"/>
    <w:rsid w:val="00FB06BE"/>
    <w:rPr>
      <w:color w:val="0000FF"/>
      <w:u w:val="single"/>
    </w:rPr>
  </w:style>
  <w:style w:type="paragraph" w:customStyle="1" w:styleId="Contedodetabela">
    <w:name w:val="Conteúdo de tabela"/>
    <w:basedOn w:val="Normal"/>
    <w:rsid w:val="00FB06BE"/>
    <w:pPr>
      <w:suppressLineNumbers/>
      <w:suppressAutoHyphens/>
      <w:spacing w:after="0" w:line="240" w:lineRule="auto"/>
    </w:pPr>
    <w:rPr>
      <w:rFonts w:ascii="Arial" w:eastAsia="Times New Roman" w:hAnsi="Arial"/>
      <w:szCs w:val="24"/>
      <w:lang w:eastAsia="ar-SA"/>
    </w:rPr>
  </w:style>
  <w:style w:type="paragraph" w:styleId="PargrafodaLista">
    <w:name w:val="List Paragraph"/>
    <w:basedOn w:val="Normal"/>
    <w:uiPriority w:val="34"/>
    <w:qFormat/>
    <w:rsid w:val="00FB06BE"/>
    <w:pPr>
      <w:spacing w:after="200" w:line="276" w:lineRule="auto"/>
      <w:ind w:left="720"/>
      <w:contextualSpacing/>
    </w:pPr>
  </w:style>
  <w:style w:type="character" w:customStyle="1" w:styleId="apple-converted-space">
    <w:name w:val="apple-converted-space"/>
    <w:basedOn w:val="Fontepargpadro"/>
    <w:rsid w:val="00FB06BE"/>
  </w:style>
  <w:style w:type="character" w:styleId="Forte">
    <w:name w:val="Strong"/>
    <w:qFormat/>
    <w:rsid w:val="00FB06BE"/>
    <w:rPr>
      <w:b/>
      <w:bCs/>
    </w:rPr>
  </w:style>
  <w:style w:type="paragraph" w:customStyle="1" w:styleId="ecxmsonormal">
    <w:name w:val="ecxmsonormal"/>
    <w:basedOn w:val="Normal"/>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emEspaamento">
    <w:name w:val="No Spacing"/>
    <w:qFormat/>
    <w:rsid w:val="00FB06BE"/>
    <w:rPr>
      <w:rFonts w:ascii="Times New Roman" w:eastAsia="Times New Roman" w:hAnsi="Times New Roman"/>
      <w:sz w:val="24"/>
      <w:szCs w:val="24"/>
    </w:rPr>
  </w:style>
  <w:style w:type="table" w:styleId="Tabelacomgrade">
    <w:name w:val="Table Grid"/>
    <w:basedOn w:val="Tabelanormal"/>
    <w:rsid w:val="00EE65C0"/>
    <w:pPr>
      <w:jc w:val="both"/>
    </w:pPr>
    <w:rPr>
      <w:rFonts w:ascii="Arial" w:hAnsi="Arial" w:cs="Arial"/>
      <w:b/>
      <w:bC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
    <w:name w:val="Tabela com grade1"/>
    <w:basedOn w:val="Tabelanormal"/>
    <w:next w:val="Tabelacomgrade"/>
    <w:uiPriority w:val="39"/>
    <w:rsid w:val="00CF61D4"/>
    <w:rPr>
      <w:rFonts w:cs="Calibri"/>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F100C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rsid w:val="006441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rsid w:val="00BD4AC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rsid w:val="00E01D3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nhideWhenUsed/>
    <w:rsid w:val="006A57F1"/>
    <w:rPr>
      <w:sz w:val="20"/>
      <w:szCs w:val="20"/>
    </w:rPr>
  </w:style>
  <w:style w:type="character" w:customStyle="1" w:styleId="TextodenotaderodapChar">
    <w:name w:val="Texto de nota de rodapé Char"/>
    <w:link w:val="Textodenotaderodap"/>
    <w:rsid w:val="006A57F1"/>
    <w:rPr>
      <w:lang w:eastAsia="en-US"/>
    </w:rPr>
  </w:style>
  <w:style w:type="numbering" w:customStyle="1" w:styleId="Semlista2">
    <w:name w:val="Sem lista2"/>
    <w:next w:val="Semlista"/>
    <w:semiHidden/>
    <w:unhideWhenUsed/>
    <w:rsid w:val="00EE4B10"/>
  </w:style>
  <w:style w:type="paragraph" w:customStyle="1" w:styleId="western">
    <w:name w:val="western"/>
    <w:basedOn w:val="Normal"/>
    <w:rsid w:val="00873A8F"/>
    <w:pPr>
      <w:spacing w:before="100" w:beforeAutospacing="1" w:after="119" w:line="240" w:lineRule="auto"/>
    </w:pPr>
    <w:rPr>
      <w:rFonts w:ascii="Times New Roman" w:eastAsia="Times New Roman" w:hAnsi="Times New Roman"/>
      <w:sz w:val="24"/>
      <w:szCs w:val="24"/>
      <w:lang w:eastAsia="pt-BR"/>
    </w:rPr>
  </w:style>
  <w:style w:type="character" w:customStyle="1" w:styleId="Ttulo9Char">
    <w:name w:val="Título 9 Char"/>
    <w:link w:val="Ttulo9"/>
    <w:uiPriority w:val="9"/>
    <w:semiHidden/>
    <w:rsid w:val="00986C8D"/>
    <w:rPr>
      <w:rFonts w:ascii="Calibri Light" w:eastAsia="Times New Roman" w:hAnsi="Calibri Light" w:cs="Times New Roman"/>
      <w:sz w:val="22"/>
      <w:szCs w:val="22"/>
      <w:lang w:eastAsia="en-US"/>
    </w:rPr>
  </w:style>
  <w:style w:type="paragraph" w:styleId="Numerada">
    <w:name w:val="List Number"/>
    <w:basedOn w:val="Normal"/>
    <w:unhideWhenUsed/>
    <w:rsid w:val="00986C8D"/>
    <w:pPr>
      <w:numPr>
        <w:numId w:val="15"/>
      </w:numPr>
      <w:contextualSpacing/>
    </w:pPr>
  </w:style>
  <w:style w:type="paragraph" w:styleId="Lista2">
    <w:name w:val="List 2"/>
    <w:basedOn w:val="Normal"/>
    <w:uiPriority w:val="99"/>
    <w:semiHidden/>
    <w:unhideWhenUsed/>
    <w:rsid w:val="00986C8D"/>
    <w:pPr>
      <w:ind w:left="566" w:hanging="283"/>
      <w:contextualSpacing/>
    </w:pPr>
  </w:style>
  <w:style w:type="paragraph" w:styleId="Listadecontinuao2">
    <w:name w:val="List Continue 2"/>
    <w:basedOn w:val="Normal"/>
    <w:uiPriority w:val="99"/>
    <w:semiHidden/>
    <w:unhideWhenUsed/>
    <w:rsid w:val="00986C8D"/>
    <w:pPr>
      <w:spacing w:after="120"/>
      <w:ind w:left="566"/>
      <w:contextualSpacing/>
    </w:pPr>
  </w:style>
  <w:style w:type="paragraph" w:styleId="Listadecontinuao3">
    <w:name w:val="List Continue 3"/>
    <w:basedOn w:val="Normal"/>
    <w:uiPriority w:val="99"/>
    <w:semiHidden/>
    <w:unhideWhenUsed/>
    <w:rsid w:val="00986C8D"/>
    <w:pPr>
      <w:spacing w:after="120"/>
      <w:ind w:left="849"/>
      <w:contextualSpacing/>
    </w:pPr>
  </w:style>
  <w:style w:type="paragraph" w:styleId="Listadecontinuao4">
    <w:name w:val="List Continue 4"/>
    <w:basedOn w:val="Normal"/>
    <w:uiPriority w:val="99"/>
    <w:semiHidden/>
    <w:unhideWhenUsed/>
    <w:rsid w:val="00986C8D"/>
    <w:pPr>
      <w:spacing w:after="120"/>
      <w:ind w:left="1132"/>
      <w:contextualSpacing/>
    </w:pPr>
  </w:style>
  <w:style w:type="paragraph" w:styleId="Commarcadores">
    <w:name w:val="List Bullet"/>
    <w:basedOn w:val="Normal"/>
    <w:rsid w:val="00986C8D"/>
    <w:pPr>
      <w:tabs>
        <w:tab w:val="left" w:pos="566"/>
      </w:tabs>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eastAsia="pt-BR"/>
    </w:rPr>
  </w:style>
  <w:style w:type="paragraph" w:customStyle="1" w:styleId="Corpodetexto4">
    <w:name w:val="Corpo de texto 4"/>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Corpodetexto21">
    <w:name w:val="Corpo de texto 21"/>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Recuodecorpodetexto21">
    <w:name w:val="Recuo de corpo de texto 21"/>
    <w:basedOn w:val="Normal"/>
    <w:rsid w:val="008C71E5"/>
    <w:pPr>
      <w:overflowPunct w:val="0"/>
      <w:autoSpaceDE w:val="0"/>
      <w:autoSpaceDN w:val="0"/>
      <w:adjustRightInd w:val="0"/>
      <w:spacing w:after="0" w:line="240" w:lineRule="auto"/>
      <w:ind w:left="426" w:firstLine="360"/>
      <w:jc w:val="both"/>
      <w:textAlignment w:val="baseline"/>
    </w:pPr>
    <w:rPr>
      <w:rFonts w:ascii="Arial" w:eastAsia="Times New Roman" w:hAnsi="Arial"/>
      <w:sz w:val="24"/>
      <w:szCs w:val="20"/>
      <w:lang w:val="pt-PT" w:eastAsia="pt-BR"/>
    </w:rPr>
  </w:style>
  <w:style w:type="numbering" w:customStyle="1" w:styleId="Semlista3">
    <w:name w:val="Sem lista3"/>
    <w:next w:val="Semlista"/>
    <w:semiHidden/>
    <w:unhideWhenUsed/>
    <w:rsid w:val="005D33DB"/>
  </w:style>
  <w:style w:type="character" w:customStyle="1" w:styleId="PadroCharChar">
    <w:name w:val="Padrão Char Char"/>
    <w:rsid w:val="005D33DB"/>
    <w:rPr>
      <w:sz w:val="24"/>
      <w:lang w:val="pt-BR" w:eastAsia="pt-BR" w:bidi="ar-SA"/>
    </w:rPr>
  </w:style>
  <w:style w:type="paragraph" w:customStyle="1" w:styleId="PadroChar">
    <w:name w:val="Padrão Char"/>
    <w:rsid w:val="005D33DB"/>
    <w:pPr>
      <w:widowControl w:val="0"/>
    </w:pPr>
    <w:rPr>
      <w:rFonts w:ascii="Times New Roman" w:eastAsia="Times New Roman" w:hAnsi="Times New Roman"/>
      <w:sz w:val="24"/>
    </w:rPr>
  </w:style>
  <w:style w:type="table" w:customStyle="1" w:styleId="Tabelacomgrade6">
    <w:name w:val="Tabela com grade6"/>
    <w:basedOn w:val="Tabelanormal"/>
    <w:next w:val="Tabelacomgrade"/>
    <w:rsid w:val="005D33D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embloco">
    <w:name w:val="Block Text"/>
    <w:basedOn w:val="Normal"/>
    <w:rsid w:val="005D33DB"/>
    <w:pPr>
      <w:overflowPunct w:val="0"/>
      <w:autoSpaceDE w:val="0"/>
      <w:autoSpaceDN w:val="0"/>
      <w:adjustRightInd w:val="0"/>
      <w:spacing w:after="0" w:line="240" w:lineRule="auto"/>
      <w:ind w:left="567" w:right="-1708"/>
      <w:jc w:val="both"/>
      <w:textAlignment w:val="baseline"/>
    </w:pPr>
    <w:rPr>
      <w:rFonts w:ascii="Times New Roman" w:eastAsia="Times New Roman" w:hAnsi="Times New Roman"/>
      <w:b/>
      <w:sz w:val="24"/>
      <w:szCs w:val="20"/>
      <w:lang w:eastAsia="pt-BR"/>
    </w:rPr>
  </w:style>
  <w:style w:type="paragraph" w:styleId="Recuodecorpodetexto2">
    <w:name w:val="Body Text Indent 2"/>
    <w:basedOn w:val="Normal"/>
    <w:link w:val="Recuodecorpodetexto2Char"/>
    <w:rsid w:val="005D33DB"/>
    <w:pPr>
      <w:spacing w:after="120" w:line="480" w:lineRule="auto"/>
      <w:ind w:left="283"/>
    </w:pPr>
    <w:rPr>
      <w:rFonts w:ascii="Times New Roman" w:eastAsia="Times New Roman" w:hAnsi="Times New Roman"/>
      <w:sz w:val="24"/>
      <w:szCs w:val="24"/>
      <w:lang w:eastAsia="pt-BR"/>
    </w:rPr>
  </w:style>
  <w:style w:type="character" w:customStyle="1" w:styleId="Recuodecorpodetexto2Char">
    <w:name w:val="Recuo de corpo de texto 2 Char"/>
    <w:basedOn w:val="Fontepargpadro"/>
    <w:link w:val="Recuodecorpodetexto2"/>
    <w:rsid w:val="005D33DB"/>
    <w:rPr>
      <w:rFonts w:ascii="Times New Roman" w:eastAsia="Times New Roman" w:hAnsi="Times New Roman"/>
      <w:sz w:val="24"/>
      <w:szCs w:val="24"/>
    </w:rPr>
  </w:style>
  <w:style w:type="paragraph" w:customStyle="1" w:styleId="Textopadro">
    <w:name w:val="Texto padrão"/>
    <w:basedOn w:val="Normal"/>
    <w:rsid w:val="005D33DB"/>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eastAsia="pt-BR"/>
    </w:rPr>
  </w:style>
  <w:style w:type="character" w:styleId="Refdenotaderodap">
    <w:name w:val="footnote reference"/>
    <w:unhideWhenUsed/>
    <w:rsid w:val="005D33DB"/>
    <w:rPr>
      <w:vertAlign w:val="superscript"/>
    </w:rPr>
  </w:style>
  <w:style w:type="character" w:customStyle="1" w:styleId="Caracteresdenotaderodap">
    <w:name w:val="Caracteres de nota de rodapé"/>
    <w:rsid w:val="005D33DB"/>
    <w:rPr>
      <w:rFonts w:ascii="Arial" w:hAnsi="Arial" w:cs="Arial" w:hint="default"/>
      <w:sz w:val="20"/>
      <w:vertAlign w:val="superscript"/>
    </w:rPr>
  </w:style>
  <w:style w:type="table" w:customStyle="1" w:styleId="Tabelacomgrade7">
    <w:name w:val="Tabela com grade7"/>
    <w:basedOn w:val="Tabelanormal"/>
    <w:next w:val="Tabelacomgrade"/>
    <w:uiPriority w:val="59"/>
    <w:rsid w:val="002C2F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8">
    <w:name w:val="Tabela com grade8"/>
    <w:basedOn w:val="Tabelanormal"/>
    <w:next w:val="Tabelacomgrade"/>
    <w:uiPriority w:val="59"/>
    <w:rsid w:val="00C1735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9">
    <w:name w:val="Tabela com grade9"/>
    <w:basedOn w:val="Tabelanormal"/>
    <w:next w:val="Tabelacomgrade"/>
    <w:rsid w:val="00C803E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0">
    <w:name w:val="Tabela com grade10"/>
    <w:basedOn w:val="Tabelanormal"/>
    <w:next w:val="Tabelacomgrade"/>
    <w:uiPriority w:val="59"/>
    <w:rsid w:val="009135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4">
    <w:name w:val="Sem lista4"/>
    <w:next w:val="Semlista"/>
    <w:semiHidden/>
    <w:unhideWhenUsed/>
    <w:rsid w:val="004710BA"/>
  </w:style>
  <w:style w:type="table" w:customStyle="1" w:styleId="Tabelacomgrade11">
    <w:name w:val="Tabela com grade11"/>
    <w:basedOn w:val="Tabelanormal"/>
    <w:next w:val="Tabelacomgrade"/>
    <w:rsid w:val="004710B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rsid w:val="004710BA"/>
    <w:rPr>
      <w:sz w:val="16"/>
      <w:szCs w:val="16"/>
    </w:rPr>
  </w:style>
  <w:style w:type="paragraph" w:styleId="Textodecomentrio">
    <w:name w:val="annotation text"/>
    <w:basedOn w:val="Normal"/>
    <w:link w:val="TextodecomentrioChar"/>
    <w:rsid w:val="004710BA"/>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rsid w:val="004710BA"/>
    <w:rPr>
      <w:rFonts w:ascii="Times New Roman" w:eastAsia="Times New Roman" w:hAnsi="Times New Roman"/>
    </w:rPr>
  </w:style>
  <w:style w:type="paragraph" w:styleId="Assuntodocomentrio">
    <w:name w:val="annotation subject"/>
    <w:basedOn w:val="Textodecomentrio"/>
    <w:next w:val="Textodecomentrio"/>
    <w:link w:val="AssuntodocomentrioChar"/>
    <w:rsid w:val="004710BA"/>
    <w:rPr>
      <w:b/>
      <w:bCs/>
    </w:rPr>
  </w:style>
  <w:style w:type="character" w:customStyle="1" w:styleId="AssuntodocomentrioChar">
    <w:name w:val="Assunto do comentário Char"/>
    <w:basedOn w:val="TextodecomentrioChar"/>
    <w:link w:val="Assuntodocomentrio"/>
    <w:rsid w:val="004710BA"/>
    <w:rPr>
      <w:rFonts w:ascii="Times New Roman" w:eastAsia="Times New Roman" w:hAnsi="Times New Roman"/>
      <w:b/>
      <w:bCs/>
    </w:rPr>
  </w:style>
  <w:style w:type="character" w:styleId="HiperlinkVisitado">
    <w:name w:val="FollowedHyperlink"/>
    <w:basedOn w:val="Fontepargpadro"/>
    <w:uiPriority w:val="99"/>
    <w:semiHidden/>
    <w:unhideWhenUsed/>
    <w:rsid w:val="00057F8E"/>
    <w:rPr>
      <w:color w:val="954F72"/>
      <w:u w:val="single"/>
    </w:rPr>
  </w:style>
  <w:style w:type="paragraph" w:customStyle="1" w:styleId="font5">
    <w:name w:val="font5"/>
    <w:basedOn w:val="Normal"/>
    <w:rsid w:val="00057F8E"/>
    <w:pPr>
      <w:spacing w:before="100" w:beforeAutospacing="1" w:after="100" w:afterAutospacing="1" w:line="240" w:lineRule="auto"/>
    </w:pPr>
    <w:rPr>
      <w:rFonts w:ascii="Times New Roman" w:eastAsia="Times New Roman" w:hAnsi="Times New Roman"/>
      <w:b/>
      <w:bCs/>
      <w:color w:val="000000"/>
      <w:sz w:val="20"/>
      <w:szCs w:val="20"/>
      <w:lang w:eastAsia="pt-BR"/>
    </w:rPr>
  </w:style>
  <w:style w:type="paragraph" w:customStyle="1" w:styleId="font6">
    <w:name w:val="font6"/>
    <w:basedOn w:val="Normal"/>
    <w:rsid w:val="00057F8E"/>
    <w:pPr>
      <w:spacing w:before="100" w:beforeAutospacing="1" w:after="100" w:afterAutospacing="1" w:line="240" w:lineRule="auto"/>
    </w:pPr>
    <w:rPr>
      <w:rFonts w:ascii="Times New Roman" w:eastAsia="Times New Roman" w:hAnsi="Times New Roman"/>
      <w:color w:val="000000"/>
      <w:sz w:val="20"/>
      <w:szCs w:val="20"/>
      <w:lang w:eastAsia="pt-BR"/>
    </w:rPr>
  </w:style>
  <w:style w:type="paragraph" w:customStyle="1" w:styleId="font7">
    <w:name w:val="font7"/>
    <w:basedOn w:val="Normal"/>
    <w:rsid w:val="00057F8E"/>
    <w:pPr>
      <w:spacing w:before="100" w:beforeAutospacing="1" w:after="100" w:afterAutospacing="1" w:line="240" w:lineRule="auto"/>
    </w:pPr>
    <w:rPr>
      <w:rFonts w:ascii="Times New Roman" w:eastAsia="Times New Roman" w:hAnsi="Times New Roman"/>
      <w:b/>
      <w:bCs/>
      <w:i/>
      <w:iCs/>
      <w:color w:val="000000"/>
      <w:sz w:val="20"/>
      <w:szCs w:val="20"/>
      <w:lang w:eastAsia="pt-BR"/>
    </w:rPr>
  </w:style>
  <w:style w:type="paragraph" w:customStyle="1" w:styleId="font8">
    <w:name w:val="font8"/>
    <w:basedOn w:val="Normal"/>
    <w:rsid w:val="00057F8E"/>
    <w:pPr>
      <w:spacing w:before="100" w:beforeAutospacing="1" w:after="100" w:afterAutospacing="1" w:line="240" w:lineRule="auto"/>
    </w:pPr>
    <w:rPr>
      <w:rFonts w:ascii="Times New Roman" w:eastAsia="Times New Roman" w:hAnsi="Times New Roman"/>
      <w:color w:val="000000"/>
      <w:sz w:val="20"/>
      <w:szCs w:val="20"/>
      <w:u w:val="single"/>
      <w:lang w:eastAsia="pt-BR"/>
    </w:rPr>
  </w:style>
  <w:style w:type="paragraph" w:customStyle="1" w:styleId="font9">
    <w:name w:val="font9"/>
    <w:basedOn w:val="Normal"/>
    <w:rsid w:val="00057F8E"/>
    <w:pPr>
      <w:spacing w:before="100" w:beforeAutospacing="1" w:after="100" w:afterAutospacing="1" w:line="240" w:lineRule="auto"/>
    </w:pPr>
    <w:rPr>
      <w:rFonts w:ascii="Times New Roman" w:eastAsia="Times New Roman" w:hAnsi="Times New Roman"/>
      <w:sz w:val="20"/>
      <w:szCs w:val="20"/>
      <w:u w:val="single"/>
      <w:lang w:eastAsia="pt-BR"/>
    </w:rPr>
  </w:style>
  <w:style w:type="paragraph" w:customStyle="1" w:styleId="font10">
    <w:name w:val="font10"/>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font11">
    <w:name w:val="font11"/>
    <w:basedOn w:val="Normal"/>
    <w:rsid w:val="00057F8E"/>
    <w:pPr>
      <w:spacing w:before="100" w:beforeAutospacing="1" w:after="100" w:afterAutospacing="1" w:line="240" w:lineRule="auto"/>
    </w:pPr>
    <w:rPr>
      <w:rFonts w:ascii="Times New Roman" w:eastAsia="Times New Roman" w:hAnsi="Times New Roman"/>
      <w:b/>
      <w:bCs/>
      <w:sz w:val="20"/>
      <w:szCs w:val="20"/>
      <w:lang w:eastAsia="pt-BR"/>
    </w:rPr>
  </w:style>
  <w:style w:type="paragraph" w:customStyle="1" w:styleId="xl65">
    <w:name w:val="xl6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66">
    <w:name w:val="xl66"/>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67">
    <w:name w:val="xl6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8">
    <w:name w:val="xl6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69">
    <w:name w:val="xl6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0">
    <w:name w:val="xl70"/>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1">
    <w:name w:val="xl7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2">
    <w:name w:val="xl7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73">
    <w:name w:val="xl7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pt-BR"/>
    </w:rPr>
  </w:style>
  <w:style w:type="paragraph" w:customStyle="1" w:styleId="xl74">
    <w:name w:val="xl7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5">
    <w:name w:val="xl75"/>
    <w:basedOn w:val="Normal"/>
    <w:rsid w:val="00057F8E"/>
    <w:pPr>
      <w:spacing w:before="100" w:beforeAutospacing="1" w:after="100" w:afterAutospacing="1" w:line="240" w:lineRule="auto"/>
      <w:jc w:val="center"/>
    </w:pPr>
    <w:rPr>
      <w:rFonts w:ascii="Times New Roman" w:eastAsia="Times New Roman" w:hAnsi="Times New Roman"/>
      <w:sz w:val="20"/>
      <w:szCs w:val="20"/>
      <w:lang w:eastAsia="pt-BR"/>
    </w:rPr>
  </w:style>
  <w:style w:type="paragraph" w:customStyle="1" w:styleId="xl76">
    <w:name w:val="xl7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7">
    <w:name w:val="xl7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8">
    <w:name w:val="xl7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9">
    <w:name w:val="xl7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0">
    <w:name w:val="xl80"/>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81">
    <w:name w:val="xl81"/>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82">
    <w:name w:val="xl82"/>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83">
    <w:name w:val="xl83"/>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4">
    <w:name w:val="xl84"/>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5">
    <w:name w:val="xl85"/>
    <w:basedOn w:val="Normal"/>
    <w:rsid w:val="00057F8E"/>
    <w:pPr>
      <w:shd w:val="clear" w:color="000000" w:fill="FFFFFF"/>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6">
    <w:name w:val="xl8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7">
    <w:name w:val="xl87"/>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8">
    <w:name w:val="xl88"/>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9">
    <w:name w:val="xl8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0">
    <w:name w:val="xl90"/>
    <w:basedOn w:val="Normal"/>
    <w:rsid w:val="00057F8E"/>
    <w:pP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1">
    <w:name w:val="xl9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2">
    <w:name w:val="xl9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3">
    <w:name w:val="xl9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94">
    <w:name w:val="xl9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5">
    <w:name w:val="xl9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msonormal0">
    <w:name w:val="msonormal"/>
    <w:basedOn w:val="Normal"/>
    <w:rsid w:val="0032334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96">
    <w:name w:val="xl96"/>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97">
    <w:name w:val="xl97"/>
    <w:basedOn w:val="Normal"/>
    <w:rsid w:val="0032334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0"/>
      <w:szCs w:val="20"/>
      <w:lang w:eastAsia="pt-BR"/>
    </w:rPr>
  </w:style>
  <w:style w:type="paragraph" w:customStyle="1" w:styleId="xl98">
    <w:name w:val="xl98"/>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99">
    <w:name w:val="xl99"/>
    <w:basedOn w:val="Normal"/>
    <w:rsid w:val="0032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elacomgrade12">
    <w:name w:val="Tabela com grade12"/>
    <w:basedOn w:val="Tabelanormal"/>
    <w:next w:val="Tabelacomgrade"/>
    <w:uiPriority w:val="39"/>
    <w:rsid w:val="003A6AA8"/>
    <w:rPr>
      <w:rFonts w:ascii="Arial Unicode MS" w:hAnsi="Arial Unicode MS" w:cs="Arial Unicode MS"/>
      <w:iCs/>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E108A3"/>
    <w:rPr>
      <w:color w:val="605E5C"/>
      <w:shd w:val="clear" w:color="auto" w:fill="E1DFDD"/>
    </w:rPr>
  </w:style>
  <w:style w:type="character" w:styleId="MenoPendente">
    <w:name w:val="Unresolved Mention"/>
    <w:basedOn w:val="Fontepargpadro"/>
    <w:uiPriority w:val="99"/>
    <w:semiHidden/>
    <w:unhideWhenUsed/>
    <w:rsid w:val="00FE3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4361">
      <w:bodyDiv w:val="1"/>
      <w:marLeft w:val="0"/>
      <w:marRight w:val="0"/>
      <w:marTop w:val="0"/>
      <w:marBottom w:val="0"/>
      <w:divBdr>
        <w:top w:val="none" w:sz="0" w:space="0" w:color="auto"/>
        <w:left w:val="none" w:sz="0" w:space="0" w:color="auto"/>
        <w:bottom w:val="none" w:sz="0" w:space="0" w:color="auto"/>
        <w:right w:val="none" w:sz="0" w:space="0" w:color="auto"/>
      </w:divBdr>
    </w:div>
    <w:div w:id="42561877">
      <w:bodyDiv w:val="1"/>
      <w:marLeft w:val="0"/>
      <w:marRight w:val="0"/>
      <w:marTop w:val="0"/>
      <w:marBottom w:val="0"/>
      <w:divBdr>
        <w:top w:val="none" w:sz="0" w:space="0" w:color="auto"/>
        <w:left w:val="none" w:sz="0" w:space="0" w:color="auto"/>
        <w:bottom w:val="none" w:sz="0" w:space="0" w:color="auto"/>
        <w:right w:val="none" w:sz="0" w:space="0" w:color="auto"/>
      </w:divBdr>
    </w:div>
    <w:div w:id="75321846">
      <w:bodyDiv w:val="1"/>
      <w:marLeft w:val="0"/>
      <w:marRight w:val="0"/>
      <w:marTop w:val="0"/>
      <w:marBottom w:val="0"/>
      <w:divBdr>
        <w:top w:val="none" w:sz="0" w:space="0" w:color="auto"/>
        <w:left w:val="none" w:sz="0" w:space="0" w:color="auto"/>
        <w:bottom w:val="none" w:sz="0" w:space="0" w:color="auto"/>
        <w:right w:val="none" w:sz="0" w:space="0" w:color="auto"/>
      </w:divBdr>
    </w:div>
    <w:div w:id="98987402">
      <w:bodyDiv w:val="1"/>
      <w:marLeft w:val="0"/>
      <w:marRight w:val="0"/>
      <w:marTop w:val="0"/>
      <w:marBottom w:val="0"/>
      <w:divBdr>
        <w:top w:val="none" w:sz="0" w:space="0" w:color="auto"/>
        <w:left w:val="none" w:sz="0" w:space="0" w:color="auto"/>
        <w:bottom w:val="none" w:sz="0" w:space="0" w:color="auto"/>
        <w:right w:val="none" w:sz="0" w:space="0" w:color="auto"/>
      </w:divBdr>
    </w:div>
    <w:div w:id="103153809">
      <w:bodyDiv w:val="1"/>
      <w:marLeft w:val="0"/>
      <w:marRight w:val="0"/>
      <w:marTop w:val="0"/>
      <w:marBottom w:val="0"/>
      <w:divBdr>
        <w:top w:val="none" w:sz="0" w:space="0" w:color="auto"/>
        <w:left w:val="none" w:sz="0" w:space="0" w:color="auto"/>
        <w:bottom w:val="none" w:sz="0" w:space="0" w:color="auto"/>
        <w:right w:val="none" w:sz="0" w:space="0" w:color="auto"/>
      </w:divBdr>
    </w:div>
    <w:div w:id="110518520">
      <w:bodyDiv w:val="1"/>
      <w:marLeft w:val="0"/>
      <w:marRight w:val="0"/>
      <w:marTop w:val="0"/>
      <w:marBottom w:val="0"/>
      <w:divBdr>
        <w:top w:val="none" w:sz="0" w:space="0" w:color="auto"/>
        <w:left w:val="none" w:sz="0" w:space="0" w:color="auto"/>
        <w:bottom w:val="none" w:sz="0" w:space="0" w:color="auto"/>
        <w:right w:val="none" w:sz="0" w:space="0" w:color="auto"/>
      </w:divBdr>
    </w:div>
    <w:div w:id="168837635">
      <w:bodyDiv w:val="1"/>
      <w:marLeft w:val="0"/>
      <w:marRight w:val="0"/>
      <w:marTop w:val="0"/>
      <w:marBottom w:val="0"/>
      <w:divBdr>
        <w:top w:val="none" w:sz="0" w:space="0" w:color="auto"/>
        <w:left w:val="none" w:sz="0" w:space="0" w:color="auto"/>
        <w:bottom w:val="none" w:sz="0" w:space="0" w:color="auto"/>
        <w:right w:val="none" w:sz="0" w:space="0" w:color="auto"/>
      </w:divBdr>
    </w:div>
    <w:div w:id="172695237">
      <w:bodyDiv w:val="1"/>
      <w:marLeft w:val="0"/>
      <w:marRight w:val="0"/>
      <w:marTop w:val="0"/>
      <w:marBottom w:val="0"/>
      <w:divBdr>
        <w:top w:val="none" w:sz="0" w:space="0" w:color="auto"/>
        <w:left w:val="none" w:sz="0" w:space="0" w:color="auto"/>
        <w:bottom w:val="none" w:sz="0" w:space="0" w:color="auto"/>
        <w:right w:val="none" w:sz="0" w:space="0" w:color="auto"/>
      </w:divBdr>
    </w:div>
    <w:div w:id="180895788">
      <w:bodyDiv w:val="1"/>
      <w:marLeft w:val="0"/>
      <w:marRight w:val="0"/>
      <w:marTop w:val="0"/>
      <w:marBottom w:val="0"/>
      <w:divBdr>
        <w:top w:val="none" w:sz="0" w:space="0" w:color="auto"/>
        <w:left w:val="none" w:sz="0" w:space="0" w:color="auto"/>
        <w:bottom w:val="none" w:sz="0" w:space="0" w:color="auto"/>
        <w:right w:val="none" w:sz="0" w:space="0" w:color="auto"/>
      </w:divBdr>
    </w:div>
    <w:div w:id="191575046">
      <w:bodyDiv w:val="1"/>
      <w:marLeft w:val="0"/>
      <w:marRight w:val="0"/>
      <w:marTop w:val="0"/>
      <w:marBottom w:val="0"/>
      <w:divBdr>
        <w:top w:val="none" w:sz="0" w:space="0" w:color="auto"/>
        <w:left w:val="none" w:sz="0" w:space="0" w:color="auto"/>
        <w:bottom w:val="none" w:sz="0" w:space="0" w:color="auto"/>
        <w:right w:val="none" w:sz="0" w:space="0" w:color="auto"/>
      </w:divBdr>
    </w:div>
    <w:div w:id="206531825">
      <w:bodyDiv w:val="1"/>
      <w:marLeft w:val="0"/>
      <w:marRight w:val="0"/>
      <w:marTop w:val="0"/>
      <w:marBottom w:val="0"/>
      <w:divBdr>
        <w:top w:val="none" w:sz="0" w:space="0" w:color="auto"/>
        <w:left w:val="none" w:sz="0" w:space="0" w:color="auto"/>
        <w:bottom w:val="none" w:sz="0" w:space="0" w:color="auto"/>
        <w:right w:val="none" w:sz="0" w:space="0" w:color="auto"/>
      </w:divBdr>
    </w:div>
    <w:div w:id="211188690">
      <w:bodyDiv w:val="1"/>
      <w:marLeft w:val="0"/>
      <w:marRight w:val="0"/>
      <w:marTop w:val="0"/>
      <w:marBottom w:val="0"/>
      <w:divBdr>
        <w:top w:val="none" w:sz="0" w:space="0" w:color="auto"/>
        <w:left w:val="none" w:sz="0" w:space="0" w:color="auto"/>
        <w:bottom w:val="none" w:sz="0" w:space="0" w:color="auto"/>
        <w:right w:val="none" w:sz="0" w:space="0" w:color="auto"/>
      </w:divBdr>
    </w:div>
    <w:div w:id="219680465">
      <w:bodyDiv w:val="1"/>
      <w:marLeft w:val="0"/>
      <w:marRight w:val="0"/>
      <w:marTop w:val="0"/>
      <w:marBottom w:val="0"/>
      <w:divBdr>
        <w:top w:val="none" w:sz="0" w:space="0" w:color="auto"/>
        <w:left w:val="none" w:sz="0" w:space="0" w:color="auto"/>
        <w:bottom w:val="none" w:sz="0" w:space="0" w:color="auto"/>
        <w:right w:val="none" w:sz="0" w:space="0" w:color="auto"/>
      </w:divBdr>
    </w:div>
    <w:div w:id="247470460">
      <w:bodyDiv w:val="1"/>
      <w:marLeft w:val="0"/>
      <w:marRight w:val="0"/>
      <w:marTop w:val="0"/>
      <w:marBottom w:val="0"/>
      <w:divBdr>
        <w:top w:val="none" w:sz="0" w:space="0" w:color="auto"/>
        <w:left w:val="none" w:sz="0" w:space="0" w:color="auto"/>
        <w:bottom w:val="none" w:sz="0" w:space="0" w:color="auto"/>
        <w:right w:val="none" w:sz="0" w:space="0" w:color="auto"/>
      </w:divBdr>
    </w:div>
    <w:div w:id="249462519">
      <w:bodyDiv w:val="1"/>
      <w:marLeft w:val="0"/>
      <w:marRight w:val="0"/>
      <w:marTop w:val="0"/>
      <w:marBottom w:val="0"/>
      <w:divBdr>
        <w:top w:val="none" w:sz="0" w:space="0" w:color="auto"/>
        <w:left w:val="none" w:sz="0" w:space="0" w:color="auto"/>
        <w:bottom w:val="none" w:sz="0" w:space="0" w:color="auto"/>
        <w:right w:val="none" w:sz="0" w:space="0" w:color="auto"/>
      </w:divBdr>
    </w:div>
    <w:div w:id="260186655">
      <w:bodyDiv w:val="1"/>
      <w:marLeft w:val="0"/>
      <w:marRight w:val="0"/>
      <w:marTop w:val="0"/>
      <w:marBottom w:val="0"/>
      <w:divBdr>
        <w:top w:val="none" w:sz="0" w:space="0" w:color="auto"/>
        <w:left w:val="none" w:sz="0" w:space="0" w:color="auto"/>
        <w:bottom w:val="none" w:sz="0" w:space="0" w:color="auto"/>
        <w:right w:val="none" w:sz="0" w:space="0" w:color="auto"/>
      </w:divBdr>
    </w:div>
    <w:div w:id="283273433">
      <w:bodyDiv w:val="1"/>
      <w:marLeft w:val="0"/>
      <w:marRight w:val="0"/>
      <w:marTop w:val="0"/>
      <w:marBottom w:val="0"/>
      <w:divBdr>
        <w:top w:val="none" w:sz="0" w:space="0" w:color="auto"/>
        <w:left w:val="none" w:sz="0" w:space="0" w:color="auto"/>
        <w:bottom w:val="none" w:sz="0" w:space="0" w:color="auto"/>
        <w:right w:val="none" w:sz="0" w:space="0" w:color="auto"/>
      </w:divBdr>
    </w:div>
    <w:div w:id="289242085">
      <w:bodyDiv w:val="1"/>
      <w:marLeft w:val="0"/>
      <w:marRight w:val="0"/>
      <w:marTop w:val="0"/>
      <w:marBottom w:val="0"/>
      <w:divBdr>
        <w:top w:val="none" w:sz="0" w:space="0" w:color="auto"/>
        <w:left w:val="none" w:sz="0" w:space="0" w:color="auto"/>
        <w:bottom w:val="none" w:sz="0" w:space="0" w:color="auto"/>
        <w:right w:val="none" w:sz="0" w:space="0" w:color="auto"/>
      </w:divBdr>
    </w:div>
    <w:div w:id="297343994">
      <w:bodyDiv w:val="1"/>
      <w:marLeft w:val="0"/>
      <w:marRight w:val="0"/>
      <w:marTop w:val="0"/>
      <w:marBottom w:val="0"/>
      <w:divBdr>
        <w:top w:val="none" w:sz="0" w:space="0" w:color="auto"/>
        <w:left w:val="none" w:sz="0" w:space="0" w:color="auto"/>
        <w:bottom w:val="none" w:sz="0" w:space="0" w:color="auto"/>
        <w:right w:val="none" w:sz="0" w:space="0" w:color="auto"/>
      </w:divBdr>
    </w:div>
    <w:div w:id="328799129">
      <w:bodyDiv w:val="1"/>
      <w:marLeft w:val="0"/>
      <w:marRight w:val="0"/>
      <w:marTop w:val="0"/>
      <w:marBottom w:val="0"/>
      <w:divBdr>
        <w:top w:val="none" w:sz="0" w:space="0" w:color="auto"/>
        <w:left w:val="none" w:sz="0" w:space="0" w:color="auto"/>
        <w:bottom w:val="none" w:sz="0" w:space="0" w:color="auto"/>
        <w:right w:val="none" w:sz="0" w:space="0" w:color="auto"/>
      </w:divBdr>
    </w:div>
    <w:div w:id="332605380">
      <w:bodyDiv w:val="1"/>
      <w:marLeft w:val="0"/>
      <w:marRight w:val="0"/>
      <w:marTop w:val="0"/>
      <w:marBottom w:val="0"/>
      <w:divBdr>
        <w:top w:val="none" w:sz="0" w:space="0" w:color="auto"/>
        <w:left w:val="none" w:sz="0" w:space="0" w:color="auto"/>
        <w:bottom w:val="none" w:sz="0" w:space="0" w:color="auto"/>
        <w:right w:val="none" w:sz="0" w:space="0" w:color="auto"/>
      </w:divBdr>
    </w:div>
    <w:div w:id="347487627">
      <w:bodyDiv w:val="1"/>
      <w:marLeft w:val="0"/>
      <w:marRight w:val="0"/>
      <w:marTop w:val="0"/>
      <w:marBottom w:val="0"/>
      <w:divBdr>
        <w:top w:val="none" w:sz="0" w:space="0" w:color="auto"/>
        <w:left w:val="none" w:sz="0" w:space="0" w:color="auto"/>
        <w:bottom w:val="none" w:sz="0" w:space="0" w:color="auto"/>
        <w:right w:val="none" w:sz="0" w:space="0" w:color="auto"/>
      </w:divBdr>
    </w:div>
    <w:div w:id="375593999">
      <w:bodyDiv w:val="1"/>
      <w:marLeft w:val="0"/>
      <w:marRight w:val="0"/>
      <w:marTop w:val="0"/>
      <w:marBottom w:val="0"/>
      <w:divBdr>
        <w:top w:val="none" w:sz="0" w:space="0" w:color="auto"/>
        <w:left w:val="none" w:sz="0" w:space="0" w:color="auto"/>
        <w:bottom w:val="none" w:sz="0" w:space="0" w:color="auto"/>
        <w:right w:val="none" w:sz="0" w:space="0" w:color="auto"/>
      </w:divBdr>
    </w:div>
    <w:div w:id="378627860">
      <w:bodyDiv w:val="1"/>
      <w:marLeft w:val="0"/>
      <w:marRight w:val="0"/>
      <w:marTop w:val="0"/>
      <w:marBottom w:val="0"/>
      <w:divBdr>
        <w:top w:val="none" w:sz="0" w:space="0" w:color="auto"/>
        <w:left w:val="none" w:sz="0" w:space="0" w:color="auto"/>
        <w:bottom w:val="none" w:sz="0" w:space="0" w:color="auto"/>
        <w:right w:val="none" w:sz="0" w:space="0" w:color="auto"/>
      </w:divBdr>
    </w:div>
    <w:div w:id="384841945">
      <w:bodyDiv w:val="1"/>
      <w:marLeft w:val="0"/>
      <w:marRight w:val="0"/>
      <w:marTop w:val="0"/>
      <w:marBottom w:val="0"/>
      <w:divBdr>
        <w:top w:val="none" w:sz="0" w:space="0" w:color="auto"/>
        <w:left w:val="none" w:sz="0" w:space="0" w:color="auto"/>
        <w:bottom w:val="none" w:sz="0" w:space="0" w:color="auto"/>
        <w:right w:val="none" w:sz="0" w:space="0" w:color="auto"/>
      </w:divBdr>
    </w:div>
    <w:div w:id="408380643">
      <w:bodyDiv w:val="1"/>
      <w:marLeft w:val="0"/>
      <w:marRight w:val="0"/>
      <w:marTop w:val="0"/>
      <w:marBottom w:val="0"/>
      <w:divBdr>
        <w:top w:val="none" w:sz="0" w:space="0" w:color="auto"/>
        <w:left w:val="none" w:sz="0" w:space="0" w:color="auto"/>
        <w:bottom w:val="none" w:sz="0" w:space="0" w:color="auto"/>
        <w:right w:val="none" w:sz="0" w:space="0" w:color="auto"/>
      </w:divBdr>
    </w:div>
    <w:div w:id="423501052">
      <w:bodyDiv w:val="1"/>
      <w:marLeft w:val="0"/>
      <w:marRight w:val="0"/>
      <w:marTop w:val="0"/>
      <w:marBottom w:val="0"/>
      <w:divBdr>
        <w:top w:val="none" w:sz="0" w:space="0" w:color="auto"/>
        <w:left w:val="none" w:sz="0" w:space="0" w:color="auto"/>
        <w:bottom w:val="none" w:sz="0" w:space="0" w:color="auto"/>
        <w:right w:val="none" w:sz="0" w:space="0" w:color="auto"/>
      </w:divBdr>
    </w:div>
    <w:div w:id="446775858">
      <w:bodyDiv w:val="1"/>
      <w:marLeft w:val="0"/>
      <w:marRight w:val="0"/>
      <w:marTop w:val="0"/>
      <w:marBottom w:val="0"/>
      <w:divBdr>
        <w:top w:val="none" w:sz="0" w:space="0" w:color="auto"/>
        <w:left w:val="none" w:sz="0" w:space="0" w:color="auto"/>
        <w:bottom w:val="none" w:sz="0" w:space="0" w:color="auto"/>
        <w:right w:val="none" w:sz="0" w:space="0" w:color="auto"/>
      </w:divBdr>
    </w:div>
    <w:div w:id="455025114">
      <w:bodyDiv w:val="1"/>
      <w:marLeft w:val="0"/>
      <w:marRight w:val="0"/>
      <w:marTop w:val="0"/>
      <w:marBottom w:val="0"/>
      <w:divBdr>
        <w:top w:val="none" w:sz="0" w:space="0" w:color="auto"/>
        <w:left w:val="none" w:sz="0" w:space="0" w:color="auto"/>
        <w:bottom w:val="none" w:sz="0" w:space="0" w:color="auto"/>
        <w:right w:val="none" w:sz="0" w:space="0" w:color="auto"/>
      </w:divBdr>
    </w:div>
    <w:div w:id="460613786">
      <w:bodyDiv w:val="1"/>
      <w:marLeft w:val="0"/>
      <w:marRight w:val="0"/>
      <w:marTop w:val="0"/>
      <w:marBottom w:val="0"/>
      <w:divBdr>
        <w:top w:val="none" w:sz="0" w:space="0" w:color="auto"/>
        <w:left w:val="none" w:sz="0" w:space="0" w:color="auto"/>
        <w:bottom w:val="none" w:sz="0" w:space="0" w:color="auto"/>
        <w:right w:val="none" w:sz="0" w:space="0" w:color="auto"/>
      </w:divBdr>
    </w:div>
    <w:div w:id="466436648">
      <w:bodyDiv w:val="1"/>
      <w:marLeft w:val="0"/>
      <w:marRight w:val="0"/>
      <w:marTop w:val="0"/>
      <w:marBottom w:val="0"/>
      <w:divBdr>
        <w:top w:val="none" w:sz="0" w:space="0" w:color="auto"/>
        <w:left w:val="none" w:sz="0" w:space="0" w:color="auto"/>
        <w:bottom w:val="none" w:sz="0" w:space="0" w:color="auto"/>
        <w:right w:val="none" w:sz="0" w:space="0" w:color="auto"/>
      </w:divBdr>
    </w:div>
    <w:div w:id="476992708">
      <w:bodyDiv w:val="1"/>
      <w:marLeft w:val="0"/>
      <w:marRight w:val="0"/>
      <w:marTop w:val="0"/>
      <w:marBottom w:val="0"/>
      <w:divBdr>
        <w:top w:val="none" w:sz="0" w:space="0" w:color="auto"/>
        <w:left w:val="none" w:sz="0" w:space="0" w:color="auto"/>
        <w:bottom w:val="none" w:sz="0" w:space="0" w:color="auto"/>
        <w:right w:val="none" w:sz="0" w:space="0" w:color="auto"/>
      </w:divBdr>
    </w:div>
    <w:div w:id="479271609">
      <w:bodyDiv w:val="1"/>
      <w:marLeft w:val="0"/>
      <w:marRight w:val="0"/>
      <w:marTop w:val="0"/>
      <w:marBottom w:val="0"/>
      <w:divBdr>
        <w:top w:val="none" w:sz="0" w:space="0" w:color="auto"/>
        <w:left w:val="none" w:sz="0" w:space="0" w:color="auto"/>
        <w:bottom w:val="none" w:sz="0" w:space="0" w:color="auto"/>
        <w:right w:val="none" w:sz="0" w:space="0" w:color="auto"/>
      </w:divBdr>
    </w:div>
    <w:div w:id="479420950">
      <w:bodyDiv w:val="1"/>
      <w:marLeft w:val="0"/>
      <w:marRight w:val="0"/>
      <w:marTop w:val="0"/>
      <w:marBottom w:val="0"/>
      <w:divBdr>
        <w:top w:val="none" w:sz="0" w:space="0" w:color="auto"/>
        <w:left w:val="none" w:sz="0" w:space="0" w:color="auto"/>
        <w:bottom w:val="none" w:sz="0" w:space="0" w:color="auto"/>
        <w:right w:val="none" w:sz="0" w:space="0" w:color="auto"/>
      </w:divBdr>
    </w:div>
    <w:div w:id="496846300">
      <w:bodyDiv w:val="1"/>
      <w:marLeft w:val="0"/>
      <w:marRight w:val="0"/>
      <w:marTop w:val="0"/>
      <w:marBottom w:val="0"/>
      <w:divBdr>
        <w:top w:val="none" w:sz="0" w:space="0" w:color="auto"/>
        <w:left w:val="none" w:sz="0" w:space="0" w:color="auto"/>
        <w:bottom w:val="none" w:sz="0" w:space="0" w:color="auto"/>
        <w:right w:val="none" w:sz="0" w:space="0" w:color="auto"/>
      </w:divBdr>
    </w:div>
    <w:div w:id="512572657">
      <w:bodyDiv w:val="1"/>
      <w:marLeft w:val="0"/>
      <w:marRight w:val="0"/>
      <w:marTop w:val="0"/>
      <w:marBottom w:val="0"/>
      <w:divBdr>
        <w:top w:val="none" w:sz="0" w:space="0" w:color="auto"/>
        <w:left w:val="none" w:sz="0" w:space="0" w:color="auto"/>
        <w:bottom w:val="none" w:sz="0" w:space="0" w:color="auto"/>
        <w:right w:val="none" w:sz="0" w:space="0" w:color="auto"/>
      </w:divBdr>
    </w:div>
    <w:div w:id="516425244">
      <w:bodyDiv w:val="1"/>
      <w:marLeft w:val="0"/>
      <w:marRight w:val="0"/>
      <w:marTop w:val="0"/>
      <w:marBottom w:val="0"/>
      <w:divBdr>
        <w:top w:val="none" w:sz="0" w:space="0" w:color="auto"/>
        <w:left w:val="none" w:sz="0" w:space="0" w:color="auto"/>
        <w:bottom w:val="none" w:sz="0" w:space="0" w:color="auto"/>
        <w:right w:val="none" w:sz="0" w:space="0" w:color="auto"/>
      </w:divBdr>
    </w:div>
    <w:div w:id="519511649">
      <w:bodyDiv w:val="1"/>
      <w:marLeft w:val="0"/>
      <w:marRight w:val="0"/>
      <w:marTop w:val="0"/>
      <w:marBottom w:val="0"/>
      <w:divBdr>
        <w:top w:val="none" w:sz="0" w:space="0" w:color="auto"/>
        <w:left w:val="none" w:sz="0" w:space="0" w:color="auto"/>
        <w:bottom w:val="none" w:sz="0" w:space="0" w:color="auto"/>
        <w:right w:val="none" w:sz="0" w:space="0" w:color="auto"/>
      </w:divBdr>
    </w:div>
    <w:div w:id="543256895">
      <w:bodyDiv w:val="1"/>
      <w:marLeft w:val="0"/>
      <w:marRight w:val="0"/>
      <w:marTop w:val="0"/>
      <w:marBottom w:val="0"/>
      <w:divBdr>
        <w:top w:val="none" w:sz="0" w:space="0" w:color="auto"/>
        <w:left w:val="none" w:sz="0" w:space="0" w:color="auto"/>
        <w:bottom w:val="none" w:sz="0" w:space="0" w:color="auto"/>
        <w:right w:val="none" w:sz="0" w:space="0" w:color="auto"/>
      </w:divBdr>
    </w:div>
    <w:div w:id="550657257">
      <w:bodyDiv w:val="1"/>
      <w:marLeft w:val="0"/>
      <w:marRight w:val="0"/>
      <w:marTop w:val="0"/>
      <w:marBottom w:val="0"/>
      <w:divBdr>
        <w:top w:val="none" w:sz="0" w:space="0" w:color="auto"/>
        <w:left w:val="none" w:sz="0" w:space="0" w:color="auto"/>
        <w:bottom w:val="none" w:sz="0" w:space="0" w:color="auto"/>
        <w:right w:val="none" w:sz="0" w:space="0" w:color="auto"/>
      </w:divBdr>
    </w:div>
    <w:div w:id="552928783">
      <w:bodyDiv w:val="1"/>
      <w:marLeft w:val="0"/>
      <w:marRight w:val="0"/>
      <w:marTop w:val="0"/>
      <w:marBottom w:val="0"/>
      <w:divBdr>
        <w:top w:val="none" w:sz="0" w:space="0" w:color="auto"/>
        <w:left w:val="none" w:sz="0" w:space="0" w:color="auto"/>
        <w:bottom w:val="none" w:sz="0" w:space="0" w:color="auto"/>
        <w:right w:val="none" w:sz="0" w:space="0" w:color="auto"/>
      </w:divBdr>
    </w:div>
    <w:div w:id="577179271">
      <w:bodyDiv w:val="1"/>
      <w:marLeft w:val="0"/>
      <w:marRight w:val="0"/>
      <w:marTop w:val="0"/>
      <w:marBottom w:val="0"/>
      <w:divBdr>
        <w:top w:val="none" w:sz="0" w:space="0" w:color="auto"/>
        <w:left w:val="none" w:sz="0" w:space="0" w:color="auto"/>
        <w:bottom w:val="none" w:sz="0" w:space="0" w:color="auto"/>
        <w:right w:val="none" w:sz="0" w:space="0" w:color="auto"/>
      </w:divBdr>
    </w:div>
    <w:div w:id="594942850">
      <w:bodyDiv w:val="1"/>
      <w:marLeft w:val="0"/>
      <w:marRight w:val="0"/>
      <w:marTop w:val="0"/>
      <w:marBottom w:val="0"/>
      <w:divBdr>
        <w:top w:val="none" w:sz="0" w:space="0" w:color="auto"/>
        <w:left w:val="none" w:sz="0" w:space="0" w:color="auto"/>
        <w:bottom w:val="none" w:sz="0" w:space="0" w:color="auto"/>
        <w:right w:val="none" w:sz="0" w:space="0" w:color="auto"/>
      </w:divBdr>
    </w:div>
    <w:div w:id="609244077">
      <w:bodyDiv w:val="1"/>
      <w:marLeft w:val="0"/>
      <w:marRight w:val="0"/>
      <w:marTop w:val="0"/>
      <w:marBottom w:val="0"/>
      <w:divBdr>
        <w:top w:val="none" w:sz="0" w:space="0" w:color="auto"/>
        <w:left w:val="none" w:sz="0" w:space="0" w:color="auto"/>
        <w:bottom w:val="none" w:sz="0" w:space="0" w:color="auto"/>
        <w:right w:val="none" w:sz="0" w:space="0" w:color="auto"/>
      </w:divBdr>
    </w:div>
    <w:div w:id="610740774">
      <w:bodyDiv w:val="1"/>
      <w:marLeft w:val="0"/>
      <w:marRight w:val="0"/>
      <w:marTop w:val="0"/>
      <w:marBottom w:val="0"/>
      <w:divBdr>
        <w:top w:val="none" w:sz="0" w:space="0" w:color="auto"/>
        <w:left w:val="none" w:sz="0" w:space="0" w:color="auto"/>
        <w:bottom w:val="none" w:sz="0" w:space="0" w:color="auto"/>
        <w:right w:val="none" w:sz="0" w:space="0" w:color="auto"/>
      </w:divBdr>
    </w:div>
    <w:div w:id="617683517">
      <w:bodyDiv w:val="1"/>
      <w:marLeft w:val="0"/>
      <w:marRight w:val="0"/>
      <w:marTop w:val="0"/>
      <w:marBottom w:val="0"/>
      <w:divBdr>
        <w:top w:val="none" w:sz="0" w:space="0" w:color="auto"/>
        <w:left w:val="none" w:sz="0" w:space="0" w:color="auto"/>
        <w:bottom w:val="none" w:sz="0" w:space="0" w:color="auto"/>
        <w:right w:val="none" w:sz="0" w:space="0" w:color="auto"/>
      </w:divBdr>
    </w:div>
    <w:div w:id="619072943">
      <w:bodyDiv w:val="1"/>
      <w:marLeft w:val="0"/>
      <w:marRight w:val="0"/>
      <w:marTop w:val="0"/>
      <w:marBottom w:val="0"/>
      <w:divBdr>
        <w:top w:val="none" w:sz="0" w:space="0" w:color="auto"/>
        <w:left w:val="none" w:sz="0" w:space="0" w:color="auto"/>
        <w:bottom w:val="none" w:sz="0" w:space="0" w:color="auto"/>
        <w:right w:val="none" w:sz="0" w:space="0" w:color="auto"/>
      </w:divBdr>
    </w:div>
    <w:div w:id="619647657">
      <w:bodyDiv w:val="1"/>
      <w:marLeft w:val="0"/>
      <w:marRight w:val="0"/>
      <w:marTop w:val="0"/>
      <w:marBottom w:val="0"/>
      <w:divBdr>
        <w:top w:val="none" w:sz="0" w:space="0" w:color="auto"/>
        <w:left w:val="none" w:sz="0" w:space="0" w:color="auto"/>
        <w:bottom w:val="none" w:sz="0" w:space="0" w:color="auto"/>
        <w:right w:val="none" w:sz="0" w:space="0" w:color="auto"/>
      </w:divBdr>
    </w:div>
    <w:div w:id="633800056">
      <w:bodyDiv w:val="1"/>
      <w:marLeft w:val="0"/>
      <w:marRight w:val="0"/>
      <w:marTop w:val="0"/>
      <w:marBottom w:val="0"/>
      <w:divBdr>
        <w:top w:val="none" w:sz="0" w:space="0" w:color="auto"/>
        <w:left w:val="none" w:sz="0" w:space="0" w:color="auto"/>
        <w:bottom w:val="none" w:sz="0" w:space="0" w:color="auto"/>
        <w:right w:val="none" w:sz="0" w:space="0" w:color="auto"/>
      </w:divBdr>
    </w:div>
    <w:div w:id="637493902">
      <w:bodyDiv w:val="1"/>
      <w:marLeft w:val="0"/>
      <w:marRight w:val="0"/>
      <w:marTop w:val="0"/>
      <w:marBottom w:val="0"/>
      <w:divBdr>
        <w:top w:val="none" w:sz="0" w:space="0" w:color="auto"/>
        <w:left w:val="none" w:sz="0" w:space="0" w:color="auto"/>
        <w:bottom w:val="none" w:sz="0" w:space="0" w:color="auto"/>
        <w:right w:val="none" w:sz="0" w:space="0" w:color="auto"/>
      </w:divBdr>
    </w:div>
    <w:div w:id="651520943">
      <w:bodyDiv w:val="1"/>
      <w:marLeft w:val="0"/>
      <w:marRight w:val="0"/>
      <w:marTop w:val="0"/>
      <w:marBottom w:val="0"/>
      <w:divBdr>
        <w:top w:val="none" w:sz="0" w:space="0" w:color="auto"/>
        <w:left w:val="none" w:sz="0" w:space="0" w:color="auto"/>
        <w:bottom w:val="none" w:sz="0" w:space="0" w:color="auto"/>
        <w:right w:val="none" w:sz="0" w:space="0" w:color="auto"/>
      </w:divBdr>
    </w:div>
    <w:div w:id="680425382">
      <w:bodyDiv w:val="1"/>
      <w:marLeft w:val="0"/>
      <w:marRight w:val="0"/>
      <w:marTop w:val="0"/>
      <w:marBottom w:val="0"/>
      <w:divBdr>
        <w:top w:val="none" w:sz="0" w:space="0" w:color="auto"/>
        <w:left w:val="none" w:sz="0" w:space="0" w:color="auto"/>
        <w:bottom w:val="none" w:sz="0" w:space="0" w:color="auto"/>
        <w:right w:val="none" w:sz="0" w:space="0" w:color="auto"/>
      </w:divBdr>
    </w:div>
    <w:div w:id="703334196">
      <w:bodyDiv w:val="1"/>
      <w:marLeft w:val="0"/>
      <w:marRight w:val="0"/>
      <w:marTop w:val="0"/>
      <w:marBottom w:val="0"/>
      <w:divBdr>
        <w:top w:val="none" w:sz="0" w:space="0" w:color="auto"/>
        <w:left w:val="none" w:sz="0" w:space="0" w:color="auto"/>
        <w:bottom w:val="none" w:sz="0" w:space="0" w:color="auto"/>
        <w:right w:val="none" w:sz="0" w:space="0" w:color="auto"/>
      </w:divBdr>
    </w:div>
    <w:div w:id="706369568">
      <w:bodyDiv w:val="1"/>
      <w:marLeft w:val="0"/>
      <w:marRight w:val="0"/>
      <w:marTop w:val="0"/>
      <w:marBottom w:val="0"/>
      <w:divBdr>
        <w:top w:val="none" w:sz="0" w:space="0" w:color="auto"/>
        <w:left w:val="none" w:sz="0" w:space="0" w:color="auto"/>
        <w:bottom w:val="none" w:sz="0" w:space="0" w:color="auto"/>
        <w:right w:val="none" w:sz="0" w:space="0" w:color="auto"/>
      </w:divBdr>
    </w:div>
    <w:div w:id="712120807">
      <w:bodyDiv w:val="1"/>
      <w:marLeft w:val="0"/>
      <w:marRight w:val="0"/>
      <w:marTop w:val="0"/>
      <w:marBottom w:val="0"/>
      <w:divBdr>
        <w:top w:val="none" w:sz="0" w:space="0" w:color="auto"/>
        <w:left w:val="none" w:sz="0" w:space="0" w:color="auto"/>
        <w:bottom w:val="none" w:sz="0" w:space="0" w:color="auto"/>
        <w:right w:val="none" w:sz="0" w:space="0" w:color="auto"/>
      </w:divBdr>
    </w:div>
    <w:div w:id="732891563">
      <w:bodyDiv w:val="1"/>
      <w:marLeft w:val="0"/>
      <w:marRight w:val="0"/>
      <w:marTop w:val="0"/>
      <w:marBottom w:val="0"/>
      <w:divBdr>
        <w:top w:val="none" w:sz="0" w:space="0" w:color="auto"/>
        <w:left w:val="none" w:sz="0" w:space="0" w:color="auto"/>
        <w:bottom w:val="none" w:sz="0" w:space="0" w:color="auto"/>
        <w:right w:val="none" w:sz="0" w:space="0" w:color="auto"/>
      </w:divBdr>
    </w:div>
    <w:div w:id="758135207">
      <w:bodyDiv w:val="1"/>
      <w:marLeft w:val="0"/>
      <w:marRight w:val="0"/>
      <w:marTop w:val="0"/>
      <w:marBottom w:val="0"/>
      <w:divBdr>
        <w:top w:val="none" w:sz="0" w:space="0" w:color="auto"/>
        <w:left w:val="none" w:sz="0" w:space="0" w:color="auto"/>
        <w:bottom w:val="none" w:sz="0" w:space="0" w:color="auto"/>
        <w:right w:val="none" w:sz="0" w:space="0" w:color="auto"/>
      </w:divBdr>
    </w:div>
    <w:div w:id="767849928">
      <w:bodyDiv w:val="1"/>
      <w:marLeft w:val="0"/>
      <w:marRight w:val="0"/>
      <w:marTop w:val="0"/>
      <w:marBottom w:val="0"/>
      <w:divBdr>
        <w:top w:val="none" w:sz="0" w:space="0" w:color="auto"/>
        <w:left w:val="none" w:sz="0" w:space="0" w:color="auto"/>
        <w:bottom w:val="none" w:sz="0" w:space="0" w:color="auto"/>
        <w:right w:val="none" w:sz="0" w:space="0" w:color="auto"/>
      </w:divBdr>
    </w:div>
    <w:div w:id="768894613">
      <w:bodyDiv w:val="1"/>
      <w:marLeft w:val="0"/>
      <w:marRight w:val="0"/>
      <w:marTop w:val="0"/>
      <w:marBottom w:val="0"/>
      <w:divBdr>
        <w:top w:val="none" w:sz="0" w:space="0" w:color="auto"/>
        <w:left w:val="none" w:sz="0" w:space="0" w:color="auto"/>
        <w:bottom w:val="none" w:sz="0" w:space="0" w:color="auto"/>
        <w:right w:val="none" w:sz="0" w:space="0" w:color="auto"/>
      </w:divBdr>
    </w:div>
    <w:div w:id="770660161">
      <w:bodyDiv w:val="1"/>
      <w:marLeft w:val="0"/>
      <w:marRight w:val="0"/>
      <w:marTop w:val="0"/>
      <w:marBottom w:val="0"/>
      <w:divBdr>
        <w:top w:val="none" w:sz="0" w:space="0" w:color="auto"/>
        <w:left w:val="none" w:sz="0" w:space="0" w:color="auto"/>
        <w:bottom w:val="none" w:sz="0" w:space="0" w:color="auto"/>
        <w:right w:val="none" w:sz="0" w:space="0" w:color="auto"/>
      </w:divBdr>
    </w:div>
    <w:div w:id="774860860">
      <w:bodyDiv w:val="1"/>
      <w:marLeft w:val="0"/>
      <w:marRight w:val="0"/>
      <w:marTop w:val="0"/>
      <w:marBottom w:val="0"/>
      <w:divBdr>
        <w:top w:val="none" w:sz="0" w:space="0" w:color="auto"/>
        <w:left w:val="none" w:sz="0" w:space="0" w:color="auto"/>
        <w:bottom w:val="none" w:sz="0" w:space="0" w:color="auto"/>
        <w:right w:val="none" w:sz="0" w:space="0" w:color="auto"/>
      </w:divBdr>
    </w:div>
    <w:div w:id="776220663">
      <w:bodyDiv w:val="1"/>
      <w:marLeft w:val="0"/>
      <w:marRight w:val="0"/>
      <w:marTop w:val="0"/>
      <w:marBottom w:val="0"/>
      <w:divBdr>
        <w:top w:val="none" w:sz="0" w:space="0" w:color="auto"/>
        <w:left w:val="none" w:sz="0" w:space="0" w:color="auto"/>
        <w:bottom w:val="none" w:sz="0" w:space="0" w:color="auto"/>
        <w:right w:val="none" w:sz="0" w:space="0" w:color="auto"/>
      </w:divBdr>
    </w:div>
    <w:div w:id="785661267">
      <w:bodyDiv w:val="1"/>
      <w:marLeft w:val="0"/>
      <w:marRight w:val="0"/>
      <w:marTop w:val="0"/>
      <w:marBottom w:val="0"/>
      <w:divBdr>
        <w:top w:val="none" w:sz="0" w:space="0" w:color="auto"/>
        <w:left w:val="none" w:sz="0" w:space="0" w:color="auto"/>
        <w:bottom w:val="none" w:sz="0" w:space="0" w:color="auto"/>
        <w:right w:val="none" w:sz="0" w:space="0" w:color="auto"/>
      </w:divBdr>
    </w:div>
    <w:div w:id="786390407">
      <w:bodyDiv w:val="1"/>
      <w:marLeft w:val="0"/>
      <w:marRight w:val="0"/>
      <w:marTop w:val="0"/>
      <w:marBottom w:val="0"/>
      <w:divBdr>
        <w:top w:val="none" w:sz="0" w:space="0" w:color="auto"/>
        <w:left w:val="none" w:sz="0" w:space="0" w:color="auto"/>
        <w:bottom w:val="none" w:sz="0" w:space="0" w:color="auto"/>
        <w:right w:val="none" w:sz="0" w:space="0" w:color="auto"/>
      </w:divBdr>
    </w:div>
    <w:div w:id="793642567">
      <w:bodyDiv w:val="1"/>
      <w:marLeft w:val="0"/>
      <w:marRight w:val="0"/>
      <w:marTop w:val="0"/>
      <w:marBottom w:val="0"/>
      <w:divBdr>
        <w:top w:val="none" w:sz="0" w:space="0" w:color="auto"/>
        <w:left w:val="none" w:sz="0" w:space="0" w:color="auto"/>
        <w:bottom w:val="none" w:sz="0" w:space="0" w:color="auto"/>
        <w:right w:val="none" w:sz="0" w:space="0" w:color="auto"/>
      </w:divBdr>
    </w:div>
    <w:div w:id="795148923">
      <w:bodyDiv w:val="1"/>
      <w:marLeft w:val="0"/>
      <w:marRight w:val="0"/>
      <w:marTop w:val="0"/>
      <w:marBottom w:val="0"/>
      <w:divBdr>
        <w:top w:val="none" w:sz="0" w:space="0" w:color="auto"/>
        <w:left w:val="none" w:sz="0" w:space="0" w:color="auto"/>
        <w:bottom w:val="none" w:sz="0" w:space="0" w:color="auto"/>
        <w:right w:val="none" w:sz="0" w:space="0" w:color="auto"/>
      </w:divBdr>
    </w:div>
    <w:div w:id="829440312">
      <w:bodyDiv w:val="1"/>
      <w:marLeft w:val="0"/>
      <w:marRight w:val="0"/>
      <w:marTop w:val="0"/>
      <w:marBottom w:val="0"/>
      <w:divBdr>
        <w:top w:val="none" w:sz="0" w:space="0" w:color="auto"/>
        <w:left w:val="none" w:sz="0" w:space="0" w:color="auto"/>
        <w:bottom w:val="none" w:sz="0" w:space="0" w:color="auto"/>
        <w:right w:val="none" w:sz="0" w:space="0" w:color="auto"/>
      </w:divBdr>
    </w:div>
    <w:div w:id="845288638">
      <w:bodyDiv w:val="1"/>
      <w:marLeft w:val="0"/>
      <w:marRight w:val="0"/>
      <w:marTop w:val="0"/>
      <w:marBottom w:val="0"/>
      <w:divBdr>
        <w:top w:val="none" w:sz="0" w:space="0" w:color="auto"/>
        <w:left w:val="none" w:sz="0" w:space="0" w:color="auto"/>
        <w:bottom w:val="none" w:sz="0" w:space="0" w:color="auto"/>
        <w:right w:val="none" w:sz="0" w:space="0" w:color="auto"/>
      </w:divBdr>
    </w:div>
    <w:div w:id="845441435">
      <w:bodyDiv w:val="1"/>
      <w:marLeft w:val="0"/>
      <w:marRight w:val="0"/>
      <w:marTop w:val="0"/>
      <w:marBottom w:val="0"/>
      <w:divBdr>
        <w:top w:val="none" w:sz="0" w:space="0" w:color="auto"/>
        <w:left w:val="none" w:sz="0" w:space="0" w:color="auto"/>
        <w:bottom w:val="none" w:sz="0" w:space="0" w:color="auto"/>
        <w:right w:val="none" w:sz="0" w:space="0" w:color="auto"/>
      </w:divBdr>
    </w:div>
    <w:div w:id="851529168">
      <w:bodyDiv w:val="1"/>
      <w:marLeft w:val="0"/>
      <w:marRight w:val="0"/>
      <w:marTop w:val="0"/>
      <w:marBottom w:val="0"/>
      <w:divBdr>
        <w:top w:val="none" w:sz="0" w:space="0" w:color="auto"/>
        <w:left w:val="none" w:sz="0" w:space="0" w:color="auto"/>
        <w:bottom w:val="none" w:sz="0" w:space="0" w:color="auto"/>
        <w:right w:val="none" w:sz="0" w:space="0" w:color="auto"/>
      </w:divBdr>
    </w:div>
    <w:div w:id="887306113">
      <w:bodyDiv w:val="1"/>
      <w:marLeft w:val="0"/>
      <w:marRight w:val="0"/>
      <w:marTop w:val="0"/>
      <w:marBottom w:val="0"/>
      <w:divBdr>
        <w:top w:val="none" w:sz="0" w:space="0" w:color="auto"/>
        <w:left w:val="none" w:sz="0" w:space="0" w:color="auto"/>
        <w:bottom w:val="none" w:sz="0" w:space="0" w:color="auto"/>
        <w:right w:val="none" w:sz="0" w:space="0" w:color="auto"/>
      </w:divBdr>
    </w:div>
    <w:div w:id="892084468">
      <w:bodyDiv w:val="1"/>
      <w:marLeft w:val="0"/>
      <w:marRight w:val="0"/>
      <w:marTop w:val="0"/>
      <w:marBottom w:val="0"/>
      <w:divBdr>
        <w:top w:val="none" w:sz="0" w:space="0" w:color="auto"/>
        <w:left w:val="none" w:sz="0" w:space="0" w:color="auto"/>
        <w:bottom w:val="none" w:sz="0" w:space="0" w:color="auto"/>
        <w:right w:val="none" w:sz="0" w:space="0" w:color="auto"/>
      </w:divBdr>
    </w:div>
    <w:div w:id="899175980">
      <w:bodyDiv w:val="1"/>
      <w:marLeft w:val="0"/>
      <w:marRight w:val="0"/>
      <w:marTop w:val="0"/>
      <w:marBottom w:val="0"/>
      <w:divBdr>
        <w:top w:val="none" w:sz="0" w:space="0" w:color="auto"/>
        <w:left w:val="none" w:sz="0" w:space="0" w:color="auto"/>
        <w:bottom w:val="none" w:sz="0" w:space="0" w:color="auto"/>
        <w:right w:val="none" w:sz="0" w:space="0" w:color="auto"/>
      </w:divBdr>
    </w:div>
    <w:div w:id="921837083">
      <w:bodyDiv w:val="1"/>
      <w:marLeft w:val="0"/>
      <w:marRight w:val="0"/>
      <w:marTop w:val="0"/>
      <w:marBottom w:val="0"/>
      <w:divBdr>
        <w:top w:val="none" w:sz="0" w:space="0" w:color="auto"/>
        <w:left w:val="none" w:sz="0" w:space="0" w:color="auto"/>
        <w:bottom w:val="none" w:sz="0" w:space="0" w:color="auto"/>
        <w:right w:val="none" w:sz="0" w:space="0" w:color="auto"/>
      </w:divBdr>
    </w:div>
    <w:div w:id="926304981">
      <w:bodyDiv w:val="1"/>
      <w:marLeft w:val="0"/>
      <w:marRight w:val="0"/>
      <w:marTop w:val="0"/>
      <w:marBottom w:val="0"/>
      <w:divBdr>
        <w:top w:val="none" w:sz="0" w:space="0" w:color="auto"/>
        <w:left w:val="none" w:sz="0" w:space="0" w:color="auto"/>
        <w:bottom w:val="none" w:sz="0" w:space="0" w:color="auto"/>
        <w:right w:val="none" w:sz="0" w:space="0" w:color="auto"/>
      </w:divBdr>
    </w:div>
    <w:div w:id="932208692">
      <w:bodyDiv w:val="1"/>
      <w:marLeft w:val="0"/>
      <w:marRight w:val="0"/>
      <w:marTop w:val="0"/>
      <w:marBottom w:val="0"/>
      <w:divBdr>
        <w:top w:val="none" w:sz="0" w:space="0" w:color="auto"/>
        <w:left w:val="none" w:sz="0" w:space="0" w:color="auto"/>
        <w:bottom w:val="none" w:sz="0" w:space="0" w:color="auto"/>
        <w:right w:val="none" w:sz="0" w:space="0" w:color="auto"/>
      </w:divBdr>
    </w:div>
    <w:div w:id="936448207">
      <w:bodyDiv w:val="1"/>
      <w:marLeft w:val="0"/>
      <w:marRight w:val="0"/>
      <w:marTop w:val="0"/>
      <w:marBottom w:val="0"/>
      <w:divBdr>
        <w:top w:val="none" w:sz="0" w:space="0" w:color="auto"/>
        <w:left w:val="none" w:sz="0" w:space="0" w:color="auto"/>
        <w:bottom w:val="none" w:sz="0" w:space="0" w:color="auto"/>
        <w:right w:val="none" w:sz="0" w:space="0" w:color="auto"/>
      </w:divBdr>
    </w:div>
    <w:div w:id="937181168">
      <w:bodyDiv w:val="1"/>
      <w:marLeft w:val="0"/>
      <w:marRight w:val="0"/>
      <w:marTop w:val="0"/>
      <w:marBottom w:val="0"/>
      <w:divBdr>
        <w:top w:val="none" w:sz="0" w:space="0" w:color="auto"/>
        <w:left w:val="none" w:sz="0" w:space="0" w:color="auto"/>
        <w:bottom w:val="none" w:sz="0" w:space="0" w:color="auto"/>
        <w:right w:val="none" w:sz="0" w:space="0" w:color="auto"/>
      </w:divBdr>
    </w:div>
    <w:div w:id="937182072">
      <w:bodyDiv w:val="1"/>
      <w:marLeft w:val="0"/>
      <w:marRight w:val="0"/>
      <w:marTop w:val="0"/>
      <w:marBottom w:val="0"/>
      <w:divBdr>
        <w:top w:val="none" w:sz="0" w:space="0" w:color="auto"/>
        <w:left w:val="none" w:sz="0" w:space="0" w:color="auto"/>
        <w:bottom w:val="none" w:sz="0" w:space="0" w:color="auto"/>
        <w:right w:val="none" w:sz="0" w:space="0" w:color="auto"/>
      </w:divBdr>
    </w:div>
    <w:div w:id="942345603">
      <w:bodyDiv w:val="1"/>
      <w:marLeft w:val="0"/>
      <w:marRight w:val="0"/>
      <w:marTop w:val="0"/>
      <w:marBottom w:val="0"/>
      <w:divBdr>
        <w:top w:val="none" w:sz="0" w:space="0" w:color="auto"/>
        <w:left w:val="none" w:sz="0" w:space="0" w:color="auto"/>
        <w:bottom w:val="none" w:sz="0" w:space="0" w:color="auto"/>
        <w:right w:val="none" w:sz="0" w:space="0" w:color="auto"/>
      </w:divBdr>
    </w:div>
    <w:div w:id="976910850">
      <w:bodyDiv w:val="1"/>
      <w:marLeft w:val="0"/>
      <w:marRight w:val="0"/>
      <w:marTop w:val="0"/>
      <w:marBottom w:val="0"/>
      <w:divBdr>
        <w:top w:val="none" w:sz="0" w:space="0" w:color="auto"/>
        <w:left w:val="none" w:sz="0" w:space="0" w:color="auto"/>
        <w:bottom w:val="none" w:sz="0" w:space="0" w:color="auto"/>
        <w:right w:val="none" w:sz="0" w:space="0" w:color="auto"/>
      </w:divBdr>
    </w:div>
    <w:div w:id="996231740">
      <w:bodyDiv w:val="1"/>
      <w:marLeft w:val="0"/>
      <w:marRight w:val="0"/>
      <w:marTop w:val="0"/>
      <w:marBottom w:val="0"/>
      <w:divBdr>
        <w:top w:val="none" w:sz="0" w:space="0" w:color="auto"/>
        <w:left w:val="none" w:sz="0" w:space="0" w:color="auto"/>
        <w:bottom w:val="none" w:sz="0" w:space="0" w:color="auto"/>
        <w:right w:val="none" w:sz="0" w:space="0" w:color="auto"/>
      </w:divBdr>
    </w:div>
    <w:div w:id="1000616256">
      <w:bodyDiv w:val="1"/>
      <w:marLeft w:val="0"/>
      <w:marRight w:val="0"/>
      <w:marTop w:val="0"/>
      <w:marBottom w:val="0"/>
      <w:divBdr>
        <w:top w:val="none" w:sz="0" w:space="0" w:color="auto"/>
        <w:left w:val="none" w:sz="0" w:space="0" w:color="auto"/>
        <w:bottom w:val="none" w:sz="0" w:space="0" w:color="auto"/>
        <w:right w:val="none" w:sz="0" w:space="0" w:color="auto"/>
      </w:divBdr>
    </w:div>
    <w:div w:id="1020937060">
      <w:bodyDiv w:val="1"/>
      <w:marLeft w:val="0"/>
      <w:marRight w:val="0"/>
      <w:marTop w:val="0"/>
      <w:marBottom w:val="0"/>
      <w:divBdr>
        <w:top w:val="none" w:sz="0" w:space="0" w:color="auto"/>
        <w:left w:val="none" w:sz="0" w:space="0" w:color="auto"/>
        <w:bottom w:val="none" w:sz="0" w:space="0" w:color="auto"/>
        <w:right w:val="none" w:sz="0" w:space="0" w:color="auto"/>
      </w:divBdr>
    </w:div>
    <w:div w:id="1061295398">
      <w:bodyDiv w:val="1"/>
      <w:marLeft w:val="0"/>
      <w:marRight w:val="0"/>
      <w:marTop w:val="0"/>
      <w:marBottom w:val="0"/>
      <w:divBdr>
        <w:top w:val="none" w:sz="0" w:space="0" w:color="auto"/>
        <w:left w:val="none" w:sz="0" w:space="0" w:color="auto"/>
        <w:bottom w:val="none" w:sz="0" w:space="0" w:color="auto"/>
        <w:right w:val="none" w:sz="0" w:space="0" w:color="auto"/>
      </w:divBdr>
    </w:div>
    <w:div w:id="1095251527">
      <w:bodyDiv w:val="1"/>
      <w:marLeft w:val="0"/>
      <w:marRight w:val="0"/>
      <w:marTop w:val="0"/>
      <w:marBottom w:val="0"/>
      <w:divBdr>
        <w:top w:val="none" w:sz="0" w:space="0" w:color="auto"/>
        <w:left w:val="none" w:sz="0" w:space="0" w:color="auto"/>
        <w:bottom w:val="none" w:sz="0" w:space="0" w:color="auto"/>
        <w:right w:val="none" w:sz="0" w:space="0" w:color="auto"/>
      </w:divBdr>
    </w:div>
    <w:div w:id="1097366136">
      <w:bodyDiv w:val="1"/>
      <w:marLeft w:val="0"/>
      <w:marRight w:val="0"/>
      <w:marTop w:val="0"/>
      <w:marBottom w:val="0"/>
      <w:divBdr>
        <w:top w:val="none" w:sz="0" w:space="0" w:color="auto"/>
        <w:left w:val="none" w:sz="0" w:space="0" w:color="auto"/>
        <w:bottom w:val="none" w:sz="0" w:space="0" w:color="auto"/>
        <w:right w:val="none" w:sz="0" w:space="0" w:color="auto"/>
      </w:divBdr>
    </w:div>
    <w:div w:id="1097824359">
      <w:bodyDiv w:val="1"/>
      <w:marLeft w:val="0"/>
      <w:marRight w:val="0"/>
      <w:marTop w:val="0"/>
      <w:marBottom w:val="0"/>
      <w:divBdr>
        <w:top w:val="none" w:sz="0" w:space="0" w:color="auto"/>
        <w:left w:val="none" w:sz="0" w:space="0" w:color="auto"/>
        <w:bottom w:val="none" w:sz="0" w:space="0" w:color="auto"/>
        <w:right w:val="none" w:sz="0" w:space="0" w:color="auto"/>
      </w:divBdr>
    </w:div>
    <w:div w:id="1111585411">
      <w:bodyDiv w:val="1"/>
      <w:marLeft w:val="0"/>
      <w:marRight w:val="0"/>
      <w:marTop w:val="0"/>
      <w:marBottom w:val="0"/>
      <w:divBdr>
        <w:top w:val="none" w:sz="0" w:space="0" w:color="auto"/>
        <w:left w:val="none" w:sz="0" w:space="0" w:color="auto"/>
        <w:bottom w:val="none" w:sz="0" w:space="0" w:color="auto"/>
        <w:right w:val="none" w:sz="0" w:space="0" w:color="auto"/>
      </w:divBdr>
    </w:div>
    <w:div w:id="1161119690">
      <w:bodyDiv w:val="1"/>
      <w:marLeft w:val="0"/>
      <w:marRight w:val="0"/>
      <w:marTop w:val="0"/>
      <w:marBottom w:val="0"/>
      <w:divBdr>
        <w:top w:val="none" w:sz="0" w:space="0" w:color="auto"/>
        <w:left w:val="none" w:sz="0" w:space="0" w:color="auto"/>
        <w:bottom w:val="none" w:sz="0" w:space="0" w:color="auto"/>
        <w:right w:val="none" w:sz="0" w:space="0" w:color="auto"/>
      </w:divBdr>
    </w:div>
    <w:div w:id="1166819714">
      <w:bodyDiv w:val="1"/>
      <w:marLeft w:val="0"/>
      <w:marRight w:val="0"/>
      <w:marTop w:val="0"/>
      <w:marBottom w:val="0"/>
      <w:divBdr>
        <w:top w:val="none" w:sz="0" w:space="0" w:color="auto"/>
        <w:left w:val="none" w:sz="0" w:space="0" w:color="auto"/>
        <w:bottom w:val="none" w:sz="0" w:space="0" w:color="auto"/>
        <w:right w:val="none" w:sz="0" w:space="0" w:color="auto"/>
      </w:divBdr>
    </w:div>
    <w:div w:id="1171800499">
      <w:bodyDiv w:val="1"/>
      <w:marLeft w:val="0"/>
      <w:marRight w:val="0"/>
      <w:marTop w:val="0"/>
      <w:marBottom w:val="0"/>
      <w:divBdr>
        <w:top w:val="none" w:sz="0" w:space="0" w:color="auto"/>
        <w:left w:val="none" w:sz="0" w:space="0" w:color="auto"/>
        <w:bottom w:val="none" w:sz="0" w:space="0" w:color="auto"/>
        <w:right w:val="none" w:sz="0" w:space="0" w:color="auto"/>
      </w:divBdr>
    </w:div>
    <w:div w:id="1187209592">
      <w:bodyDiv w:val="1"/>
      <w:marLeft w:val="0"/>
      <w:marRight w:val="0"/>
      <w:marTop w:val="0"/>
      <w:marBottom w:val="0"/>
      <w:divBdr>
        <w:top w:val="none" w:sz="0" w:space="0" w:color="auto"/>
        <w:left w:val="none" w:sz="0" w:space="0" w:color="auto"/>
        <w:bottom w:val="none" w:sz="0" w:space="0" w:color="auto"/>
        <w:right w:val="none" w:sz="0" w:space="0" w:color="auto"/>
      </w:divBdr>
    </w:div>
    <w:div w:id="1191650528">
      <w:bodyDiv w:val="1"/>
      <w:marLeft w:val="0"/>
      <w:marRight w:val="0"/>
      <w:marTop w:val="0"/>
      <w:marBottom w:val="0"/>
      <w:divBdr>
        <w:top w:val="none" w:sz="0" w:space="0" w:color="auto"/>
        <w:left w:val="none" w:sz="0" w:space="0" w:color="auto"/>
        <w:bottom w:val="none" w:sz="0" w:space="0" w:color="auto"/>
        <w:right w:val="none" w:sz="0" w:space="0" w:color="auto"/>
      </w:divBdr>
    </w:div>
    <w:div w:id="1197353318">
      <w:bodyDiv w:val="1"/>
      <w:marLeft w:val="0"/>
      <w:marRight w:val="0"/>
      <w:marTop w:val="0"/>
      <w:marBottom w:val="0"/>
      <w:divBdr>
        <w:top w:val="none" w:sz="0" w:space="0" w:color="auto"/>
        <w:left w:val="none" w:sz="0" w:space="0" w:color="auto"/>
        <w:bottom w:val="none" w:sz="0" w:space="0" w:color="auto"/>
        <w:right w:val="none" w:sz="0" w:space="0" w:color="auto"/>
      </w:divBdr>
    </w:div>
    <w:div w:id="1203131790">
      <w:bodyDiv w:val="1"/>
      <w:marLeft w:val="0"/>
      <w:marRight w:val="0"/>
      <w:marTop w:val="0"/>
      <w:marBottom w:val="0"/>
      <w:divBdr>
        <w:top w:val="none" w:sz="0" w:space="0" w:color="auto"/>
        <w:left w:val="none" w:sz="0" w:space="0" w:color="auto"/>
        <w:bottom w:val="none" w:sz="0" w:space="0" w:color="auto"/>
        <w:right w:val="none" w:sz="0" w:space="0" w:color="auto"/>
      </w:divBdr>
    </w:div>
    <w:div w:id="1217737152">
      <w:bodyDiv w:val="1"/>
      <w:marLeft w:val="0"/>
      <w:marRight w:val="0"/>
      <w:marTop w:val="0"/>
      <w:marBottom w:val="0"/>
      <w:divBdr>
        <w:top w:val="none" w:sz="0" w:space="0" w:color="auto"/>
        <w:left w:val="none" w:sz="0" w:space="0" w:color="auto"/>
        <w:bottom w:val="none" w:sz="0" w:space="0" w:color="auto"/>
        <w:right w:val="none" w:sz="0" w:space="0" w:color="auto"/>
      </w:divBdr>
    </w:div>
    <w:div w:id="1219823589">
      <w:bodyDiv w:val="1"/>
      <w:marLeft w:val="0"/>
      <w:marRight w:val="0"/>
      <w:marTop w:val="0"/>
      <w:marBottom w:val="0"/>
      <w:divBdr>
        <w:top w:val="none" w:sz="0" w:space="0" w:color="auto"/>
        <w:left w:val="none" w:sz="0" w:space="0" w:color="auto"/>
        <w:bottom w:val="none" w:sz="0" w:space="0" w:color="auto"/>
        <w:right w:val="none" w:sz="0" w:space="0" w:color="auto"/>
      </w:divBdr>
    </w:div>
    <w:div w:id="1268150762">
      <w:bodyDiv w:val="1"/>
      <w:marLeft w:val="0"/>
      <w:marRight w:val="0"/>
      <w:marTop w:val="0"/>
      <w:marBottom w:val="0"/>
      <w:divBdr>
        <w:top w:val="none" w:sz="0" w:space="0" w:color="auto"/>
        <w:left w:val="none" w:sz="0" w:space="0" w:color="auto"/>
        <w:bottom w:val="none" w:sz="0" w:space="0" w:color="auto"/>
        <w:right w:val="none" w:sz="0" w:space="0" w:color="auto"/>
      </w:divBdr>
    </w:div>
    <w:div w:id="1284774654">
      <w:bodyDiv w:val="1"/>
      <w:marLeft w:val="0"/>
      <w:marRight w:val="0"/>
      <w:marTop w:val="0"/>
      <w:marBottom w:val="0"/>
      <w:divBdr>
        <w:top w:val="none" w:sz="0" w:space="0" w:color="auto"/>
        <w:left w:val="none" w:sz="0" w:space="0" w:color="auto"/>
        <w:bottom w:val="none" w:sz="0" w:space="0" w:color="auto"/>
        <w:right w:val="none" w:sz="0" w:space="0" w:color="auto"/>
      </w:divBdr>
    </w:div>
    <w:div w:id="1304459107">
      <w:bodyDiv w:val="1"/>
      <w:marLeft w:val="0"/>
      <w:marRight w:val="0"/>
      <w:marTop w:val="0"/>
      <w:marBottom w:val="0"/>
      <w:divBdr>
        <w:top w:val="none" w:sz="0" w:space="0" w:color="auto"/>
        <w:left w:val="none" w:sz="0" w:space="0" w:color="auto"/>
        <w:bottom w:val="none" w:sz="0" w:space="0" w:color="auto"/>
        <w:right w:val="none" w:sz="0" w:space="0" w:color="auto"/>
      </w:divBdr>
    </w:div>
    <w:div w:id="1323195460">
      <w:bodyDiv w:val="1"/>
      <w:marLeft w:val="0"/>
      <w:marRight w:val="0"/>
      <w:marTop w:val="0"/>
      <w:marBottom w:val="0"/>
      <w:divBdr>
        <w:top w:val="none" w:sz="0" w:space="0" w:color="auto"/>
        <w:left w:val="none" w:sz="0" w:space="0" w:color="auto"/>
        <w:bottom w:val="none" w:sz="0" w:space="0" w:color="auto"/>
        <w:right w:val="none" w:sz="0" w:space="0" w:color="auto"/>
      </w:divBdr>
    </w:div>
    <w:div w:id="1330864360">
      <w:bodyDiv w:val="1"/>
      <w:marLeft w:val="0"/>
      <w:marRight w:val="0"/>
      <w:marTop w:val="0"/>
      <w:marBottom w:val="0"/>
      <w:divBdr>
        <w:top w:val="none" w:sz="0" w:space="0" w:color="auto"/>
        <w:left w:val="none" w:sz="0" w:space="0" w:color="auto"/>
        <w:bottom w:val="none" w:sz="0" w:space="0" w:color="auto"/>
        <w:right w:val="none" w:sz="0" w:space="0" w:color="auto"/>
      </w:divBdr>
    </w:div>
    <w:div w:id="1337807540">
      <w:bodyDiv w:val="1"/>
      <w:marLeft w:val="0"/>
      <w:marRight w:val="0"/>
      <w:marTop w:val="0"/>
      <w:marBottom w:val="0"/>
      <w:divBdr>
        <w:top w:val="none" w:sz="0" w:space="0" w:color="auto"/>
        <w:left w:val="none" w:sz="0" w:space="0" w:color="auto"/>
        <w:bottom w:val="none" w:sz="0" w:space="0" w:color="auto"/>
        <w:right w:val="none" w:sz="0" w:space="0" w:color="auto"/>
      </w:divBdr>
    </w:div>
    <w:div w:id="1371761977">
      <w:bodyDiv w:val="1"/>
      <w:marLeft w:val="0"/>
      <w:marRight w:val="0"/>
      <w:marTop w:val="0"/>
      <w:marBottom w:val="0"/>
      <w:divBdr>
        <w:top w:val="none" w:sz="0" w:space="0" w:color="auto"/>
        <w:left w:val="none" w:sz="0" w:space="0" w:color="auto"/>
        <w:bottom w:val="none" w:sz="0" w:space="0" w:color="auto"/>
        <w:right w:val="none" w:sz="0" w:space="0" w:color="auto"/>
      </w:divBdr>
    </w:div>
    <w:div w:id="1379861884">
      <w:bodyDiv w:val="1"/>
      <w:marLeft w:val="0"/>
      <w:marRight w:val="0"/>
      <w:marTop w:val="0"/>
      <w:marBottom w:val="0"/>
      <w:divBdr>
        <w:top w:val="none" w:sz="0" w:space="0" w:color="auto"/>
        <w:left w:val="none" w:sz="0" w:space="0" w:color="auto"/>
        <w:bottom w:val="none" w:sz="0" w:space="0" w:color="auto"/>
        <w:right w:val="none" w:sz="0" w:space="0" w:color="auto"/>
      </w:divBdr>
    </w:div>
    <w:div w:id="1392969343">
      <w:bodyDiv w:val="1"/>
      <w:marLeft w:val="0"/>
      <w:marRight w:val="0"/>
      <w:marTop w:val="0"/>
      <w:marBottom w:val="0"/>
      <w:divBdr>
        <w:top w:val="none" w:sz="0" w:space="0" w:color="auto"/>
        <w:left w:val="none" w:sz="0" w:space="0" w:color="auto"/>
        <w:bottom w:val="none" w:sz="0" w:space="0" w:color="auto"/>
        <w:right w:val="none" w:sz="0" w:space="0" w:color="auto"/>
      </w:divBdr>
    </w:div>
    <w:div w:id="1403989281">
      <w:bodyDiv w:val="1"/>
      <w:marLeft w:val="0"/>
      <w:marRight w:val="0"/>
      <w:marTop w:val="0"/>
      <w:marBottom w:val="0"/>
      <w:divBdr>
        <w:top w:val="none" w:sz="0" w:space="0" w:color="auto"/>
        <w:left w:val="none" w:sz="0" w:space="0" w:color="auto"/>
        <w:bottom w:val="none" w:sz="0" w:space="0" w:color="auto"/>
        <w:right w:val="none" w:sz="0" w:space="0" w:color="auto"/>
      </w:divBdr>
    </w:div>
    <w:div w:id="1440181302">
      <w:bodyDiv w:val="1"/>
      <w:marLeft w:val="0"/>
      <w:marRight w:val="0"/>
      <w:marTop w:val="0"/>
      <w:marBottom w:val="0"/>
      <w:divBdr>
        <w:top w:val="none" w:sz="0" w:space="0" w:color="auto"/>
        <w:left w:val="none" w:sz="0" w:space="0" w:color="auto"/>
        <w:bottom w:val="none" w:sz="0" w:space="0" w:color="auto"/>
        <w:right w:val="none" w:sz="0" w:space="0" w:color="auto"/>
      </w:divBdr>
    </w:div>
    <w:div w:id="1455324509">
      <w:bodyDiv w:val="1"/>
      <w:marLeft w:val="0"/>
      <w:marRight w:val="0"/>
      <w:marTop w:val="0"/>
      <w:marBottom w:val="0"/>
      <w:divBdr>
        <w:top w:val="none" w:sz="0" w:space="0" w:color="auto"/>
        <w:left w:val="none" w:sz="0" w:space="0" w:color="auto"/>
        <w:bottom w:val="none" w:sz="0" w:space="0" w:color="auto"/>
        <w:right w:val="none" w:sz="0" w:space="0" w:color="auto"/>
      </w:divBdr>
    </w:div>
    <w:div w:id="1509563400">
      <w:bodyDiv w:val="1"/>
      <w:marLeft w:val="0"/>
      <w:marRight w:val="0"/>
      <w:marTop w:val="0"/>
      <w:marBottom w:val="0"/>
      <w:divBdr>
        <w:top w:val="none" w:sz="0" w:space="0" w:color="auto"/>
        <w:left w:val="none" w:sz="0" w:space="0" w:color="auto"/>
        <w:bottom w:val="none" w:sz="0" w:space="0" w:color="auto"/>
        <w:right w:val="none" w:sz="0" w:space="0" w:color="auto"/>
      </w:divBdr>
    </w:div>
    <w:div w:id="1541285002">
      <w:bodyDiv w:val="1"/>
      <w:marLeft w:val="0"/>
      <w:marRight w:val="0"/>
      <w:marTop w:val="0"/>
      <w:marBottom w:val="0"/>
      <w:divBdr>
        <w:top w:val="none" w:sz="0" w:space="0" w:color="auto"/>
        <w:left w:val="none" w:sz="0" w:space="0" w:color="auto"/>
        <w:bottom w:val="none" w:sz="0" w:space="0" w:color="auto"/>
        <w:right w:val="none" w:sz="0" w:space="0" w:color="auto"/>
      </w:divBdr>
    </w:div>
    <w:div w:id="1543008637">
      <w:bodyDiv w:val="1"/>
      <w:marLeft w:val="0"/>
      <w:marRight w:val="0"/>
      <w:marTop w:val="0"/>
      <w:marBottom w:val="0"/>
      <w:divBdr>
        <w:top w:val="none" w:sz="0" w:space="0" w:color="auto"/>
        <w:left w:val="none" w:sz="0" w:space="0" w:color="auto"/>
        <w:bottom w:val="none" w:sz="0" w:space="0" w:color="auto"/>
        <w:right w:val="none" w:sz="0" w:space="0" w:color="auto"/>
      </w:divBdr>
    </w:div>
    <w:div w:id="1543518013">
      <w:bodyDiv w:val="1"/>
      <w:marLeft w:val="0"/>
      <w:marRight w:val="0"/>
      <w:marTop w:val="0"/>
      <w:marBottom w:val="0"/>
      <w:divBdr>
        <w:top w:val="none" w:sz="0" w:space="0" w:color="auto"/>
        <w:left w:val="none" w:sz="0" w:space="0" w:color="auto"/>
        <w:bottom w:val="none" w:sz="0" w:space="0" w:color="auto"/>
        <w:right w:val="none" w:sz="0" w:space="0" w:color="auto"/>
      </w:divBdr>
    </w:div>
    <w:div w:id="1547721463">
      <w:bodyDiv w:val="1"/>
      <w:marLeft w:val="0"/>
      <w:marRight w:val="0"/>
      <w:marTop w:val="0"/>
      <w:marBottom w:val="0"/>
      <w:divBdr>
        <w:top w:val="none" w:sz="0" w:space="0" w:color="auto"/>
        <w:left w:val="none" w:sz="0" w:space="0" w:color="auto"/>
        <w:bottom w:val="none" w:sz="0" w:space="0" w:color="auto"/>
        <w:right w:val="none" w:sz="0" w:space="0" w:color="auto"/>
      </w:divBdr>
    </w:div>
    <w:div w:id="1552810632">
      <w:bodyDiv w:val="1"/>
      <w:marLeft w:val="0"/>
      <w:marRight w:val="0"/>
      <w:marTop w:val="0"/>
      <w:marBottom w:val="0"/>
      <w:divBdr>
        <w:top w:val="none" w:sz="0" w:space="0" w:color="auto"/>
        <w:left w:val="none" w:sz="0" w:space="0" w:color="auto"/>
        <w:bottom w:val="none" w:sz="0" w:space="0" w:color="auto"/>
        <w:right w:val="none" w:sz="0" w:space="0" w:color="auto"/>
      </w:divBdr>
    </w:div>
    <w:div w:id="1555699517">
      <w:bodyDiv w:val="1"/>
      <w:marLeft w:val="0"/>
      <w:marRight w:val="0"/>
      <w:marTop w:val="0"/>
      <w:marBottom w:val="0"/>
      <w:divBdr>
        <w:top w:val="none" w:sz="0" w:space="0" w:color="auto"/>
        <w:left w:val="none" w:sz="0" w:space="0" w:color="auto"/>
        <w:bottom w:val="none" w:sz="0" w:space="0" w:color="auto"/>
        <w:right w:val="none" w:sz="0" w:space="0" w:color="auto"/>
      </w:divBdr>
    </w:div>
    <w:div w:id="1558055585">
      <w:bodyDiv w:val="1"/>
      <w:marLeft w:val="0"/>
      <w:marRight w:val="0"/>
      <w:marTop w:val="0"/>
      <w:marBottom w:val="0"/>
      <w:divBdr>
        <w:top w:val="none" w:sz="0" w:space="0" w:color="auto"/>
        <w:left w:val="none" w:sz="0" w:space="0" w:color="auto"/>
        <w:bottom w:val="none" w:sz="0" w:space="0" w:color="auto"/>
        <w:right w:val="none" w:sz="0" w:space="0" w:color="auto"/>
      </w:divBdr>
    </w:div>
    <w:div w:id="1559365705">
      <w:bodyDiv w:val="1"/>
      <w:marLeft w:val="0"/>
      <w:marRight w:val="0"/>
      <w:marTop w:val="0"/>
      <w:marBottom w:val="0"/>
      <w:divBdr>
        <w:top w:val="none" w:sz="0" w:space="0" w:color="auto"/>
        <w:left w:val="none" w:sz="0" w:space="0" w:color="auto"/>
        <w:bottom w:val="none" w:sz="0" w:space="0" w:color="auto"/>
        <w:right w:val="none" w:sz="0" w:space="0" w:color="auto"/>
      </w:divBdr>
    </w:div>
    <w:div w:id="1575552349">
      <w:bodyDiv w:val="1"/>
      <w:marLeft w:val="0"/>
      <w:marRight w:val="0"/>
      <w:marTop w:val="0"/>
      <w:marBottom w:val="0"/>
      <w:divBdr>
        <w:top w:val="none" w:sz="0" w:space="0" w:color="auto"/>
        <w:left w:val="none" w:sz="0" w:space="0" w:color="auto"/>
        <w:bottom w:val="none" w:sz="0" w:space="0" w:color="auto"/>
        <w:right w:val="none" w:sz="0" w:space="0" w:color="auto"/>
      </w:divBdr>
    </w:div>
    <w:div w:id="1610310229">
      <w:bodyDiv w:val="1"/>
      <w:marLeft w:val="0"/>
      <w:marRight w:val="0"/>
      <w:marTop w:val="0"/>
      <w:marBottom w:val="0"/>
      <w:divBdr>
        <w:top w:val="none" w:sz="0" w:space="0" w:color="auto"/>
        <w:left w:val="none" w:sz="0" w:space="0" w:color="auto"/>
        <w:bottom w:val="none" w:sz="0" w:space="0" w:color="auto"/>
        <w:right w:val="none" w:sz="0" w:space="0" w:color="auto"/>
      </w:divBdr>
    </w:div>
    <w:div w:id="1611354850">
      <w:bodyDiv w:val="1"/>
      <w:marLeft w:val="0"/>
      <w:marRight w:val="0"/>
      <w:marTop w:val="0"/>
      <w:marBottom w:val="0"/>
      <w:divBdr>
        <w:top w:val="none" w:sz="0" w:space="0" w:color="auto"/>
        <w:left w:val="none" w:sz="0" w:space="0" w:color="auto"/>
        <w:bottom w:val="none" w:sz="0" w:space="0" w:color="auto"/>
        <w:right w:val="none" w:sz="0" w:space="0" w:color="auto"/>
      </w:divBdr>
    </w:div>
    <w:div w:id="1641884287">
      <w:bodyDiv w:val="1"/>
      <w:marLeft w:val="0"/>
      <w:marRight w:val="0"/>
      <w:marTop w:val="0"/>
      <w:marBottom w:val="0"/>
      <w:divBdr>
        <w:top w:val="none" w:sz="0" w:space="0" w:color="auto"/>
        <w:left w:val="none" w:sz="0" w:space="0" w:color="auto"/>
        <w:bottom w:val="none" w:sz="0" w:space="0" w:color="auto"/>
        <w:right w:val="none" w:sz="0" w:space="0" w:color="auto"/>
      </w:divBdr>
    </w:div>
    <w:div w:id="1655909363">
      <w:bodyDiv w:val="1"/>
      <w:marLeft w:val="0"/>
      <w:marRight w:val="0"/>
      <w:marTop w:val="0"/>
      <w:marBottom w:val="0"/>
      <w:divBdr>
        <w:top w:val="none" w:sz="0" w:space="0" w:color="auto"/>
        <w:left w:val="none" w:sz="0" w:space="0" w:color="auto"/>
        <w:bottom w:val="none" w:sz="0" w:space="0" w:color="auto"/>
        <w:right w:val="none" w:sz="0" w:space="0" w:color="auto"/>
      </w:divBdr>
    </w:div>
    <w:div w:id="1656103702">
      <w:bodyDiv w:val="1"/>
      <w:marLeft w:val="0"/>
      <w:marRight w:val="0"/>
      <w:marTop w:val="0"/>
      <w:marBottom w:val="0"/>
      <w:divBdr>
        <w:top w:val="none" w:sz="0" w:space="0" w:color="auto"/>
        <w:left w:val="none" w:sz="0" w:space="0" w:color="auto"/>
        <w:bottom w:val="none" w:sz="0" w:space="0" w:color="auto"/>
        <w:right w:val="none" w:sz="0" w:space="0" w:color="auto"/>
      </w:divBdr>
    </w:div>
    <w:div w:id="1658728679">
      <w:bodyDiv w:val="1"/>
      <w:marLeft w:val="0"/>
      <w:marRight w:val="0"/>
      <w:marTop w:val="0"/>
      <w:marBottom w:val="0"/>
      <w:divBdr>
        <w:top w:val="none" w:sz="0" w:space="0" w:color="auto"/>
        <w:left w:val="none" w:sz="0" w:space="0" w:color="auto"/>
        <w:bottom w:val="none" w:sz="0" w:space="0" w:color="auto"/>
        <w:right w:val="none" w:sz="0" w:space="0" w:color="auto"/>
      </w:divBdr>
    </w:div>
    <w:div w:id="1682470165">
      <w:bodyDiv w:val="1"/>
      <w:marLeft w:val="0"/>
      <w:marRight w:val="0"/>
      <w:marTop w:val="0"/>
      <w:marBottom w:val="0"/>
      <w:divBdr>
        <w:top w:val="none" w:sz="0" w:space="0" w:color="auto"/>
        <w:left w:val="none" w:sz="0" w:space="0" w:color="auto"/>
        <w:bottom w:val="none" w:sz="0" w:space="0" w:color="auto"/>
        <w:right w:val="none" w:sz="0" w:space="0" w:color="auto"/>
      </w:divBdr>
    </w:div>
    <w:div w:id="1696928956">
      <w:bodyDiv w:val="1"/>
      <w:marLeft w:val="0"/>
      <w:marRight w:val="0"/>
      <w:marTop w:val="0"/>
      <w:marBottom w:val="0"/>
      <w:divBdr>
        <w:top w:val="none" w:sz="0" w:space="0" w:color="auto"/>
        <w:left w:val="none" w:sz="0" w:space="0" w:color="auto"/>
        <w:bottom w:val="none" w:sz="0" w:space="0" w:color="auto"/>
        <w:right w:val="none" w:sz="0" w:space="0" w:color="auto"/>
      </w:divBdr>
    </w:div>
    <w:div w:id="1704403714">
      <w:bodyDiv w:val="1"/>
      <w:marLeft w:val="0"/>
      <w:marRight w:val="0"/>
      <w:marTop w:val="0"/>
      <w:marBottom w:val="0"/>
      <w:divBdr>
        <w:top w:val="none" w:sz="0" w:space="0" w:color="auto"/>
        <w:left w:val="none" w:sz="0" w:space="0" w:color="auto"/>
        <w:bottom w:val="none" w:sz="0" w:space="0" w:color="auto"/>
        <w:right w:val="none" w:sz="0" w:space="0" w:color="auto"/>
      </w:divBdr>
    </w:div>
    <w:div w:id="1704749044">
      <w:bodyDiv w:val="1"/>
      <w:marLeft w:val="0"/>
      <w:marRight w:val="0"/>
      <w:marTop w:val="0"/>
      <w:marBottom w:val="0"/>
      <w:divBdr>
        <w:top w:val="none" w:sz="0" w:space="0" w:color="auto"/>
        <w:left w:val="none" w:sz="0" w:space="0" w:color="auto"/>
        <w:bottom w:val="none" w:sz="0" w:space="0" w:color="auto"/>
        <w:right w:val="none" w:sz="0" w:space="0" w:color="auto"/>
      </w:divBdr>
    </w:div>
    <w:div w:id="1712538630">
      <w:bodyDiv w:val="1"/>
      <w:marLeft w:val="0"/>
      <w:marRight w:val="0"/>
      <w:marTop w:val="0"/>
      <w:marBottom w:val="0"/>
      <w:divBdr>
        <w:top w:val="none" w:sz="0" w:space="0" w:color="auto"/>
        <w:left w:val="none" w:sz="0" w:space="0" w:color="auto"/>
        <w:bottom w:val="none" w:sz="0" w:space="0" w:color="auto"/>
        <w:right w:val="none" w:sz="0" w:space="0" w:color="auto"/>
      </w:divBdr>
    </w:div>
    <w:div w:id="1726485918">
      <w:bodyDiv w:val="1"/>
      <w:marLeft w:val="0"/>
      <w:marRight w:val="0"/>
      <w:marTop w:val="0"/>
      <w:marBottom w:val="0"/>
      <w:divBdr>
        <w:top w:val="none" w:sz="0" w:space="0" w:color="auto"/>
        <w:left w:val="none" w:sz="0" w:space="0" w:color="auto"/>
        <w:bottom w:val="none" w:sz="0" w:space="0" w:color="auto"/>
        <w:right w:val="none" w:sz="0" w:space="0" w:color="auto"/>
      </w:divBdr>
    </w:div>
    <w:div w:id="1760981439">
      <w:bodyDiv w:val="1"/>
      <w:marLeft w:val="0"/>
      <w:marRight w:val="0"/>
      <w:marTop w:val="0"/>
      <w:marBottom w:val="0"/>
      <w:divBdr>
        <w:top w:val="none" w:sz="0" w:space="0" w:color="auto"/>
        <w:left w:val="none" w:sz="0" w:space="0" w:color="auto"/>
        <w:bottom w:val="none" w:sz="0" w:space="0" w:color="auto"/>
        <w:right w:val="none" w:sz="0" w:space="0" w:color="auto"/>
      </w:divBdr>
    </w:div>
    <w:div w:id="1791050827">
      <w:bodyDiv w:val="1"/>
      <w:marLeft w:val="0"/>
      <w:marRight w:val="0"/>
      <w:marTop w:val="0"/>
      <w:marBottom w:val="0"/>
      <w:divBdr>
        <w:top w:val="none" w:sz="0" w:space="0" w:color="auto"/>
        <w:left w:val="none" w:sz="0" w:space="0" w:color="auto"/>
        <w:bottom w:val="none" w:sz="0" w:space="0" w:color="auto"/>
        <w:right w:val="none" w:sz="0" w:space="0" w:color="auto"/>
      </w:divBdr>
    </w:div>
    <w:div w:id="1798645602">
      <w:bodyDiv w:val="1"/>
      <w:marLeft w:val="0"/>
      <w:marRight w:val="0"/>
      <w:marTop w:val="0"/>
      <w:marBottom w:val="0"/>
      <w:divBdr>
        <w:top w:val="none" w:sz="0" w:space="0" w:color="auto"/>
        <w:left w:val="none" w:sz="0" w:space="0" w:color="auto"/>
        <w:bottom w:val="none" w:sz="0" w:space="0" w:color="auto"/>
        <w:right w:val="none" w:sz="0" w:space="0" w:color="auto"/>
      </w:divBdr>
    </w:div>
    <w:div w:id="1800563581">
      <w:bodyDiv w:val="1"/>
      <w:marLeft w:val="0"/>
      <w:marRight w:val="0"/>
      <w:marTop w:val="0"/>
      <w:marBottom w:val="0"/>
      <w:divBdr>
        <w:top w:val="none" w:sz="0" w:space="0" w:color="auto"/>
        <w:left w:val="none" w:sz="0" w:space="0" w:color="auto"/>
        <w:bottom w:val="none" w:sz="0" w:space="0" w:color="auto"/>
        <w:right w:val="none" w:sz="0" w:space="0" w:color="auto"/>
      </w:divBdr>
    </w:div>
    <w:div w:id="1819960492">
      <w:bodyDiv w:val="1"/>
      <w:marLeft w:val="0"/>
      <w:marRight w:val="0"/>
      <w:marTop w:val="0"/>
      <w:marBottom w:val="0"/>
      <w:divBdr>
        <w:top w:val="none" w:sz="0" w:space="0" w:color="auto"/>
        <w:left w:val="none" w:sz="0" w:space="0" w:color="auto"/>
        <w:bottom w:val="none" w:sz="0" w:space="0" w:color="auto"/>
        <w:right w:val="none" w:sz="0" w:space="0" w:color="auto"/>
      </w:divBdr>
    </w:div>
    <w:div w:id="1824926831">
      <w:bodyDiv w:val="1"/>
      <w:marLeft w:val="0"/>
      <w:marRight w:val="0"/>
      <w:marTop w:val="0"/>
      <w:marBottom w:val="0"/>
      <w:divBdr>
        <w:top w:val="none" w:sz="0" w:space="0" w:color="auto"/>
        <w:left w:val="none" w:sz="0" w:space="0" w:color="auto"/>
        <w:bottom w:val="none" w:sz="0" w:space="0" w:color="auto"/>
        <w:right w:val="none" w:sz="0" w:space="0" w:color="auto"/>
      </w:divBdr>
    </w:div>
    <w:div w:id="1839232003">
      <w:bodyDiv w:val="1"/>
      <w:marLeft w:val="0"/>
      <w:marRight w:val="0"/>
      <w:marTop w:val="0"/>
      <w:marBottom w:val="0"/>
      <w:divBdr>
        <w:top w:val="none" w:sz="0" w:space="0" w:color="auto"/>
        <w:left w:val="none" w:sz="0" w:space="0" w:color="auto"/>
        <w:bottom w:val="none" w:sz="0" w:space="0" w:color="auto"/>
        <w:right w:val="none" w:sz="0" w:space="0" w:color="auto"/>
      </w:divBdr>
    </w:div>
    <w:div w:id="1844584770">
      <w:bodyDiv w:val="1"/>
      <w:marLeft w:val="0"/>
      <w:marRight w:val="0"/>
      <w:marTop w:val="0"/>
      <w:marBottom w:val="0"/>
      <w:divBdr>
        <w:top w:val="none" w:sz="0" w:space="0" w:color="auto"/>
        <w:left w:val="none" w:sz="0" w:space="0" w:color="auto"/>
        <w:bottom w:val="none" w:sz="0" w:space="0" w:color="auto"/>
        <w:right w:val="none" w:sz="0" w:space="0" w:color="auto"/>
      </w:divBdr>
    </w:div>
    <w:div w:id="1856384071">
      <w:bodyDiv w:val="1"/>
      <w:marLeft w:val="0"/>
      <w:marRight w:val="0"/>
      <w:marTop w:val="0"/>
      <w:marBottom w:val="0"/>
      <w:divBdr>
        <w:top w:val="none" w:sz="0" w:space="0" w:color="auto"/>
        <w:left w:val="none" w:sz="0" w:space="0" w:color="auto"/>
        <w:bottom w:val="none" w:sz="0" w:space="0" w:color="auto"/>
        <w:right w:val="none" w:sz="0" w:space="0" w:color="auto"/>
      </w:divBdr>
    </w:div>
    <w:div w:id="1903952117">
      <w:bodyDiv w:val="1"/>
      <w:marLeft w:val="0"/>
      <w:marRight w:val="0"/>
      <w:marTop w:val="0"/>
      <w:marBottom w:val="0"/>
      <w:divBdr>
        <w:top w:val="none" w:sz="0" w:space="0" w:color="auto"/>
        <w:left w:val="none" w:sz="0" w:space="0" w:color="auto"/>
        <w:bottom w:val="none" w:sz="0" w:space="0" w:color="auto"/>
        <w:right w:val="none" w:sz="0" w:space="0" w:color="auto"/>
      </w:divBdr>
    </w:div>
    <w:div w:id="1923757595">
      <w:bodyDiv w:val="1"/>
      <w:marLeft w:val="0"/>
      <w:marRight w:val="0"/>
      <w:marTop w:val="0"/>
      <w:marBottom w:val="0"/>
      <w:divBdr>
        <w:top w:val="none" w:sz="0" w:space="0" w:color="auto"/>
        <w:left w:val="none" w:sz="0" w:space="0" w:color="auto"/>
        <w:bottom w:val="none" w:sz="0" w:space="0" w:color="auto"/>
        <w:right w:val="none" w:sz="0" w:space="0" w:color="auto"/>
      </w:divBdr>
    </w:div>
    <w:div w:id="1926112917">
      <w:bodyDiv w:val="1"/>
      <w:marLeft w:val="0"/>
      <w:marRight w:val="0"/>
      <w:marTop w:val="0"/>
      <w:marBottom w:val="0"/>
      <w:divBdr>
        <w:top w:val="none" w:sz="0" w:space="0" w:color="auto"/>
        <w:left w:val="none" w:sz="0" w:space="0" w:color="auto"/>
        <w:bottom w:val="none" w:sz="0" w:space="0" w:color="auto"/>
        <w:right w:val="none" w:sz="0" w:space="0" w:color="auto"/>
      </w:divBdr>
    </w:div>
    <w:div w:id="1931238539">
      <w:bodyDiv w:val="1"/>
      <w:marLeft w:val="0"/>
      <w:marRight w:val="0"/>
      <w:marTop w:val="0"/>
      <w:marBottom w:val="0"/>
      <w:divBdr>
        <w:top w:val="none" w:sz="0" w:space="0" w:color="auto"/>
        <w:left w:val="none" w:sz="0" w:space="0" w:color="auto"/>
        <w:bottom w:val="none" w:sz="0" w:space="0" w:color="auto"/>
        <w:right w:val="none" w:sz="0" w:space="0" w:color="auto"/>
      </w:divBdr>
    </w:div>
    <w:div w:id="1940410488">
      <w:bodyDiv w:val="1"/>
      <w:marLeft w:val="0"/>
      <w:marRight w:val="0"/>
      <w:marTop w:val="0"/>
      <w:marBottom w:val="0"/>
      <w:divBdr>
        <w:top w:val="none" w:sz="0" w:space="0" w:color="auto"/>
        <w:left w:val="none" w:sz="0" w:space="0" w:color="auto"/>
        <w:bottom w:val="none" w:sz="0" w:space="0" w:color="auto"/>
        <w:right w:val="none" w:sz="0" w:space="0" w:color="auto"/>
      </w:divBdr>
    </w:div>
    <w:div w:id="1950044248">
      <w:bodyDiv w:val="1"/>
      <w:marLeft w:val="0"/>
      <w:marRight w:val="0"/>
      <w:marTop w:val="0"/>
      <w:marBottom w:val="0"/>
      <w:divBdr>
        <w:top w:val="none" w:sz="0" w:space="0" w:color="auto"/>
        <w:left w:val="none" w:sz="0" w:space="0" w:color="auto"/>
        <w:bottom w:val="none" w:sz="0" w:space="0" w:color="auto"/>
        <w:right w:val="none" w:sz="0" w:space="0" w:color="auto"/>
      </w:divBdr>
    </w:div>
    <w:div w:id="1955943111">
      <w:bodyDiv w:val="1"/>
      <w:marLeft w:val="0"/>
      <w:marRight w:val="0"/>
      <w:marTop w:val="0"/>
      <w:marBottom w:val="0"/>
      <w:divBdr>
        <w:top w:val="none" w:sz="0" w:space="0" w:color="auto"/>
        <w:left w:val="none" w:sz="0" w:space="0" w:color="auto"/>
        <w:bottom w:val="none" w:sz="0" w:space="0" w:color="auto"/>
        <w:right w:val="none" w:sz="0" w:space="0" w:color="auto"/>
      </w:divBdr>
    </w:div>
    <w:div w:id="1966766082">
      <w:bodyDiv w:val="1"/>
      <w:marLeft w:val="0"/>
      <w:marRight w:val="0"/>
      <w:marTop w:val="0"/>
      <w:marBottom w:val="0"/>
      <w:divBdr>
        <w:top w:val="none" w:sz="0" w:space="0" w:color="auto"/>
        <w:left w:val="none" w:sz="0" w:space="0" w:color="auto"/>
        <w:bottom w:val="none" w:sz="0" w:space="0" w:color="auto"/>
        <w:right w:val="none" w:sz="0" w:space="0" w:color="auto"/>
      </w:divBdr>
    </w:div>
    <w:div w:id="1975602270">
      <w:bodyDiv w:val="1"/>
      <w:marLeft w:val="0"/>
      <w:marRight w:val="0"/>
      <w:marTop w:val="0"/>
      <w:marBottom w:val="0"/>
      <w:divBdr>
        <w:top w:val="none" w:sz="0" w:space="0" w:color="auto"/>
        <w:left w:val="none" w:sz="0" w:space="0" w:color="auto"/>
        <w:bottom w:val="none" w:sz="0" w:space="0" w:color="auto"/>
        <w:right w:val="none" w:sz="0" w:space="0" w:color="auto"/>
      </w:divBdr>
    </w:div>
    <w:div w:id="2012444699">
      <w:bodyDiv w:val="1"/>
      <w:marLeft w:val="0"/>
      <w:marRight w:val="0"/>
      <w:marTop w:val="0"/>
      <w:marBottom w:val="0"/>
      <w:divBdr>
        <w:top w:val="none" w:sz="0" w:space="0" w:color="auto"/>
        <w:left w:val="none" w:sz="0" w:space="0" w:color="auto"/>
        <w:bottom w:val="none" w:sz="0" w:space="0" w:color="auto"/>
        <w:right w:val="none" w:sz="0" w:space="0" w:color="auto"/>
      </w:divBdr>
    </w:div>
    <w:div w:id="2016497536">
      <w:bodyDiv w:val="1"/>
      <w:marLeft w:val="0"/>
      <w:marRight w:val="0"/>
      <w:marTop w:val="0"/>
      <w:marBottom w:val="0"/>
      <w:divBdr>
        <w:top w:val="none" w:sz="0" w:space="0" w:color="auto"/>
        <w:left w:val="none" w:sz="0" w:space="0" w:color="auto"/>
        <w:bottom w:val="none" w:sz="0" w:space="0" w:color="auto"/>
        <w:right w:val="none" w:sz="0" w:space="0" w:color="auto"/>
      </w:divBdr>
    </w:div>
    <w:div w:id="2040080679">
      <w:bodyDiv w:val="1"/>
      <w:marLeft w:val="0"/>
      <w:marRight w:val="0"/>
      <w:marTop w:val="0"/>
      <w:marBottom w:val="0"/>
      <w:divBdr>
        <w:top w:val="none" w:sz="0" w:space="0" w:color="auto"/>
        <w:left w:val="none" w:sz="0" w:space="0" w:color="auto"/>
        <w:bottom w:val="none" w:sz="0" w:space="0" w:color="auto"/>
        <w:right w:val="none" w:sz="0" w:space="0" w:color="auto"/>
      </w:divBdr>
    </w:div>
    <w:div w:id="2045522618">
      <w:bodyDiv w:val="1"/>
      <w:marLeft w:val="0"/>
      <w:marRight w:val="0"/>
      <w:marTop w:val="0"/>
      <w:marBottom w:val="0"/>
      <w:divBdr>
        <w:top w:val="none" w:sz="0" w:space="0" w:color="auto"/>
        <w:left w:val="none" w:sz="0" w:space="0" w:color="auto"/>
        <w:bottom w:val="none" w:sz="0" w:space="0" w:color="auto"/>
        <w:right w:val="none" w:sz="0" w:space="0" w:color="auto"/>
      </w:divBdr>
    </w:div>
    <w:div w:id="2067144889">
      <w:bodyDiv w:val="1"/>
      <w:marLeft w:val="0"/>
      <w:marRight w:val="0"/>
      <w:marTop w:val="0"/>
      <w:marBottom w:val="0"/>
      <w:divBdr>
        <w:top w:val="none" w:sz="0" w:space="0" w:color="auto"/>
        <w:left w:val="none" w:sz="0" w:space="0" w:color="auto"/>
        <w:bottom w:val="none" w:sz="0" w:space="0" w:color="auto"/>
        <w:right w:val="none" w:sz="0" w:space="0" w:color="auto"/>
      </w:divBdr>
    </w:div>
    <w:div w:id="2073650558">
      <w:bodyDiv w:val="1"/>
      <w:marLeft w:val="0"/>
      <w:marRight w:val="0"/>
      <w:marTop w:val="0"/>
      <w:marBottom w:val="0"/>
      <w:divBdr>
        <w:top w:val="none" w:sz="0" w:space="0" w:color="auto"/>
        <w:left w:val="none" w:sz="0" w:space="0" w:color="auto"/>
        <w:bottom w:val="none" w:sz="0" w:space="0" w:color="auto"/>
        <w:right w:val="none" w:sz="0" w:space="0" w:color="auto"/>
      </w:divBdr>
    </w:div>
    <w:div w:id="2074962050">
      <w:bodyDiv w:val="1"/>
      <w:marLeft w:val="0"/>
      <w:marRight w:val="0"/>
      <w:marTop w:val="0"/>
      <w:marBottom w:val="0"/>
      <w:divBdr>
        <w:top w:val="none" w:sz="0" w:space="0" w:color="auto"/>
        <w:left w:val="none" w:sz="0" w:space="0" w:color="auto"/>
        <w:bottom w:val="none" w:sz="0" w:space="0" w:color="auto"/>
        <w:right w:val="none" w:sz="0" w:space="0" w:color="auto"/>
      </w:divBdr>
    </w:div>
    <w:div w:id="2092387563">
      <w:bodyDiv w:val="1"/>
      <w:marLeft w:val="0"/>
      <w:marRight w:val="0"/>
      <w:marTop w:val="0"/>
      <w:marBottom w:val="0"/>
      <w:divBdr>
        <w:top w:val="none" w:sz="0" w:space="0" w:color="auto"/>
        <w:left w:val="none" w:sz="0" w:space="0" w:color="auto"/>
        <w:bottom w:val="none" w:sz="0" w:space="0" w:color="auto"/>
        <w:right w:val="none" w:sz="0" w:space="0" w:color="auto"/>
      </w:divBdr>
    </w:div>
    <w:div w:id="2098281996">
      <w:bodyDiv w:val="1"/>
      <w:marLeft w:val="0"/>
      <w:marRight w:val="0"/>
      <w:marTop w:val="0"/>
      <w:marBottom w:val="0"/>
      <w:divBdr>
        <w:top w:val="none" w:sz="0" w:space="0" w:color="auto"/>
        <w:left w:val="none" w:sz="0" w:space="0" w:color="auto"/>
        <w:bottom w:val="none" w:sz="0" w:space="0" w:color="auto"/>
        <w:right w:val="none" w:sz="0" w:space="0" w:color="auto"/>
      </w:divBdr>
    </w:div>
    <w:div w:id="2103648524">
      <w:bodyDiv w:val="1"/>
      <w:marLeft w:val="0"/>
      <w:marRight w:val="0"/>
      <w:marTop w:val="0"/>
      <w:marBottom w:val="0"/>
      <w:divBdr>
        <w:top w:val="none" w:sz="0" w:space="0" w:color="auto"/>
        <w:left w:val="none" w:sz="0" w:space="0" w:color="auto"/>
        <w:bottom w:val="none" w:sz="0" w:space="0" w:color="auto"/>
        <w:right w:val="none" w:sz="0" w:space="0" w:color="auto"/>
      </w:divBdr>
    </w:div>
    <w:div w:id="2129930094">
      <w:bodyDiv w:val="1"/>
      <w:marLeft w:val="0"/>
      <w:marRight w:val="0"/>
      <w:marTop w:val="0"/>
      <w:marBottom w:val="0"/>
      <w:divBdr>
        <w:top w:val="none" w:sz="0" w:space="0" w:color="auto"/>
        <w:left w:val="none" w:sz="0" w:space="0" w:color="auto"/>
        <w:bottom w:val="none" w:sz="0" w:space="0" w:color="auto"/>
        <w:right w:val="none" w:sz="0" w:space="0" w:color="auto"/>
      </w:divBdr>
    </w:div>
    <w:div w:id="2138790706">
      <w:bodyDiv w:val="1"/>
      <w:marLeft w:val="0"/>
      <w:marRight w:val="0"/>
      <w:marTop w:val="0"/>
      <w:marBottom w:val="0"/>
      <w:divBdr>
        <w:top w:val="none" w:sz="0" w:space="0" w:color="auto"/>
        <w:left w:val="none" w:sz="0" w:space="0" w:color="auto"/>
        <w:bottom w:val="none" w:sz="0" w:space="0" w:color="auto"/>
        <w:right w:val="none" w:sz="0" w:space="0" w:color="auto"/>
      </w:divBdr>
    </w:div>
    <w:div w:id="214179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SHTsZ65NSVUQVyUN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BFB3-6C72-47DB-B530-E8A4EBF0B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2478</TotalTime>
  <Pages>27</Pages>
  <Words>17842</Words>
  <Characters>96352</Characters>
  <Application>Microsoft Office Word</Application>
  <DocSecurity>0</DocSecurity>
  <Lines>802</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111</cp:revision>
  <cp:lastPrinted>2026-10-16T10:52:00Z</cp:lastPrinted>
  <dcterms:created xsi:type="dcterms:W3CDTF">2020-02-28T12:58:00Z</dcterms:created>
  <dcterms:modified xsi:type="dcterms:W3CDTF">2026-10-16T11:13:00Z</dcterms:modified>
</cp:coreProperties>
</file>