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9EC36" w14:textId="77777777" w:rsidR="000C5622" w:rsidRPr="0027325B" w:rsidRDefault="000C5622" w:rsidP="000C5622">
      <w:pPr>
        <w:spacing w:after="0" w:line="276" w:lineRule="auto"/>
        <w:jc w:val="center"/>
        <w:rPr>
          <w:rFonts w:ascii="Times New Roman" w:hAnsi="Times New Roman" w:cs="Times New Roman"/>
          <w:b/>
          <w:sz w:val="20"/>
          <w:szCs w:val="20"/>
        </w:rPr>
      </w:pPr>
    </w:p>
    <w:p w14:paraId="7C60CA64" w14:textId="73E36581" w:rsidR="008F76F3" w:rsidRPr="000C5622" w:rsidRDefault="008F76F3" w:rsidP="000C5622">
      <w:pPr>
        <w:spacing w:after="0" w:line="276" w:lineRule="auto"/>
        <w:jc w:val="center"/>
        <w:rPr>
          <w:rFonts w:ascii="Times New Roman" w:hAnsi="Times New Roman" w:cs="Times New Roman"/>
          <w:b/>
          <w:sz w:val="32"/>
          <w:szCs w:val="32"/>
        </w:rPr>
      </w:pPr>
      <w:r w:rsidRPr="000C5622">
        <w:rPr>
          <w:rFonts w:ascii="Times New Roman" w:hAnsi="Times New Roman" w:cs="Times New Roman"/>
          <w:b/>
          <w:sz w:val="32"/>
          <w:szCs w:val="32"/>
        </w:rPr>
        <w:t xml:space="preserve">ESTUDO TÉCNICO PRELIMINAR </w:t>
      </w:r>
    </w:p>
    <w:p w14:paraId="1C9A8B45" w14:textId="77777777" w:rsidR="008F76F3" w:rsidRPr="0027325B" w:rsidRDefault="008F76F3" w:rsidP="000C5622">
      <w:pPr>
        <w:spacing w:after="0" w:line="276" w:lineRule="auto"/>
        <w:rPr>
          <w:rFonts w:ascii="Times New Roman" w:hAnsi="Times New Roman" w:cs="Times New Roman"/>
          <w:sz w:val="20"/>
          <w:szCs w:val="20"/>
        </w:rPr>
      </w:pPr>
    </w:p>
    <w:tbl>
      <w:tblPr>
        <w:tblStyle w:val="Tabelacomgrade"/>
        <w:tblW w:w="9209" w:type="dxa"/>
        <w:tblLook w:val="04A0" w:firstRow="1" w:lastRow="0" w:firstColumn="1" w:lastColumn="0" w:noHBand="0" w:noVBand="1"/>
      </w:tblPr>
      <w:tblGrid>
        <w:gridCol w:w="9209"/>
      </w:tblGrid>
      <w:tr w:rsidR="009D725C" w:rsidRPr="00A00198" w14:paraId="7F3F48B1" w14:textId="77777777" w:rsidTr="00C3667F">
        <w:tc>
          <w:tcPr>
            <w:tcW w:w="9209" w:type="dxa"/>
          </w:tcPr>
          <w:p w14:paraId="12DE8FCC" w14:textId="20F24D4A" w:rsidR="009D725C" w:rsidRPr="005C43E8" w:rsidRDefault="009D725C" w:rsidP="000C5622">
            <w:pPr>
              <w:spacing w:after="0" w:line="276" w:lineRule="auto"/>
              <w:rPr>
                <w:rFonts w:ascii="Times New Roman" w:hAnsi="Times New Roman" w:cs="Times New Roman"/>
                <w:b/>
                <w:sz w:val="20"/>
                <w:szCs w:val="20"/>
              </w:rPr>
            </w:pPr>
            <w:r w:rsidRPr="009D725C">
              <w:rPr>
                <w:rFonts w:ascii="Times New Roman" w:eastAsia="Times New Roman" w:hAnsi="Times New Roman"/>
                <w:b/>
                <w:bCs/>
                <w:sz w:val="20"/>
                <w:szCs w:val="20"/>
              </w:rPr>
              <w:t>Objeto</w:t>
            </w:r>
            <w:r w:rsidRPr="00F074E2">
              <w:rPr>
                <w:rFonts w:ascii="Times New Roman" w:eastAsia="Times New Roman" w:hAnsi="Times New Roman"/>
                <w:sz w:val="20"/>
                <w:szCs w:val="20"/>
              </w:rPr>
              <w:t xml:space="preserve">: </w:t>
            </w:r>
            <w:r w:rsidR="000C5622" w:rsidRPr="000C5622">
              <w:rPr>
                <w:rFonts w:ascii="Times New Roman" w:eastAsia="Times New Roman" w:hAnsi="Times New Roman"/>
                <w:sz w:val="20"/>
                <w:szCs w:val="20"/>
              </w:rPr>
              <w:t>Aquisição, de forma parcelada e sob demanda, de materiais, componentes, periféricos e equipamentos de informática, destinados à manutenção, reposição, atualização e ampliação da infraestrutura tecnológica das Secretarias Municipais.</w:t>
            </w:r>
          </w:p>
        </w:tc>
      </w:tr>
      <w:tr w:rsidR="009D725C" w:rsidRPr="00A00198" w14:paraId="0D68AE69" w14:textId="77777777" w:rsidTr="00C3667F">
        <w:tc>
          <w:tcPr>
            <w:tcW w:w="9209" w:type="dxa"/>
          </w:tcPr>
          <w:p w14:paraId="1CA8A904" w14:textId="36D3A351" w:rsidR="009D725C" w:rsidRPr="000C5622" w:rsidRDefault="009D725C" w:rsidP="000C5622">
            <w:pPr>
              <w:spacing w:after="0" w:line="276" w:lineRule="auto"/>
              <w:rPr>
                <w:rFonts w:ascii="Times New Roman" w:hAnsi="Times New Roman" w:cs="Times New Roman"/>
                <w:b/>
                <w:sz w:val="20"/>
                <w:szCs w:val="20"/>
              </w:rPr>
            </w:pPr>
            <w:r w:rsidRPr="000C5622">
              <w:rPr>
                <w:rFonts w:ascii="Times New Roman" w:hAnsi="Times New Roman" w:cs="Times New Roman"/>
                <w:b/>
                <w:sz w:val="20"/>
                <w:szCs w:val="20"/>
              </w:rPr>
              <w:t xml:space="preserve">Área Requisitante: </w:t>
            </w:r>
            <w:r w:rsidRPr="000C5622">
              <w:rPr>
                <w:rFonts w:ascii="Times New Roman" w:hAnsi="Times New Roman" w:cs="Times New Roman"/>
                <w:sz w:val="20"/>
                <w:szCs w:val="20"/>
              </w:rPr>
              <w:t>Setor de Compras</w:t>
            </w:r>
          </w:p>
        </w:tc>
      </w:tr>
      <w:tr w:rsidR="009D725C" w:rsidRPr="00A00198" w14:paraId="58FCAF88" w14:textId="77777777" w:rsidTr="00C3667F">
        <w:tc>
          <w:tcPr>
            <w:tcW w:w="9209" w:type="dxa"/>
            <w:tcBorders>
              <w:top w:val="single" w:sz="4" w:space="0" w:color="auto"/>
              <w:left w:val="nil"/>
              <w:bottom w:val="single" w:sz="4" w:space="0" w:color="auto"/>
              <w:right w:val="nil"/>
            </w:tcBorders>
          </w:tcPr>
          <w:p w14:paraId="678E4BBE" w14:textId="77777777" w:rsidR="009D725C" w:rsidRPr="00A00198" w:rsidRDefault="009D725C" w:rsidP="000C5622">
            <w:pPr>
              <w:spacing w:after="0" w:line="276" w:lineRule="auto"/>
              <w:rPr>
                <w:rFonts w:ascii="Times New Roman" w:hAnsi="Times New Roman" w:cs="Times New Roman"/>
                <w:b/>
                <w:sz w:val="20"/>
                <w:szCs w:val="20"/>
              </w:rPr>
            </w:pPr>
          </w:p>
        </w:tc>
      </w:tr>
      <w:tr w:rsidR="009D725C" w:rsidRPr="00A00198" w14:paraId="3DD24274" w14:textId="77777777" w:rsidTr="00C3667F">
        <w:tc>
          <w:tcPr>
            <w:tcW w:w="9209" w:type="dxa"/>
            <w:tcBorders>
              <w:top w:val="single" w:sz="4" w:space="0" w:color="auto"/>
            </w:tcBorders>
          </w:tcPr>
          <w:p w14:paraId="1BF269D1" w14:textId="354513C5" w:rsidR="009D725C" w:rsidRPr="00A00198" w:rsidRDefault="009D725C" w:rsidP="000C5622">
            <w:pPr>
              <w:spacing w:after="0" w:line="276" w:lineRule="auto"/>
              <w:ind w:firstLine="0"/>
              <w:rPr>
                <w:rFonts w:ascii="Times New Roman" w:hAnsi="Times New Roman" w:cs="Times New Roman"/>
                <w:b/>
                <w:sz w:val="20"/>
                <w:szCs w:val="20"/>
              </w:rPr>
            </w:pPr>
            <w:r w:rsidRPr="00A00198">
              <w:rPr>
                <w:rFonts w:ascii="Times New Roman" w:hAnsi="Times New Roman" w:cs="Times New Roman"/>
                <w:b/>
                <w:sz w:val="20"/>
                <w:szCs w:val="20"/>
              </w:rPr>
              <w:t>1 - DESCRIÇÃO DA NECESSIDADE</w:t>
            </w:r>
            <w:r>
              <w:rPr>
                <w:rFonts w:ascii="Times New Roman" w:hAnsi="Times New Roman" w:cs="Times New Roman"/>
                <w:b/>
                <w:sz w:val="20"/>
                <w:szCs w:val="20"/>
              </w:rPr>
              <w:t>:</w:t>
            </w:r>
          </w:p>
        </w:tc>
      </w:tr>
      <w:tr w:rsidR="009D725C" w:rsidRPr="00A00198" w14:paraId="7549A9A5" w14:textId="77777777" w:rsidTr="00C3667F">
        <w:tc>
          <w:tcPr>
            <w:tcW w:w="9209" w:type="dxa"/>
            <w:shd w:val="clear" w:color="auto" w:fill="F2F2F2" w:themeFill="background1" w:themeFillShade="F2"/>
          </w:tcPr>
          <w:p w14:paraId="464C3993" w14:textId="312A8203" w:rsidR="009D725C" w:rsidRPr="00A00198" w:rsidRDefault="009D725C" w:rsidP="000C5622">
            <w:pPr>
              <w:spacing w:after="0" w:line="276" w:lineRule="auto"/>
              <w:ind w:firstLine="0"/>
              <w:rPr>
                <w:rFonts w:ascii="Times New Roman" w:eastAsia="Times New Roman" w:hAnsi="Times New Roman" w:cs="Times New Roman"/>
                <w:b/>
                <w:color w:val="000000"/>
                <w:sz w:val="20"/>
                <w:szCs w:val="20"/>
                <w:lang w:eastAsia="pt-BR"/>
              </w:rPr>
            </w:pPr>
            <w:r w:rsidRPr="00A00198">
              <w:rPr>
                <w:rFonts w:ascii="Times New Roman" w:eastAsia="Times New Roman" w:hAnsi="Times New Roman" w:cs="Times New Roman"/>
                <w:b/>
                <w:bCs/>
                <w:color w:val="000000"/>
                <w:sz w:val="20"/>
                <w:szCs w:val="20"/>
                <w:lang w:eastAsia="pt-BR"/>
              </w:rPr>
              <w:t xml:space="preserve">Fundamentação: </w:t>
            </w:r>
            <w:r w:rsidRPr="00A00198">
              <w:rPr>
                <w:rFonts w:ascii="Times New Roman" w:eastAsia="Times New Roman" w:hAnsi="Times New Roman" w:cs="Times New Roman"/>
                <w:color w:val="000000"/>
                <w:sz w:val="20"/>
                <w:szCs w:val="20"/>
                <w:lang w:eastAsia="pt-BR"/>
              </w:rPr>
              <w:t xml:space="preserve">Descrição da necessidade da contratação, considerado o problema a ser resolvido sob a perspectiva do interesse público (inciso I do § 1° do </w:t>
            </w:r>
            <w:r>
              <w:rPr>
                <w:rFonts w:ascii="Times New Roman" w:eastAsia="Times New Roman" w:hAnsi="Times New Roman" w:cs="Times New Roman"/>
                <w:color w:val="000000"/>
                <w:sz w:val="20"/>
                <w:szCs w:val="20"/>
                <w:lang w:eastAsia="pt-BR"/>
              </w:rPr>
              <w:t>A</w:t>
            </w:r>
            <w:r w:rsidRPr="00A00198">
              <w:rPr>
                <w:rFonts w:ascii="Times New Roman" w:eastAsia="Times New Roman" w:hAnsi="Times New Roman" w:cs="Times New Roman"/>
                <w:color w:val="000000"/>
                <w:sz w:val="20"/>
                <w:szCs w:val="20"/>
                <w:lang w:eastAsia="pt-BR"/>
              </w:rPr>
              <w:t>rt. 18 da Lei 14.133/2021)</w:t>
            </w:r>
            <w:r>
              <w:rPr>
                <w:rFonts w:ascii="Times New Roman" w:eastAsia="Times New Roman" w:hAnsi="Times New Roman" w:cs="Times New Roman"/>
                <w:b/>
                <w:color w:val="000000"/>
                <w:sz w:val="20"/>
                <w:szCs w:val="20"/>
                <w:lang w:eastAsia="pt-BR"/>
              </w:rPr>
              <w:t>:</w:t>
            </w:r>
          </w:p>
        </w:tc>
      </w:tr>
      <w:tr w:rsidR="009D725C" w:rsidRPr="00A00198" w14:paraId="20066B50" w14:textId="77777777" w:rsidTr="00C3667F">
        <w:tc>
          <w:tcPr>
            <w:tcW w:w="9209" w:type="dxa"/>
          </w:tcPr>
          <w:p w14:paraId="018CF532" w14:textId="77777777" w:rsidR="005D23E4" w:rsidRPr="005D23E4" w:rsidRDefault="005D23E4" w:rsidP="005D23E4">
            <w:pPr>
              <w:spacing w:after="0" w:line="276" w:lineRule="auto"/>
              <w:ind w:firstLine="597"/>
              <w:rPr>
                <w:rFonts w:ascii="Times New Roman" w:hAnsi="Times New Roman" w:cs="Times New Roman"/>
                <w:sz w:val="20"/>
                <w:szCs w:val="20"/>
              </w:rPr>
            </w:pPr>
            <w:r w:rsidRPr="005D23E4">
              <w:rPr>
                <w:rFonts w:ascii="Times New Roman" w:hAnsi="Times New Roman" w:cs="Times New Roman"/>
                <w:sz w:val="20"/>
                <w:szCs w:val="20"/>
              </w:rPr>
              <w:t>O presente Estudo Técnico Preliminar tem por finalidade analisar a necessidade de atendimento das demandas das Secretarias Municipais relacionadas ao fornecimento de materiais, componentes, periféricos e equipamentos de informática necessários à manutenção, reposição, atualização e ampliação da infraestrutura tecnológica utilizada pela Administração Municipal.</w:t>
            </w:r>
          </w:p>
          <w:p w14:paraId="17A73A36" w14:textId="77777777" w:rsidR="005D23E4" w:rsidRPr="005D23E4" w:rsidRDefault="005D23E4" w:rsidP="005D23E4">
            <w:pPr>
              <w:spacing w:after="0" w:line="276" w:lineRule="auto"/>
              <w:ind w:firstLine="597"/>
              <w:rPr>
                <w:rFonts w:ascii="Times New Roman" w:hAnsi="Times New Roman" w:cs="Times New Roman"/>
                <w:sz w:val="20"/>
                <w:szCs w:val="20"/>
              </w:rPr>
            </w:pPr>
            <w:r w:rsidRPr="005D23E4">
              <w:rPr>
                <w:rFonts w:ascii="Times New Roman" w:hAnsi="Times New Roman" w:cs="Times New Roman"/>
                <w:sz w:val="20"/>
                <w:szCs w:val="20"/>
              </w:rPr>
              <w:t>A infraestrutura de tecnologia da informação constitui suporte indispensável ao funcionamento regular dos serviços públicos, considerando que parcela significativa das atividades administrativas, técnicas e operacionais depende da utilização de computadores, notebooks, monitores, periféricos, dispositivos de armazenamento, equipamentos de rede, acessórios e demais recursos tecnológicos. Esses bens são empregados na tramitação de processos administrativos, utilização de sistemas informatizados, gestão financeira, contábil, tributária e patrimonial, execução das políticas públicas, comunicação entre os setores, armazenamento e tratamento de informações e atendimento à população.</w:t>
            </w:r>
          </w:p>
          <w:p w14:paraId="0570E231" w14:textId="77777777" w:rsidR="005D23E4" w:rsidRPr="005D23E4" w:rsidRDefault="005D23E4" w:rsidP="005D23E4">
            <w:pPr>
              <w:spacing w:after="0" w:line="276" w:lineRule="auto"/>
              <w:ind w:firstLine="597"/>
              <w:rPr>
                <w:rFonts w:ascii="Times New Roman" w:hAnsi="Times New Roman" w:cs="Times New Roman"/>
                <w:sz w:val="20"/>
                <w:szCs w:val="20"/>
              </w:rPr>
            </w:pPr>
            <w:r w:rsidRPr="005D23E4">
              <w:rPr>
                <w:rFonts w:ascii="Times New Roman" w:hAnsi="Times New Roman" w:cs="Times New Roman"/>
                <w:sz w:val="20"/>
                <w:szCs w:val="20"/>
              </w:rPr>
              <w:t>A necessidade decorre do desgaste natural dos equipamentos e componentes submetidos ao uso contínuo, da ocorrência de falhas e avarias, da perda de desempenho e da obsolescência tecnológica, além da necessidade de adequação da infraestrutura às alterações dos sistemas utilizados e às demandas dos diferentes setores municipais. Também poderão ocorrer necessidades de ampliação decorrentes da reorganização das unidades administrativas, implantação ou expansão de serviços, instalação de novos postos de trabalho e demais situações relacionadas ao desenvolvimento das atividades municipais.</w:t>
            </w:r>
          </w:p>
          <w:p w14:paraId="56A23619" w14:textId="77777777" w:rsidR="005D23E4" w:rsidRPr="005D23E4" w:rsidRDefault="005D23E4" w:rsidP="005D23E4">
            <w:pPr>
              <w:spacing w:after="0" w:line="276" w:lineRule="auto"/>
              <w:ind w:firstLine="597"/>
              <w:rPr>
                <w:rFonts w:ascii="Times New Roman" w:hAnsi="Times New Roman" w:cs="Times New Roman"/>
                <w:sz w:val="20"/>
                <w:szCs w:val="20"/>
              </w:rPr>
            </w:pPr>
            <w:r w:rsidRPr="005D23E4">
              <w:rPr>
                <w:rFonts w:ascii="Times New Roman" w:hAnsi="Times New Roman" w:cs="Times New Roman"/>
                <w:sz w:val="20"/>
                <w:szCs w:val="20"/>
              </w:rPr>
              <w:t>A indisponibilidade, insuficiência ou inadequação desses recursos tecnológicos pode ocasionar interrupções ou dificuldades na execução das rotinas administrativas, comprometimento do acesso aos sistemas informatizados, redução da produtividade, demora na tramitação dos processos, dificuldades de comunicação e prejuízos ao atendimento das demandas internas e dos serviços prestados à população. A inexistência de uma solução previamente planejada também pode levar à realização sucessiva de aquisições pontuais, dificultando a padronização, o controle das necessidades e a adequada gestão dos recursos públicos.</w:t>
            </w:r>
          </w:p>
          <w:p w14:paraId="2802396F" w14:textId="77777777" w:rsidR="005D23E4" w:rsidRPr="005D23E4" w:rsidRDefault="005D23E4" w:rsidP="005D23E4">
            <w:pPr>
              <w:spacing w:after="0" w:line="276" w:lineRule="auto"/>
              <w:ind w:firstLine="597"/>
              <w:rPr>
                <w:rFonts w:ascii="Times New Roman" w:hAnsi="Times New Roman" w:cs="Times New Roman"/>
                <w:sz w:val="20"/>
                <w:szCs w:val="20"/>
              </w:rPr>
            </w:pPr>
            <w:r w:rsidRPr="005D23E4">
              <w:rPr>
                <w:rFonts w:ascii="Times New Roman" w:hAnsi="Times New Roman" w:cs="Times New Roman"/>
                <w:sz w:val="20"/>
                <w:szCs w:val="20"/>
              </w:rPr>
              <w:t>Sob a perspectiva do interesse público, mostra-se necessário assegurar condições adequadas de funcionamento da infraestrutura tecnológica municipal, possibilitando a reposição de materiais e equipamentos que apresentem falhas, desgaste ou inadequação, bem como sua atualização e ampliação quando justificadas pelas necessidades dos serviços. A disponibilidade de recursos de informática compatíveis com as atividades desenvolvidas contribui para a continuidade dos serviços públicos, a eficiência das rotinas administrativas, a operacionalidade dos sistemas e a adequada prestação dos serviços municipais.</w:t>
            </w:r>
          </w:p>
          <w:p w14:paraId="25FE18B4" w14:textId="2C0AA474" w:rsidR="009D725C" w:rsidRPr="00A00198" w:rsidRDefault="005D23E4" w:rsidP="000C5622">
            <w:pPr>
              <w:spacing w:after="0" w:line="276" w:lineRule="auto"/>
              <w:ind w:firstLine="597"/>
              <w:rPr>
                <w:rFonts w:ascii="Times New Roman" w:hAnsi="Times New Roman" w:cs="Times New Roman"/>
                <w:sz w:val="20"/>
                <w:szCs w:val="20"/>
              </w:rPr>
            </w:pPr>
            <w:r w:rsidRPr="005D23E4">
              <w:rPr>
                <w:rFonts w:ascii="Times New Roman" w:hAnsi="Times New Roman" w:cs="Times New Roman"/>
                <w:sz w:val="20"/>
                <w:szCs w:val="20"/>
              </w:rPr>
              <w:t>Dessa forma, a necessidade identificada consiste em estabelecer solução capaz de atender, de maneira planejada e gradual, às demandas de manutenção, reposição, atualização e ampliação da infraestrutura de informática das Secretarias Municipais, observadas as necessidades efetivamente verificadas, os quantitativos estimados, a compatibilidade com a estrutura tecnológica existente e a disponibilidade orçamentária, buscando assegurar eficiência administrativa, continuidade dos serviços e adequada aplicação dos recursos públicos.</w:t>
            </w:r>
          </w:p>
        </w:tc>
      </w:tr>
    </w:tbl>
    <w:p w14:paraId="314F9F33" w14:textId="77777777" w:rsidR="008F76F3" w:rsidRPr="00A00198" w:rsidRDefault="008F76F3" w:rsidP="000C5622">
      <w:pPr>
        <w:spacing w:after="0" w:line="276" w:lineRule="auto"/>
        <w:rPr>
          <w:rFonts w:ascii="Times New Roman" w:hAnsi="Times New Roman" w:cs="Times New Roman"/>
          <w:sz w:val="20"/>
          <w:szCs w:val="20"/>
        </w:rPr>
      </w:pPr>
    </w:p>
    <w:tbl>
      <w:tblPr>
        <w:tblStyle w:val="Tabelacomgrade"/>
        <w:tblW w:w="9209" w:type="dxa"/>
        <w:tblLook w:val="04A0" w:firstRow="1" w:lastRow="0" w:firstColumn="1" w:lastColumn="0" w:noHBand="0" w:noVBand="1"/>
      </w:tblPr>
      <w:tblGrid>
        <w:gridCol w:w="9209"/>
      </w:tblGrid>
      <w:tr w:rsidR="008F76F3" w:rsidRPr="00A00198" w14:paraId="1BB79560" w14:textId="77777777" w:rsidTr="00C3667F">
        <w:tc>
          <w:tcPr>
            <w:tcW w:w="9209" w:type="dxa"/>
          </w:tcPr>
          <w:p w14:paraId="569B37C6" w14:textId="27B268A7" w:rsidR="008F76F3" w:rsidRPr="00A00198" w:rsidRDefault="008F76F3" w:rsidP="000C5622">
            <w:pPr>
              <w:shd w:val="clear" w:color="auto" w:fill="FFFFFF"/>
              <w:spacing w:after="0" w:line="276" w:lineRule="auto"/>
              <w:ind w:firstLine="0"/>
              <w:textAlignment w:val="baseline"/>
              <w:rPr>
                <w:rFonts w:ascii="Times New Roman" w:eastAsia="Times New Roman" w:hAnsi="Times New Roman" w:cs="Times New Roman"/>
                <w:b/>
                <w:bCs/>
                <w:color w:val="000000"/>
                <w:sz w:val="20"/>
                <w:szCs w:val="20"/>
                <w:lang w:eastAsia="pt-BR"/>
              </w:rPr>
            </w:pPr>
            <w:r w:rsidRPr="00A00198">
              <w:rPr>
                <w:rFonts w:ascii="Times New Roman" w:eastAsia="Times New Roman" w:hAnsi="Times New Roman" w:cs="Times New Roman"/>
                <w:b/>
                <w:bCs/>
                <w:color w:val="000000"/>
                <w:sz w:val="20"/>
                <w:szCs w:val="20"/>
                <w:lang w:eastAsia="pt-BR"/>
              </w:rPr>
              <w:t>2 – PREVISÃO NO PLANO DE CONTRATAÇÕES ANUAL</w:t>
            </w:r>
            <w:r w:rsidR="00FC4923">
              <w:rPr>
                <w:rFonts w:ascii="Times New Roman" w:eastAsia="Times New Roman" w:hAnsi="Times New Roman" w:cs="Times New Roman"/>
                <w:b/>
                <w:bCs/>
                <w:color w:val="000000"/>
                <w:sz w:val="20"/>
                <w:szCs w:val="20"/>
                <w:lang w:eastAsia="pt-BR"/>
              </w:rPr>
              <w:t>:</w:t>
            </w:r>
          </w:p>
        </w:tc>
      </w:tr>
      <w:tr w:rsidR="008F76F3" w:rsidRPr="00A00198" w14:paraId="7498D87B" w14:textId="77777777" w:rsidTr="00C3667F">
        <w:tc>
          <w:tcPr>
            <w:tcW w:w="9209" w:type="dxa"/>
            <w:shd w:val="clear" w:color="auto" w:fill="F2F2F2" w:themeFill="background1" w:themeFillShade="F2"/>
          </w:tcPr>
          <w:p w14:paraId="6CEA53AC" w14:textId="1E38B9FF" w:rsidR="008F76F3" w:rsidRPr="00A00198" w:rsidRDefault="008F76F3" w:rsidP="000C5622">
            <w:pPr>
              <w:pStyle w:val="Default"/>
              <w:spacing w:line="276" w:lineRule="auto"/>
              <w:jc w:val="both"/>
              <w:rPr>
                <w:rFonts w:eastAsia="Times New Roman"/>
                <w:sz w:val="20"/>
                <w:szCs w:val="20"/>
                <w:lang w:eastAsia="pt-BR"/>
              </w:rPr>
            </w:pPr>
            <w:r w:rsidRPr="00A00198">
              <w:rPr>
                <w:rFonts w:eastAsia="Times New Roman"/>
                <w:bCs/>
                <w:sz w:val="20"/>
                <w:szCs w:val="20"/>
                <w:lang w:eastAsia="pt-BR"/>
              </w:rPr>
              <w:t xml:space="preserve">Fundamentação: </w:t>
            </w:r>
            <w:r w:rsidRPr="00A00198">
              <w:rPr>
                <w:sz w:val="20"/>
                <w:szCs w:val="20"/>
              </w:rPr>
              <w:t xml:space="preserve">Demonstração da previsão da contratação no plano de contratações anual, sempre que elaborado, de modo a indicar o seu alinhamento com o planejamento da Administração </w:t>
            </w:r>
            <w:r w:rsidRPr="00A00198">
              <w:rPr>
                <w:rFonts w:eastAsia="Times New Roman"/>
                <w:sz w:val="20"/>
                <w:szCs w:val="20"/>
                <w:lang w:eastAsia="pt-BR"/>
              </w:rPr>
              <w:t xml:space="preserve">(inciso II do § 1° do </w:t>
            </w:r>
            <w:r w:rsidR="008E3C14">
              <w:rPr>
                <w:rFonts w:eastAsia="Times New Roman"/>
                <w:sz w:val="20"/>
                <w:szCs w:val="20"/>
                <w:lang w:eastAsia="pt-BR"/>
              </w:rPr>
              <w:t>A</w:t>
            </w:r>
            <w:r w:rsidRPr="00A00198">
              <w:rPr>
                <w:rFonts w:eastAsia="Times New Roman"/>
                <w:sz w:val="20"/>
                <w:szCs w:val="20"/>
                <w:lang w:eastAsia="pt-BR"/>
              </w:rPr>
              <w:t>rt. 18 da Lei 14.133/21)</w:t>
            </w:r>
            <w:r w:rsidR="00E776F1">
              <w:rPr>
                <w:rFonts w:eastAsia="Times New Roman"/>
                <w:sz w:val="20"/>
                <w:szCs w:val="20"/>
                <w:lang w:eastAsia="pt-BR"/>
              </w:rPr>
              <w:t>:</w:t>
            </w:r>
          </w:p>
        </w:tc>
      </w:tr>
      <w:tr w:rsidR="008F76F3" w:rsidRPr="00A00198" w14:paraId="27DB0D15" w14:textId="77777777" w:rsidTr="00C3667F">
        <w:tc>
          <w:tcPr>
            <w:tcW w:w="9209" w:type="dxa"/>
          </w:tcPr>
          <w:p w14:paraId="7CBAD838" w14:textId="77777777" w:rsidR="0027325B" w:rsidRDefault="00AD2A13" w:rsidP="00AD2A13">
            <w:pPr>
              <w:spacing w:after="0" w:line="276" w:lineRule="auto"/>
              <w:ind w:firstLine="596"/>
              <w:rPr>
                <w:rFonts w:ascii="Times New Roman" w:hAnsi="Times New Roman" w:cs="Times New Roman"/>
                <w:sz w:val="20"/>
                <w:szCs w:val="20"/>
              </w:rPr>
            </w:pPr>
            <w:r w:rsidRPr="00AD2A13">
              <w:rPr>
                <w:rFonts w:ascii="Times New Roman" w:hAnsi="Times New Roman" w:cs="Times New Roman"/>
                <w:sz w:val="20"/>
                <w:szCs w:val="20"/>
              </w:rPr>
              <w:lastRenderedPageBreak/>
              <w:t xml:space="preserve">A presente contratação encontra-se prevista no Plano de Contratações Anual – PCA do Município de Paverama para o exercício de 2026, no </w:t>
            </w:r>
            <w:r w:rsidR="0027325B" w:rsidRPr="00AD2A13">
              <w:rPr>
                <w:rFonts w:ascii="Times New Roman" w:hAnsi="Times New Roman" w:cs="Times New Roman"/>
                <w:b/>
                <w:bCs/>
                <w:sz w:val="20"/>
                <w:szCs w:val="20"/>
              </w:rPr>
              <w:t>ITEM Nº 134 – T.I.: EQUIPAMENTOS DE INFORMÁTICA</w:t>
            </w:r>
            <w:r w:rsidRPr="00AD2A13">
              <w:rPr>
                <w:rFonts w:ascii="Times New Roman" w:hAnsi="Times New Roman" w:cs="Times New Roman"/>
                <w:sz w:val="20"/>
                <w:szCs w:val="20"/>
              </w:rPr>
              <w:t>, contemplando demanda relacionada à aquisição de recursos de tecnologia da informação necessários ao atendimento das atividades desenvolvidas pela Administração Municipal.</w:t>
            </w:r>
            <w:r>
              <w:rPr>
                <w:rFonts w:ascii="Times New Roman" w:hAnsi="Times New Roman" w:cs="Times New Roman"/>
                <w:sz w:val="20"/>
                <w:szCs w:val="20"/>
              </w:rPr>
              <w:t xml:space="preserve"> </w:t>
            </w:r>
          </w:p>
          <w:p w14:paraId="033332BA" w14:textId="70DA2B45" w:rsidR="00AD2A13" w:rsidRPr="00AD2A13" w:rsidRDefault="00AD2A13" w:rsidP="00AD2A13">
            <w:pPr>
              <w:spacing w:after="0" w:line="276" w:lineRule="auto"/>
              <w:ind w:firstLine="596"/>
              <w:rPr>
                <w:rFonts w:ascii="Times New Roman" w:hAnsi="Times New Roman" w:cs="Times New Roman"/>
                <w:sz w:val="20"/>
                <w:szCs w:val="20"/>
              </w:rPr>
            </w:pPr>
            <w:r w:rsidRPr="00AD2A13">
              <w:rPr>
                <w:rFonts w:ascii="Times New Roman" w:hAnsi="Times New Roman" w:cs="Times New Roman"/>
                <w:sz w:val="20"/>
                <w:szCs w:val="20"/>
              </w:rPr>
              <w:t>A previsão no PCA demonstra que a necessidade foi previamente identificada e incorporada ao planejamento das contratações municipais, estando alinhada às demandas de manutenção, reposição, atualização e ampliação da infraestrutura tecnológica utilizada pelas Secretarias Municipais. Trata-se de necessidade de caráter recorrente, relacionada à continuidade das atividades administrativas, técnicas e operacionais que dependem da utilização de equipamentos, componentes, periféricos e demais recursos de informática.</w:t>
            </w:r>
          </w:p>
          <w:p w14:paraId="26B5CF36" w14:textId="75C484AD" w:rsidR="008F76F3" w:rsidRPr="00AD2A13" w:rsidRDefault="00AD2A13" w:rsidP="00AD2A13">
            <w:pPr>
              <w:spacing w:after="0" w:line="276" w:lineRule="auto"/>
              <w:ind w:firstLine="596"/>
              <w:rPr>
                <w:rFonts w:ascii="Times New Roman" w:hAnsi="Times New Roman" w:cs="Times New Roman"/>
                <w:sz w:val="20"/>
                <w:szCs w:val="20"/>
              </w:rPr>
            </w:pPr>
            <w:r w:rsidRPr="00AD2A13">
              <w:rPr>
                <w:rFonts w:ascii="Times New Roman" w:hAnsi="Times New Roman" w:cs="Times New Roman"/>
                <w:sz w:val="20"/>
                <w:szCs w:val="20"/>
              </w:rPr>
              <w:t>Dessa forma, a contratação mostra-se compatível com o planejamento institucional do Município e com as diretrizes estabelecidas no Plano de Contratações Anual, observando-se, nas etapas subsequentes, os quantitativos efetivamente estimados, as prioridades administrativas e a disponibilidade orçamentária correspondente.</w:t>
            </w:r>
            <w:r>
              <w:rPr>
                <w:rFonts w:ascii="Times New Roman" w:hAnsi="Times New Roman" w:cs="Times New Roman"/>
                <w:sz w:val="20"/>
                <w:szCs w:val="20"/>
              </w:rPr>
              <w:t xml:space="preserve"> </w:t>
            </w:r>
            <w:r w:rsidRPr="00AD2A13">
              <w:rPr>
                <w:rFonts w:ascii="Times New Roman" w:hAnsi="Times New Roman" w:cs="Times New Roman"/>
                <w:sz w:val="20"/>
                <w:szCs w:val="20"/>
              </w:rPr>
              <w:t>O Plano de Contratações Anual encontra-se disponibilizado no portal eletrônico oficial do Município de Paverama.</w:t>
            </w:r>
          </w:p>
        </w:tc>
      </w:tr>
    </w:tbl>
    <w:p w14:paraId="19919687" w14:textId="77777777" w:rsidR="008F76F3" w:rsidRPr="00A00198" w:rsidRDefault="008F76F3" w:rsidP="000C5622">
      <w:pPr>
        <w:spacing w:after="0" w:line="276" w:lineRule="auto"/>
        <w:rPr>
          <w:rFonts w:ascii="Times New Roman" w:hAnsi="Times New Roman" w:cs="Times New Roman"/>
          <w:sz w:val="20"/>
          <w:szCs w:val="20"/>
        </w:rPr>
      </w:pPr>
    </w:p>
    <w:tbl>
      <w:tblPr>
        <w:tblStyle w:val="Tabelacomgrade"/>
        <w:tblW w:w="9209" w:type="dxa"/>
        <w:tblLook w:val="04A0" w:firstRow="1" w:lastRow="0" w:firstColumn="1" w:lastColumn="0" w:noHBand="0" w:noVBand="1"/>
      </w:tblPr>
      <w:tblGrid>
        <w:gridCol w:w="9209"/>
      </w:tblGrid>
      <w:tr w:rsidR="008F76F3" w:rsidRPr="00A00198" w14:paraId="555D9A9F" w14:textId="77777777" w:rsidTr="00C3667F">
        <w:tc>
          <w:tcPr>
            <w:tcW w:w="9209" w:type="dxa"/>
          </w:tcPr>
          <w:p w14:paraId="01487FDB" w14:textId="28C8C507" w:rsidR="008F76F3" w:rsidRPr="00A00198" w:rsidRDefault="008F76F3" w:rsidP="000C5622">
            <w:pPr>
              <w:spacing w:after="0" w:line="276" w:lineRule="auto"/>
              <w:ind w:firstLine="0"/>
              <w:rPr>
                <w:rFonts w:ascii="Times New Roman" w:eastAsia="Times New Roman" w:hAnsi="Times New Roman" w:cs="Times New Roman"/>
                <w:b/>
                <w:bCs/>
                <w:color w:val="000000"/>
                <w:sz w:val="20"/>
                <w:szCs w:val="20"/>
                <w:lang w:eastAsia="pt-BR"/>
              </w:rPr>
            </w:pPr>
            <w:r w:rsidRPr="00A00198">
              <w:rPr>
                <w:rFonts w:ascii="Times New Roman" w:eastAsia="Times New Roman" w:hAnsi="Times New Roman" w:cs="Times New Roman"/>
                <w:b/>
                <w:bCs/>
                <w:color w:val="000000"/>
                <w:sz w:val="20"/>
                <w:szCs w:val="20"/>
                <w:lang w:eastAsia="pt-BR"/>
              </w:rPr>
              <w:t>3 – REQUISITOS DA CONTRATAÇÃO</w:t>
            </w:r>
            <w:r w:rsidR="00FC4923">
              <w:rPr>
                <w:rFonts w:ascii="Times New Roman" w:eastAsia="Times New Roman" w:hAnsi="Times New Roman" w:cs="Times New Roman"/>
                <w:b/>
                <w:bCs/>
                <w:color w:val="000000"/>
                <w:sz w:val="20"/>
                <w:szCs w:val="20"/>
                <w:lang w:eastAsia="pt-BR"/>
              </w:rPr>
              <w:t>:</w:t>
            </w:r>
          </w:p>
        </w:tc>
      </w:tr>
      <w:tr w:rsidR="008F76F3" w:rsidRPr="00A00198" w14:paraId="71E721F9" w14:textId="77777777" w:rsidTr="00C3667F">
        <w:tc>
          <w:tcPr>
            <w:tcW w:w="9209" w:type="dxa"/>
            <w:shd w:val="clear" w:color="auto" w:fill="F2F2F2" w:themeFill="background1" w:themeFillShade="F2"/>
          </w:tcPr>
          <w:p w14:paraId="0301AA19" w14:textId="3013B864" w:rsidR="008F76F3" w:rsidRPr="00A00198" w:rsidRDefault="008F76F3" w:rsidP="000C5622">
            <w:pPr>
              <w:spacing w:after="0" w:line="276" w:lineRule="auto"/>
              <w:ind w:firstLine="0"/>
              <w:rPr>
                <w:rFonts w:ascii="Times New Roman" w:eastAsia="Times New Roman" w:hAnsi="Times New Roman" w:cs="Times New Roman"/>
                <w:color w:val="000000"/>
                <w:sz w:val="20"/>
                <w:szCs w:val="20"/>
                <w:lang w:eastAsia="pt-BR"/>
              </w:rPr>
            </w:pPr>
            <w:r w:rsidRPr="00A00198">
              <w:rPr>
                <w:rFonts w:ascii="Times New Roman" w:eastAsia="Times New Roman" w:hAnsi="Times New Roman" w:cs="Times New Roman"/>
                <w:bCs/>
                <w:color w:val="000000"/>
                <w:sz w:val="20"/>
                <w:szCs w:val="20"/>
                <w:lang w:eastAsia="pt-BR"/>
              </w:rPr>
              <w:t xml:space="preserve">Fundamentação: </w:t>
            </w:r>
            <w:r w:rsidRPr="00A00198">
              <w:rPr>
                <w:rFonts w:ascii="Times New Roman" w:eastAsia="Times New Roman" w:hAnsi="Times New Roman" w:cs="Times New Roman"/>
                <w:color w:val="000000"/>
                <w:sz w:val="20"/>
                <w:szCs w:val="20"/>
                <w:lang w:eastAsia="pt-BR"/>
              </w:rPr>
              <w:t>Descrição dos requisitos necessários e suficientes à escolha da solução (inciso III do § 1° do art. 18 da Lei 14.133/2021)</w:t>
            </w:r>
            <w:r w:rsidR="00E776F1">
              <w:rPr>
                <w:rFonts w:ascii="Times New Roman" w:eastAsia="Times New Roman" w:hAnsi="Times New Roman" w:cs="Times New Roman"/>
                <w:color w:val="000000"/>
                <w:sz w:val="20"/>
                <w:szCs w:val="20"/>
                <w:lang w:eastAsia="pt-BR"/>
              </w:rPr>
              <w:t>:</w:t>
            </w:r>
          </w:p>
        </w:tc>
      </w:tr>
      <w:tr w:rsidR="008F76F3" w:rsidRPr="00A00198" w14:paraId="23A4E659" w14:textId="77777777" w:rsidTr="00C3667F">
        <w:tc>
          <w:tcPr>
            <w:tcW w:w="9209" w:type="dxa"/>
          </w:tcPr>
          <w:p w14:paraId="7A43CB9A" w14:textId="77777777" w:rsidR="009953EA" w:rsidRPr="009953EA" w:rsidRDefault="009953EA" w:rsidP="009953EA">
            <w:pPr>
              <w:spacing w:after="0" w:line="276" w:lineRule="auto"/>
              <w:ind w:firstLine="596"/>
              <w:rPr>
                <w:rFonts w:ascii="Times New Roman" w:hAnsi="Times New Roman" w:cs="Times New Roman"/>
                <w:sz w:val="20"/>
                <w:szCs w:val="20"/>
              </w:rPr>
            </w:pPr>
            <w:r w:rsidRPr="009953EA">
              <w:rPr>
                <w:rFonts w:ascii="Times New Roman" w:hAnsi="Times New Roman" w:cs="Times New Roman"/>
                <w:sz w:val="20"/>
                <w:szCs w:val="20"/>
              </w:rPr>
              <w:t>A solução deverá assegurar o fornecimento de materiais, componentes, periféricos e equipamentos de informática adequados ao uso institucional, com padrões mínimos de qualidade, desempenho, compatibilidade, durabilidade, garantia e suporte. Os requisitos serão estabelecidos de forma proporcional à natureza de cada item, restringindo-se às condições efetivamente necessárias ao atendimento da Administração e evitando exigências que não agreguem qualidade ou segurança à contratação.</w:t>
            </w:r>
          </w:p>
          <w:p w14:paraId="15E6DED7" w14:textId="77777777" w:rsidR="009953EA" w:rsidRPr="009953EA" w:rsidRDefault="009953EA" w:rsidP="009953EA">
            <w:pPr>
              <w:spacing w:after="0" w:line="276" w:lineRule="auto"/>
              <w:ind w:firstLine="596"/>
              <w:rPr>
                <w:rFonts w:ascii="Times New Roman" w:hAnsi="Times New Roman" w:cs="Times New Roman"/>
                <w:sz w:val="20"/>
                <w:szCs w:val="20"/>
              </w:rPr>
            </w:pPr>
            <w:r w:rsidRPr="009953EA">
              <w:rPr>
                <w:rFonts w:ascii="Times New Roman" w:hAnsi="Times New Roman" w:cs="Times New Roman"/>
                <w:b/>
                <w:bCs/>
                <w:sz w:val="20"/>
                <w:szCs w:val="20"/>
              </w:rPr>
              <w:t>3.1. NATUREZA DA CONTRATAÇÃO:</w:t>
            </w:r>
            <w:r w:rsidRPr="009953EA">
              <w:rPr>
                <w:rFonts w:ascii="Times New Roman" w:hAnsi="Times New Roman" w:cs="Times New Roman"/>
                <w:sz w:val="20"/>
                <w:szCs w:val="20"/>
              </w:rPr>
              <w:t xml:space="preserve"> Os materiais, componentes, periféricos e equipamentos de informática são classificados como bens comuns, nos termos do art. 6º, inciso XIII, da Lei Federal nº 14.133/2021, uma vez que seus padrões de desempenho e qualidade podem ser objetivamente definidos mediante especificações usuais de mercado. Processamento, memória, armazenamento, interfaces, conectividade, resolução, potência, capacidade, autonomia, compatibilidade e demais características relevantes são parâmetros técnicos mensuráveis e comparáveis, não havendo necessidade de avaliação subjetiva para a seleção dos produtos. Esse enquadramento é compatível com a utilização do Pregão para aquisição dos bens pretendidos. </w:t>
            </w:r>
          </w:p>
          <w:p w14:paraId="6C38CA86" w14:textId="03D5F00E" w:rsidR="009953EA" w:rsidRPr="009953EA" w:rsidRDefault="009953EA" w:rsidP="009953EA">
            <w:pPr>
              <w:spacing w:after="0" w:line="276" w:lineRule="auto"/>
              <w:ind w:firstLine="596"/>
              <w:rPr>
                <w:rFonts w:ascii="Times New Roman" w:hAnsi="Times New Roman" w:cs="Times New Roman"/>
                <w:sz w:val="20"/>
                <w:szCs w:val="20"/>
              </w:rPr>
            </w:pPr>
            <w:r w:rsidRPr="009953EA">
              <w:rPr>
                <w:rFonts w:ascii="Times New Roman" w:hAnsi="Times New Roman" w:cs="Times New Roman"/>
                <w:b/>
                <w:bCs/>
                <w:sz w:val="20"/>
                <w:szCs w:val="20"/>
              </w:rPr>
              <w:t>3.2. ESPECIFICAÇÕES TÉCNICAS:</w:t>
            </w:r>
            <w:r w:rsidRPr="009953EA">
              <w:rPr>
                <w:rFonts w:ascii="Times New Roman" w:hAnsi="Times New Roman" w:cs="Times New Roman"/>
                <w:sz w:val="20"/>
                <w:szCs w:val="20"/>
              </w:rPr>
              <w:t xml:space="preserve"> As especificações deverão indicar os requisitos mínimos indispensáveis ao desempenho esperado de cada item, considerando sua finalidade, intensidade de utilização e compatibilidade com a infraestrutura tecnológica existente. Não serão incluídas características meramente acessórias, configurações superiores às necessidades institucionais ou parâmetros que restrinjam injustificadamente a competição.</w:t>
            </w:r>
            <w:r>
              <w:rPr>
                <w:rFonts w:ascii="Times New Roman" w:hAnsi="Times New Roman" w:cs="Times New Roman"/>
                <w:sz w:val="20"/>
                <w:szCs w:val="20"/>
              </w:rPr>
              <w:t xml:space="preserve"> </w:t>
            </w:r>
            <w:r w:rsidRPr="009953EA">
              <w:rPr>
                <w:rFonts w:ascii="Times New Roman" w:hAnsi="Times New Roman" w:cs="Times New Roman"/>
                <w:sz w:val="20"/>
                <w:szCs w:val="20"/>
              </w:rPr>
              <w:t>A compatibilidade será requisito obrigatório quando necessária à integração com equipamentos, componentes, sistemas ou padrões já utilizados pelo Município, evitando aquisição de produtos que exijam adaptações adicionais ou inviabilizem o aproveitamento da infraestrutura existente. Eventuais referências a marcas ou modelos somente serão utilizadas nas hipóteses admitidas pela Lei nº 14.133/2021 e mediante justificativa técnica específica.</w:t>
            </w:r>
          </w:p>
          <w:p w14:paraId="59BE54DD" w14:textId="77777777" w:rsidR="009953EA" w:rsidRPr="009953EA" w:rsidRDefault="009953EA" w:rsidP="009953EA">
            <w:pPr>
              <w:spacing w:after="0" w:line="276" w:lineRule="auto"/>
              <w:ind w:firstLine="596"/>
              <w:rPr>
                <w:rFonts w:ascii="Times New Roman" w:hAnsi="Times New Roman" w:cs="Times New Roman"/>
                <w:sz w:val="20"/>
                <w:szCs w:val="20"/>
              </w:rPr>
            </w:pPr>
            <w:r w:rsidRPr="009953EA">
              <w:rPr>
                <w:rFonts w:ascii="Times New Roman" w:hAnsi="Times New Roman" w:cs="Times New Roman"/>
                <w:sz w:val="20"/>
                <w:szCs w:val="20"/>
              </w:rPr>
              <w:t>Os produtos deverão atender às certificações, homologações e normas técnicas legalmente exigíveis para a respectiva categoria, especialmente quando relacionadas à segurança elétrica, telecomunicações e regular utilização no território nacional. Requisitos de eficiência energética, durabilidade e menor consumo de recursos serão considerados quando pertinentes ao item, sem imposição de certificações ou características sem relação objetiva com a necessidade.</w:t>
            </w:r>
          </w:p>
          <w:p w14:paraId="75E5D3D3" w14:textId="292D1861" w:rsidR="009953EA" w:rsidRPr="009953EA" w:rsidRDefault="009953EA" w:rsidP="009953EA">
            <w:pPr>
              <w:spacing w:after="0" w:line="276" w:lineRule="auto"/>
              <w:ind w:firstLine="596"/>
              <w:rPr>
                <w:rFonts w:ascii="Times New Roman" w:hAnsi="Times New Roman" w:cs="Times New Roman"/>
                <w:sz w:val="20"/>
                <w:szCs w:val="20"/>
              </w:rPr>
            </w:pPr>
            <w:r w:rsidRPr="009953EA">
              <w:rPr>
                <w:rFonts w:ascii="Times New Roman" w:hAnsi="Times New Roman" w:cs="Times New Roman"/>
                <w:b/>
                <w:bCs/>
                <w:sz w:val="20"/>
                <w:szCs w:val="20"/>
              </w:rPr>
              <w:t>3.3. QUALIDADE E CONFORMIDADE DOS PRODUTOS:</w:t>
            </w:r>
            <w:r w:rsidRPr="009953EA">
              <w:rPr>
                <w:rFonts w:ascii="Times New Roman" w:hAnsi="Times New Roman" w:cs="Times New Roman"/>
                <w:sz w:val="20"/>
                <w:szCs w:val="20"/>
              </w:rPr>
              <w:t xml:space="preserve"> </w:t>
            </w:r>
            <w:r w:rsidRPr="009953EA">
              <w:rPr>
                <w:rFonts w:ascii="Times New Roman" w:hAnsi="Times New Roman" w:cs="Times New Roman"/>
                <w:b/>
                <w:bCs/>
                <w:sz w:val="20"/>
                <w:szCs w:val="20"/>
                <w:u w:val="single"/>
              </w:rPr>
              <w:t>Serão aceitos exclusivamente produtos novos, de primeiro uso, sem utilização anterior e pertencentes à linha regular de fabricação ou comercialização, não sendo admitidos bens usados, recuperados, recondicionados ou remanufaturados.</w:t>
            </w:r>
            <w:r w:rsidRPr="009953EA">
              <w:rPr>
                <w:rFonts w:ascii="Times New Roman" w:hAnsi="Times New Roman" w:cs="Times New Roman"/>
                <w:sz w:val="20"/>
                <w:szCs w:val="20"/>
              </w:rPr>
              <w:t xml:space="preserve"> Os produtos deverão ser entregues íntegros e acompanhados dos componentes, cabos, fontes, carregadores, adaptadores e demais acessórios previstos na especificação ou necessários ao seu funcionamento.</w:t>
            </w:r>
            <w:r>
              <w:rPr>
                <w:rFonts w:ascii="Times New Roman" w:hAnsi="Times New Roman" w:cs="Times New Roman"/>
                <w:sz w:val="20"/>
                <w:szCs w:val="20"/>
              </w:rPr>
              <w:t xml:space="preserve"> </w:t>
            </w:r>
            <w:r w:rsidRPr="009953EA">
              <w:rPr>
                <w:rFonts w:ascii="Times New Roman" w:hAnsi="Times New Roman" w:cs="Times New Roman"/>
                <w:sz w:val="20"/>
                <w:szCs w:val="20"/>
              </w:rPr>
              <w:t xml:space="preserve">A marca e o modelo entregues deverão corresponder aos efetivamente ofertados e aceitos no procedimento licitatório. Eventual substituição somente será admitida diante de fato superveniente devidamente comprovado, mediante </w:t>
            </w:r>
            <w:r w:rsidRPr="009953EA">
              <w:rPr>
                <w:rFonts w:ascii="Times New Roman" w:hAnsi="Times New Roman" w:cs="Times New Roman"/>
                <w:sz w:val="20"/>
                <w:szCs w:val="20"/>
              </w:rPr>
              <w:lastRenderedPageBreak/>
              <w:t>autorização prévia da Administração e demonstração de que o produto substituto apresenta características iguais ou superiores, sem acréscimo de preço ou redução da garantia.</w:t>
            </w:r>
          </w:p>
          <w:p w14:paraId="0CFC4BDA" w14:textId="77777777" w:rsidR="009953EA" w:rsidRPr="009953EA" w:rsidRDefault="009953EA" w:rsidP="009953EA">
            <w:pPr>
              <w:spacing w:after="0" w:line="276" w:lineRule="auto"/>
              <w:ind w:firstLine="596"/>
              <w:rPr>
                <w:rFonts w:ascii="Times New Roman" w:hAnsi="Times New Roman" w:cs="Times New Roman"/>
                <w:sz w:val="20"/>
                <w:szCs w:val="20"/>
              </w:rPr>
            </w:pPr>
            <w:r w:rsidRPr="009953EA">
              <w:rPr>
                <w:rFonts w:ascii="Times New Roman" w:hAnsi="Times New Roman" w:cs="Times New Roman"/>
                <w:sz w:val="20"/>
                <w:szCs w:val="20"/>
              </w:rPr>
              <w:t>A comprovação da conformidade será realizada mediante identificação da marca e do modelo e apresentação, pelo licitante provisoriamente vencedor, de catálogo, ficha técnica, manual, página oficial do fabricante ou outro documento idôneo que permita confrontar as características do produto com as exigências do Termo de Referência. Documentos genéricos que não permitam identificar a configuração efetivamente ofertada não serão suficientes.</w:t>
            </w:r>
          </w:p>
          <w:p w14:paraId="22E30BF3" w14:textId="07DCF81F" w:rsidR="009953EA" w:rsidRPr="009953EA" w:rsidRDefault="009953EA" w:rsidP="009953EA">
            <w:pPr>
              <w:spacing w:after="0" w:line="276" w:lineRule="auto"/>
              <w:ind w:firstLine="596"/>
              <w:rPr>
                <w:rFonts w:ascii="Times New Roman" w:hAnsi="Times New Roman" w:cs="Times New Roman"/>
                <w:sz w:val="20"/>
                <w:szCs w:val="20"/>
              </w:rPr>
            </w:pPr>
            <w:r w:rsidRPr="009953EA">
              <w:rPr>
                <w:rFonts w:ascii="Times New Roman" w:hAnsi="Times New Roman" w:cs="Times New Roman"/>
                <w:b/>
                <w:bCs/>
                <w:sz w:val="20"/>
                <w:szCs w:val="20"/>
              </w:rPr>
              <w:t>3.4. AMOSTRAGEM:</w:t>
            </w:r>
            <w:r w:rsidRPr="009953EA">
              <w:rPr>
                <w:rFonts w:ascii="Times New Roman" w:hAnsi="Times New Roman" w:cs="Times New Roman"/>
                <w:sz w:val="20"/>
                <w:szCs w:val="20"/>
              </w:rPr>
              <w:t xml:space="preserve"> </w:t>
            </w:r>
            <w:r w:rsidRPr="009953EA">
              <w:rPr>
                <w:rFonts w:ascii="Times New Roman" w:hAnsi="Times New Roman" w:cs="Times New Roman"/>
                <w:b/>
                <w:bCs/>
                <w:sz w:val="20"/>
                <w:szCs w:val="20"/>
                <w:u w:val="single"/>
              </w:rPr>
              <w:t>A amostra será solicitada ao licitante provisoriamente vencedor quando, após a análise da documentação técnica, permanecer dúvida objetiva quanto ao atendimento de requisito relevante do produto ofertado</w:t>
            </w:r>
            <w:r w:rsidRPr="009953EA">
              <w:rPr>
                <w:rFonts w:ascii="Times New Roman" w:hAnsi="Times New Roman" w:cs="Times New Roman"/>
                <w:sz w:val="20"/>
                <w:szCs w:val="20"/>
              </w:rPr>
              <w:t>, possuindo caráter exclusivamente confirmatório.</w:t>
            </w:r>
            <w:r>
              <w:rPr>
                <w:rFonts w:ascii="Times New Roman" w:hAnsi="Times New Roman" w:cs="Times New Roman"/>
                <w:sz w:val="20"/>
                <w:szCs w:val="20"/>
              </w:rPr>
              <w:t xml:space="preserve"> </w:t>
            </w:r>
            <w:r w:rsidRPr="009953EA">
              <w:rPr>
                <w:rFonts w:ascii="Times New Roman" w:hAnsi="Times New Roman" w:cs="Times New Roman"/>
                <w:sz w:val="20"/>
                <w:szCs w:val="20"/>
              </w:rPr>
              <w:t xml:space="preserve">A convocação deverá identificar o produto e a característica que necessita ser verificada, assegurando avaliação objetiva. A sistemática evita custos desnecessários aos participantes e preserva a possibilidade de verificação material quando a documentação técnica não for suficiente. A Lei nº 14.133/2021 admite expressamente amostra ou prova de conceito, desde que prevista no edital e justificada, limitando-a ao licitante provisoriamente vencedor quando realizada durante o julgamento. </w:t>
            </w:r>
          </w:p>
          <w:p w14:paraId="00D41138" w14:textId="5A2B5F32" w:rsidR="009953EA" w:rsidRPr="009953EA" w:rsidRDefault="009953EA" w:rsidP="009953EA">
            <w:pPr>
              <w:spacing w:after="0" w:line="276" w:lineRule="auto"/>
              <w:ind w:firstLine="596"/>
              <w:rPr>
                <w:rFonts w:ascii="Times New Roman" w:hAnsi="Times New Roman" w:cs="Times New Roman"/>
                <w:sz w:val="20"/>
                <w:szCs w:val="20"/>
              </w:rPr>
            </w:pPr>
            <w:r w:rsidRPr="009953EA">
              <w:rPr>
                <w:rFonts w:ascii="Times New Roman" w:hAnsi="Times New Roman" w:cs="Times New Roman"/>
                <w:b/>
                <w:bCs/>
                <w:sz w:val="20"/>
                <w:szCs w:val="20"/>
              </w:rPr>
              <w:t>3.5. GARANTIA:</w:t>
            </w:r>
            <w:r w:rsidRPr="009953EA">
              <w:rPr>
                <w:rFonts w:ascii="Times New Roman" w:hAnsi="Times New Roman" w:cs="Times New Roman"/>
                <w:sz w:val="20"/>
                <w:szCs w:val="20"/>
              </w:rPr>
              <w:t xml:space="preserve"> Para os equipamentos de maior valor agregado ou relevância operacional, especialmente microcomputadores, notebooks, monitores, nobreaks, projetores, tablets, smartphones, televisores e outros expressamente indicados no Termo de Referência, será exigida </w:t>
            </w:r>
            <w:r w:rsidRPr="009953EA">
              <w:rPr>
                <w:rFonts w:ascii="Times New Roman" w:hAnsi="Times New Roman" w:cs="Times New Roman"/>
                <w:b/>
                <w:bCs/>
                <w:sz w:val="20"/>
                <w:szCs w:val="20"/>
              </w:rPr>
              <w:t>garantia contratual mínima de 12 (doze) meses</w:t>
            </w:r>
            <w:r w:rsidRPr="009953EA">
              <w:rPr>
                <w:rFonts w:ascii="Times New Roman" w:hAnsi="Times New Roman" w:cs="Times New Roman"/>
                <w:sz w:val="20"/>
                <w:szCs w:val="20"/>
              </w:rPr>
              <w:t>, contada do recebimento definitivo, prevalecendo eventual prazo superior oferecido pelo fabricante ou fornecedor.</w:t>
            </w:r>
            <w:r>
              <w:rPr>
                <w:rFonts w:ascii="Times New Roman" w:hAnsi="Times New Roman" w:cs="Times New Roman"/>
                <w:sz w:val="20"/>
                <w:szCs w:val="20"/>
              </w:rPr>
              <w:t xml:space="preserve"> </w:t>
            </w:r>
            <w:r w:rsidRPr="009953EA">
              <w:rPr>
                <w:rFonts w:ascii="Times New Roman" w:hAnsi="Times New Roman" w:cs="Times New Roman"/>
                <w:sz w:val="20"/>
                <w:szCs w:val="20"/>
              </w:rPr>
              <w:t>A exigência busca assegurar período mínimo de confiabilidade compatível com a natureza e o valor dos equipamentos, evitando que defeitos precoces transfiram à Administração custos de reparação incompatíveis com o investimento realizado. Para componentes, acessórios e periféricos de menor valor, os prazos serão definidos de acordo com a natureza do item e as condições usuais do mercado.</w:t>
            </w:r>
          </w:p>
          <w:p w14:paraId="62A534A2" w14:textId="77777777" w:rsidR="009953EA" w:rsidRPr="009953EA" w:rsidRDefault="009953EA" w:rsidP="009953EA">
            <w:pPr>
              <w:spacing w:after="0" w:line="276" w:lineRule="auto"/>
              <w:ind w:firstLine="596"/>
              <w:rPr>
                <w:rFonts w:ascii="Times New Roman" w:hAnsi="Times New Roman" w:cs="Times New Roman"/>
                <w:sz w:val="20"/>
                <w:szCs w:val="20"/>
              </w:rPr>
            </w:pPr>
            <w:r w:rsidRPr="009953EA">
              <w:rPr>
                <w:rFonts w:ascii="Times New Roman" w:hAnsi="Times New Roman" w:cs="Times New Roman"/>
                <w:sz w:val="20"/>
                <w:szCs w:val="20"/>
              </w:rPr>
              <w:t>Durante a garantia contratual, o diagnóstico, reparo, substituição de peças ou do próprio equipamento, transporte, retirada e devolução correrão por conta da fornecedora, sem ônus adicional para o Município. A eventual execução do atendimento diretamente pelo fabricante ou por sua rede autorizada não afastará a responsabilidade da fornecedora pelo cumprimento da obrigação.</w:t>
            </w:r>
          </w:p>
          <w:p w14:paraId="34AB52D7" w14:textId="28C2C643" w:rsidR="009953EA" w:rsidRPr="00290DAA" w:rsidRDefault="009953EA" w:rsidP="009953EA">
            <w:pPr>
              <w:spacing w:after="0" w:line="276" w:lineRule="auto"/>
              <w:ind w:firstLine="596"/>
              <w:rPr>
                <w:rFonts w:ascii="Times New Roman" w:hAnsi="Times New Roman" w:cs="Times New Roman"/>
                <w:sz w:val="20"/>
                <w:szCs w:val="20"/>
              </w:rPr>
            </w:pPr>
            <w:r w:rsidRPr="009953EA">
              <w:rPr>
                <w:rFonts w:ascii="Times New Roman" w:hAnsi="Times New Roman" w:cs="Times New Roman"/>
                <w:b/>
                <w:bCs/>
                <w:sz w:val="20"/>
                <w:szCs w:val="20"/>
              </w:rPr>
              <w:t>3.6. ASSISTÊNCIA TÉCNICA</w:t>
            </w:r>
            <w:r w:rsidRPr="00290DAA">
              <w:rPr>
                <w:rFonts w:ascii="Times New Roman" w:hAnsi="Times New Roman" w:cs="Times New Roman"/>
                <w:b/>
                <w:bCs/>
                <w:sz w:val="20"/>
                <w:szCs w:val="20"/>
              </w:rPr>
              <w:t>:</w:t>
            </w:r>
            <w:r w:rsidRPr="00290DAA">
              <w:rPr>
                <w:rFonts w:ascii="Times New Roman" w:hAnsi="Times New Roman" w:cs="Times New Roman"/>
                <w:sz w:val="20"/>
                <w:szCs w:val="20"/>
              </w:rPr>
              <w:t xml:space="preserve"> Para os equipamentos expressamente definidos no Termo de Referência e cuja indisponibilidade possa comprometer as atividades municipais, será exigida </w:t>
            </w:r>
            <w:r w:rsidRPr="00290DAA">
              <w:rPr>
                <w:rFonts w:ascii="Times New Roman" w:hAnsi="Times New Roman" w:cs="Times New Roman"/>
                <w:b/>
                <w:bCs/>
                <w:sz w:val="20"/>
                <w:szCs w:val="20"/>
              </w:rPr>
              <w:t>assistência técnica do próprio fabricante ou integrante de sua rede oficialmente autorizada, com unidade de atendimento localizada no Estado do Rio Grande do Sul</w:t>
            </w:r>
            <w:r w:rsidRPr="00290DAA">
              <w:rPr>
                <w:rFonts w:ascii="Times New Roman" w:hAnsi="Times New Roman" w:cs="Times New Roman"/>
                <w:sz w:val="20"/>
                <w:szCs w:val="20"/>
              </w:rPr>
              <w:t>. A exigência decorre da necessidade de evitar períodos excessivos de indisponibilidade decorrentes do deslocamento de equipes ou do encaminhamento de equipamentos para assistência situada em outros Estados. A existência de rede regional reduz o tempo de transporte e possibilita resposta mais rápida durante a garantia, aspecto relevante para equipamentos utilizados permanentemente no acesso a sistemas, execução das rotinas administrativas e atendimento dos serviços municipais.</w:t>
            </w:r>
          </w:p>
          <w:p w14:paraId="2B95C445" w14:textId="77777777" w:rsidR="009953EA" w:rsidRPr="00290DAA" w:rsidRDefault="009953EA" w:rsidP="009953EA">
            <w:pPr>
              <w:spacing w:after="0" w:line="276" w:lineRule="auto"/>
              <w:ind w:firstLine="596"/>
              <w:rPr>
                <w:rFonts w:ascii="Times New Roman" w:hAnsi="Times New Roman" w:cs="Times New Roman"/>
                <w:sz w:val="20"/>
                <w:szCs w:val="20"/>
              </w:rPr>
            </w:pPr>
            <w:r w:rsidRPr="00290DAA">
              <w:rPr>
                <w:rFonts w:ascii="Times New Roman" w:hAnsi="Times New Roman" w:cs="Times New Roman"/>
                <w:sz w:val="20"/>
                <w:szCs w:val="20"/>
              </w:rPr>
              <w:t xml:space="preserve">O requisito não exige que a licitante possua sede ou estabelecimento no Rio Grande do Sul, incidindo exclusivamente sobre a estrutura de assistência disponível para o produto ofertado. </w:t>
            </w:r>
            <w:r w:rsidRPr="00290DAA">
              <w:rPr>
                <w:rFonts w:ascii="Times New Roman" w:hAnsi="Times New Roman" w:cs="Times New Roman"/>
                <w:b/>
                <w:bCs/>
                <w:sz w:val="20"/>
                <w:szCs w:val="20"/>
              </w:rPr>
              <w:t>O atendimento deverá ser iniciado em até 2 (dois) dias úteis após a abertura formal do chamado</w:t>
            </w:r>
            <w:r w:rsidRPr="00290DAA">
              <w:rPr>
                <w:rFonts w:ascii="Times New Roman" w:hAnsi="Times New Roman" w:cs="Times New Roman"/>
                <w:sz w:val="20"/>
                <w:szCs w:val="20"/>
              </w:rPr>
              <w:t>, mediante atendimento técnico ou adoção das providências necessárias à retirada, coleta ou encaminhamento do equipamento.</w:t>
            </w:r>
          </w:p>
          <w:p w14:paraId="6683326E" w14:textId="5B922BD6" w:rsidR="009953EA" w:rsidRPr="00290DAA" w:rsidRDefault="009953EA" w:rsidP="009953EA">
            <w:pPr>
              <w:spacing w:after="0" w:line="276" w:lineRule="auto"/>
              <w:ind w:firstLine="596"/>
              <w:rPr>
                <w:rFonts w:ascii="Times New Roman" w:hAnsi="Times New Roman" w:cs="Times New Roman"/>
                <w:sz w:val="20"/>
                <w:szCs w:val="20"/>
              </w:rPr>
            </w:pPr>
            <w:r w:rsidRPr="00290DAA">
              <w:rPr>
                <w:rFonts w:ascii="Times New Roman" w:hAnsi="Times New Roman" w:cs="Times New Roman"/>
                <w:sz w:val="20"/>
                <w:szCs w:val="20"/>
              </w:rPr>
              <w:t>A exigência ficará restrita aos equipamentos em que a manutenção durante a garantia possua relevância técnica e econômica, não sendo aplicada a cabos, adaptadores, pequenos periféricos e produtos de reduzido valor cuja substituição seja mais adequada que o reparo. Essa delimitação vincula a restrição territorial ao resultado efetivamente pretendido e preserva a competitividade. A existência da rede autorizada deverá ser comprovável por informação oficial do fabricante, relação de estabelecimentos credenciados, declaração do fabricante ou outro documento idôneo.</w:t>
            </w:r>
          </w:p>
          <w:p w14:paraId="79E164AA" w14:textId="0A52025F" w:rsidR="009953EA" w:rsidRPr="009953EA" w:rsidRDefault="009953EA" w:rsidP="009953EA">
            <w:pPr>
              <w:spacing w:after="0" w:line="276" w:lineRule="auto"/>
              <w:ind w:firstLine="596"/>
              <w:rPr>
                <w:rFonts w:ascii="Times New Roman" w:hAnsi="Times New Roman" w:cs="Times New Roman"/>
                <w:sz w:val="20"/>
                <w:szCs w:val="20"/>
              </w:rPr>
            </w:pPr>
            <w:r w:rsidRPr="009953EA">
              <w:rPr>
                <w:rFonts w:ascii="Times New Roman" w:hAnsi="Times New Roman" w:cs="Times New Roman"/>
                <w:b/>
                <w:bCs/>
                <w:sz w:val="20"/>
                <w:szCs w:val="20"/>
              </w:rPr>
              <w:t>3.7. FORMA E CONDIÇÕES DE FORNECIMENTO:</w:t>
            </w:r>
            <w:r w:rsidRPr="009953EA">
              <w:rPr>
                <w:rFonts w:ascii="Times New Roman" w:hAnsi="Times New Roman" w:cs="Times New Roman"/>
                <w:sz w:val="20"/>
                <w:szCs w:val="20"/>
              </w:rPr>
              <w:t xml:space="preserve"> O atendimento da demanda deverá ocorrer de forma futura, eventual e parcelada, em razão da impossibilidade de determinar previamente o momento exato em que ocorrerão as necessidades de reposição, manutenção ou ampliação da infraestrutura tecnológica. O fornecimento será formalizado mediante Ordem de Compra, Nota de Empenho ou instrumento equivalente, conforme os quantitativos efetivamente necessários. Será adotado prazo máximo geral de </w:t>
            </w:r>
            <w:r w:rsidRPr="009953EA">
              <w:rPr>
                <w:rFonts w:ascii="Times New Roman" w:hAnsi="Times New Roman" w:cs="Times New Roman"/>
                <w:b/>
                <w:bCs/>
                <w:sz w:val="20"/>
                <w:szCs w:val="20"/>
              </w:rPr>
              <w:t>15 (quinze) dias</w:t>
            </w:r>
            <w:r w:rsidRPr="009953EA">
              <w:rPr>
                <w:rFonts w:ascii="Times New Roman" w:hAnsi="Times New Roman" w:cs="Times New Roman"/>
                <w:sz w:val="20"/>
                <w:szCs w:val="20"/>
              </w:rPr>
              <w:t xml:space="preserve"> para entrega, contado do recebimento da solicitação pela fornecedora, admitindo-se prazo específico para determinado item quando suas características e as condições normais de mercado justificarem tratamento diferenciado.</w:t>
            </w:r>
          </w:p>
          <w:p w14:paraId="56DFB59B" w14:textId="77777777" w:rsidR="009953EA" w:rsidRPr="009953EA" w:rsidRDefault="009953EA" w:rsidP="009953EA">
            <w:pPr>
              <w:spacing w:after="0" w:line="276" w:lineRule="auto"/>
              <w:ind w:firstLine="596"/>
              <w:rPr>
                <w:rFonts w:ascii="Times New Roman" w:hAnsi="Times New Roman" w:cs="Times New Roman"/>
                <w:sz w:val="20"/>
                <w:szCs w:val="20"/>
              </w:rPr>
            </w:pPr>
            <w:r w:rsidRPr="009953EA">
              <w:rPr>
                <w:rFonts w:ascii="Times New Roman" w:hAnsi="Times New Roman" w:cs="Times New Roman"/>
                <w:sz w:val="20"/>
                <w:szCs w:val="20"/>
              </w:rPr>
              <w:t>Os preços deverão compreender todos os custos necessários à entrega dos produtos nos locais indicados pela Administração, inclusive embalagem, frete, transporte, carga, descarga, seguros, tributos e acessórios integrantes do fornecimento.</w:t>
            </w:r>
          </w:p>
          <w:p w14:paraId="5F46F238" w14:textId="77777777" w:rsidR="009953EA" w:rsidRPr="009953EA" w:rsidRDefault="009953EA" w:rsidP="009953EA">
            <w:pPr>
              <w:spacing w:after="0" w:line="276" w:lineRule="auto"/>
              <w:ind w:firstLine="596"/>
              <w:rPr>
                <w:rFonts w:ascii="Times New Roman" w:hAnsi="Times New Roman" w:cs="Times New Roman"/>
                <w:sz w:val="20"/>
                <w:szCs w:val="20"/>
              </w:rPr>
            </w:pPr>
            <w:r w:rsidRPr="009953EA">
              <w:rPr>
                <w:rFonts w:ascii="Times New Roman" w:hAnsi="Times New Roman" w:cs="Times New Roman"/>
                <w:sz w:val="20"/>
                <w:szCs w:val="20"/>
              </w:rPr>
              <w:t xml:space="preserve">A solução será operacionalizada mediante </w:t>
            </w:r>
            <w:r w:rsidRPr="009953EA">
              <w:rPr>
                <w:rFonts w:ascii="Times New Roman" w:hAnsi="Times New Roman" w:cs="Times New Roman"/>
                <w:b/>
                <w:bCs/>
                <w:sz w:val="20"/>
                <w:szCs w:val="20"/>
              </w:rPr>
              <w:t>Sistema de Registro de Preços</w:t>
            </w:r>
            <w:r w:rsidRPr="009953EA">
              <w:rPr>
                <w:rFonts w:ascii="Times New Roman" w:hAnsi="Times New Roman" w:cs="Times New Roman"/>
                <w:sz w:val="20"/>
                <w:szCs w:val="20"/>
              </w:rPr>
              <w:t>, considerando o caráter variável e parcelado das demandas e a conveniência de evitar estoques excessivos de produtos sujeitos à evolução tecnológica. Os quantitativos registrados constituirão limites máximos estimados e não implicarão obrigação de aquisição integral. A Lei estabelece que a existência de preços registrados não obriga a Administração a contratar e fixa vigência de um ano para a Ata, prorrogável por igual período mediante comprovação de preço vantajoso.</w:t>
            </w:r>
          </w:p>
          <w:p w14:paraId="06A7B8EE" w14:textId="4BB7539E" w:rsidR="005D23E4" w:rsidRPr="005D23E4" w:rsidRDefault="005D23E4" w:rsidP="005D23E4">
            <w:pPr>
              <w:spacing w:after="0" w:line="276" w:lineRule="auto"/>
              <w:ind w:firstLine="596"/>
              <w:rPr>
                <w:rFonts w:ascii="Times New Roman" w:hAnsi="Times New Roman" w:cs="Times New Roman"/>
                <w:sz w:val="20"/>
                <w:szCs w:val="20"/>
              </w:rPr>
            </w:pPr>
            <w:r w:rsidRPr="005D23E4">
              <w:rPr>
                <w:rFonts w:ascii="Times New Roman" w:hAnsi="Times New Roman" w:cs="Times New Roman"/>
                <w:b/>
                <w:bCs/>
                <w:sz w:val="20"/>
                <w:szCs w:val="20"/>
              </w:rPr>
              <w:t>3.</w:t>
            </w:r>
            <w:r w:rsidR="009953EA">
              <w:rPr>
                <w:rFonts w:ascii="Times New Roman" w:hAnsi="Times New Roman" w:cs="Times New Roman"/>
                <w:b/>
                <w:bCs/>
                <w:sz w:val="20"/>
                <w:szCs w:val="20"/>
              </w:rPr>
              <w:t>8</w:t>
            </w:r>
            <w:r w:rsidRPr="005D23E4">
              <w:rPr>
                <w:rFonts w:ascii="Times New Roman" w:hAnsi="Times New Roman" w:cs="Times New Roman"/>
                <w:b/>
                <w:bCs/>
                <w:sz w:val="20"/>
                <w:szCs w:val="20"/>
              </w:rPr>
              <w:t>. DA HABILITAÇÃO:</w:t>
            </w:r>
            <w:r w:rsidRPr="005D23E4">
              <w:rPr>
                <w:rFonts w:ascii="Times New Roman" w:hAnsi="Times New Roman" w:cs="Times New Roman"/>
                <w:sz w:val="20"/>
                <w:szCs w:val="20"/>
              </w:rPr>
              <w:t xml:space="preserve"> Para fins de habilitação, deverão ser exigidos somente os documentos necessários e suficientes à comprovação da capacidade do licitante para executar o objeto, observadas as categorias de habilitação jurídica, técnica, fiscal, social, trabalhista e econômico-financeira previstas nos </w:t>
            </w:r>
            <w:proofErr w:type="spellStart"/>
            <w:r w:rsidRPr="005D23E4">
              <w:rPr>
                <w:rFonts w:ascii="Times New Roman" w:hAnsi="Times New Roman" w:cs="Times New Roman"/>
                <w:sz w:val="20"/>
                <w:szCs w:val="20"/>
              </w:rPr>
              <w:t>arts</w:t>
            </w:r>
            <w:proofErr w:type="spellEnd"/>
            <w:r w:rsidRPr="005D23E4">
              <w:rPr>
                <w:rFonts w:ascii="Times New Roman" w:hAnsi="Times New Roman" w:cs="Times New Roman"/>
                <w:sz w:val="20"/>
                <w:szCs w:val="20"/>
              </w:rPr>
              <w:t xml:space="preserve">. 62 a 70 da Lei Federal nº 14.133/2021. </w:t>
            </w:r>
          </w:p>
          <w:p w14:paraId="0907F52A" w14:textId="77777777" w:rsidR="009953EA" w:rsidRPr="009953EA" w:rsidRDefault="00983197" w:rsidP="009953EA">
            <w:pPr>
              <w:autoSpaceDE w:val="0"/>
              <w:autoSpaceDN w:val="0"/>
              <w:adjustRightInd w:val="0"/>
              <w:spacing w:after="0"/>
              <w:rPr>
                <w:rFonts w:ascii="Times New Roman" w:eastAsia="Arial Unicode MS" w:hAnsi="Times New Roman" w:cs="Times New Roman"/>
                <w:color w:val="000000" w:themeColor="text1"/>
                <w:sz w:val="20"/>
                <w:szCs w:val="20"/>
                <w:lang w:eastAsia="pt-BR"/>
              </w:rPr>
            </w:pPr>
            <w:r>
              <w:rPr>
                <w:rFonts w:ascii="Arial Unicode MS" w:eastAsia="Arial Unicode MS" w:hAnsi="Arial Unicode MS" w:cs="Arial Unicode MS"/>
                <w:sz w:val="20"/>
                <w:szCs w:val="20"/>
                <w:lang w:eastAsia="pt-BR"/>
              </w:rPr>
              <w:tab/>
            </w:r>
            <w:r w:rsidRPr="009953EA">
              <w:rPr>
                <w:rFonts w:ascii="Times New Roman" w:eastAsia="Arial Unicode MS" w:hAnsi="Times New Roman" w:cs="Times New Roman"/>
                <w:color w:val="000000" w:themeColor="text1"/>
                <w:sz w:val="20"/>
                <w:szCs w:val="20"/>
                <w:lang w:eastAsia="pt-BR"/>
              </w:rPr>
              <w:tab/>
              <w:t xml:space="preserve">a) </w:t>
            </w:r>
            <w:r w:rsidR="009953EA" w:rsidRPr="009953EA">
              <w:rPr>
                <w:rFonts w:ascii="Times New Roman" w:eastAsia="Arial Unicode MS" w:hAnsi="Times New Roman" w:cs="Times New Roman"/>
                <w:color w:val="000000" w:themeColor="text1"/>
                <w:sz w:val="20"/>
                <w:szCs w:val="20"/>
                <w:lang w:eastAsia="pt-BR"/>
              </w:rPr>
              <w:t>HABILITAÇÃO JURÍDICA:</w:t>
            </w:r>
          </w:p>
          <w:p w14:paraId="21F5C930" w14:textId="77777777" w:rsidR="009953EA" w:rsidRPr="009953EA" w:rsidRDefault="009953EA" w:rsidP="009953EA">
            <w:pPr>
              <w:autoSpaceDE w:val="0"/>
              <w:autoSpaceDN w:val="0"/>
              <w:adjustRightInd w:val="0"/>
              <w:spacing w:after="0"/>
              <w:ind w:firstLine="1725"/>
              <w:rPr>
                <w:rFonts w:ascii="Times New Roman" w:eastAsia="Arial Unicode MS" w:hAnsi="Times New Roman" w:cs="Times New Roman"/>
                <w:color w:val="000000" w:themeColor="text1"/>
                <w:sz w:val="20"/>
                <w:szCs w:val="20"/>
                <w:lang w:eastAsia="pt-BR"/>
              </w:rPr>
            </w:pPr>
            <w:r w:rsidRPr="009953EA">
              <w:rPr>
                <w:rFonts w:ascii="Times New Roman" w:eastAsia="Arial Unicode MS" w:hAnsi="Times New Roman" w:cs="Times New Roman"/>
                <w:color w:val="000000" w:themeColor="text1"/>
                <w:sz w:val="20"/>
                <w:szCs w:val="20"/>
                <w:lang w:eastAsia="pt-BR"/>
              </w:rPr>
              <w:t xml:space="preserve">- </w:t>
            </w:r>
            <w:r w:rsidR="00983197" w:rsidRPr="009953EA">
              <w:rPr>
                <w:rFonts w:ascii="Times New Roman" w:eastAsia="Arial Unicode MS" w:hAnsi="Times New Roman" w:cs="Times New Roman"/>
                <w:color w:val="000000" w:themeColor="text1"/>
                <w:sz w:val="20"/>
                <w:szCs w:val="20"/>
                <w:lang w:eastAsia="pt-BR"/>
              </w:rPr>
              <w:t>Certificado de Condição de Microempreendedor Individual (CCMEI): emitido pelo MEI através do Portal do Empreendedor;</w:t>
            </w:r>
          </w:p>
          <w:p w14:paraId="75B1CFF9" w14:textId="77777777" w:rsidR="009953EA" w:rsidRPr="009953EA" w:rsidRDefault="009953EA" w:rsidP="009953EA">
            <w:pPr>
              <w:autoSpaceDE w:val="0"/>
              <w:autoSpaceDN w:val="0"/>
              <w:adjustRightInd w:val="0"/>
              <w:spacing w:after="0"/>
              <w:ind w:firstLine="1725"/>
              <w:rPr>
                <w:rFonts w:ascii="Times New Roman" w:eastAsia="Arial Unicode MS" w:hAnsi="Times New Roman" w:cs="Times New Roman"/>
                <w:color w:val="000000" w:themeColor="text1"/>
                <w:sz w:val="20"/>
                <w:szCs w:val="20"/>
                <w:lang w:eastAsia="pt-BR"/>
              </w:rPr>
            </w:pPr>
            <w:r w:rsidRPr="009953EA">
              <w:rPr>
                <w:rFonts w:ascii="Times New Roman" w:eastAsia="Arial Unicode MS" w:hAnsi="Times New Roman" w:cs="Times New Roman"/>
                <w:color w:val="000000" w:themeColor="text1"/>
                <w:sz w:val="20"/>
                <w:szCs w:val="20"/>
                <w:lang w:eastAsia="pt-BR"/>
              </w:rPr>
              <w:t xml:space="preserve">- </w:t>
            </w:r>
            <w:r w:rsidR="00983197" w:rsidRPr="009953EA">
              <w:rPr>
                <w:rFonts w:ascii="Times New Roman" w:eastAsia="Arial Unicode MS" w:hAnsi="Times New Roman" w:cs="Times New Roman"/>
                <w:color w:val="000000" w:themeColor="text1"/>
                <w:sz w:val="20"/>
                <w:szCs w:val="20"/>
                <w:lang w:eastAsia="pt-BR"/>
              </w:rPr>
              <w:t>Cópia do registro comercial, no caso de empresa individual;</w:t>
            </w:r>
          </w:p>
          <w:p w14:paraId="64C5E5E7" w14:textId="77777777" w:rsidR="009953EA" w:rsidRPr="009953EA" w:rsidRDefault="009953EA" w:rsidP="009953EA">
            <w:pPr>
              <w:autoSpaceDE w:val="0"/>
              <w:autoSpaceDN w:val="0"/>
              <w:adjustRightInd w:val="0"/>
              <w:spacing w:after="0"/>
              <w:ind w:firstLine="1725"/>
              <w:rPr>
                <w:rFonts w:ascii="Times New Roman" w:eastAsia="Arial Unicode MS" w:hAnsi="Times New Roman" w:cs="Times New Roman"/>
                <w:color w:val="000000" w:themeColor="text1"/>
                <w:sz w:val="20"/>
                <w:szCs w:val="20"/>
                <w:lang w:eastAsia="pt-BR"/>
              </w:rPr>
            </w:pPr>
            <w:r w:rsidRPr="009953EA">
              <w:rPr>
                <w:rFonts w:ascii="Times New Roman" w:eastAsia="Arial Unicode MS" w:hAnsi="Times New Roman" w:cs="Times New Roman"/>
                <w:color w:val="000000" w:themeColor="text1"/>
                <w:sz w:val="20"/>
                <w:szCs w:val="20"/>
                <w:lang w:eastAsia="pt-BR"/>
              </w:rPr>
              <w:t xml:space="preserve">- </w:t>
            </w:r>
            <w:r w:rsidR="00983197" w:rsidRPr="009953EA">
              <w:rPr>
                <w:rFonts w:ascii="Times New Roman" w:eastAsia="Arial Unicode MS" w:hAnsi="Times New Roman" w:cs="Times New Roman"/>
                <w:color w:val="000000" w:themeColor="text1"/>
                <w:sz w:val="20"/>
                <w:szCs w:val="20"/>
                <w:lang w:eastAsia="pt-BR"/>
              </w:rPr>
              <w:t>Cópia do ato constitutivo, estatuto ou contrato social em vigor, devidamente registrado, em se tratando de sociedades comerciais, e, no caso de sociedade por ações, acompanhado de documentos de eleição de seus administradores; ou</w:t>
            </w:r>
          </w:p>
          <w:p w14:paraId="595C7CD3" w14:textId="2043D572" w:rsidR="00983197" w:rsidRPr="009953EA" w:rsidRDefault="009953EA" w:rsidP="009953EA">
            <w:pPr>
              <w:autoSpaceDE w:val="0"/>
              <w:autoSpaceDN w:val="0"/>
              <w:adjustRightInd w:val="0"/>
              <w:spacing w:after="0"/>
              <w:ind w:firstLine="1725"/>
              <w:rPr>
                <w:rFonts w:ascii="Times New Roman" w:eastAsia="Arial Unicode MS" w:hAnsi="Times New Roman" w:cs="Times New Roman"/>
                <w:color w:val="000000" w:themeColor="text1"/>
                <w:sz w:val="20"/>
                <w:szCs w:val="20"/>
                <w:lang w:eastAsia="pt-BR"/>
              </w:rPr>
            </w:pPr>
            <w:r w:rsidRPr="009953EA">
              <w:rPr>
                <w:rFonts w:ascii="Times New Roman" w:eastAsia="Arial Unicode MS" w:hAnsi="Times New Roman" w:cs="Times New Roman"/>
                <w:color w:val="000000" w:themeColor="text1"/>
                <w:sz w:val="20"/>
                <w:szCs w:val="20"/>
                <w:lang w:eastAsia="pt-BR"/>
              </w:rPr>
              <w:t xml:space="preserve">- </w:t>
            </w:r>
            <w:r w:rsidR="00983197" w:rsidRPr="009953EA">
              <w:rPr>
                <w:rFonts w:ascii="Times New Roman" w:eastAsia="Arial Unicode MS" w:hAnsi="Times New Roman" w:cs="Times New Roman"/>
                <w:color w:val="000000" w:themeColor="text1"/>
                <w:sz w:val="20"/>
                <w:szCs w:val="20"/>
                <w:lang w:eastAsia="pt-BR"/>
              </w:rPr>
              <w:t>Cópia do decreto de autorização, em se tratando de empresa ou sociedade estrangeira em funcionamento no País, e ato de registro ou autorização para funcionamento expedido pelo órgão competente, quando a atividade assim o exigir.</w:t>
            </w:r>
          </w:p>
          <w:p w14:paraId="08AB2E2D" w14:textId="31F5C881" w:rsidR="00983197" w:rsidRPr="009953EA" w:rsidRDefault="009953EA" w:rsidP="009953EA">
            <w:pPr>
              <w:autoSpaceDE w:val="0"/>
              <w:autoSpaceDN w:val="0"/>
              <w:adjustRightInd w:val="0"/>
              <w:spacing w:after="0"/>
              <w:ind w:firstLine="1418"/>
              <w:rPr>
                <w:rFonts w:ascii="Times New Roman" w:eastAsia="Arial Unicode MS" w:hAnsi="Times New Roman" w:cs="Times New Roman"/>
                <w:color w:val="000000" w:themeColor="text1"/>
                <w:sz w:val="20"/>
                <w:szCs w:val="20"/>
                <w:lang w:eastAsia="pt-BR"/>
              </w:rPr>
            </w:pPr>
            <w:r w:rsidRPr="009953EA">
              <w:rPr>
                <w:rFonts w:ascii="Times New Roman" w:eastAsia="Arial Unicode MS" w:hAnsi="Times New Roman" w:cs="Times New Roman"/>
                <w:color w:val="000000" w:themeColor="text1"/>
                <w:sz w:val="20"/>
                <w:szCs w:val="20"/>
                <w:lang w:eastAsia="pt-BR"/>
              </w:rPr>
              <w:t>b</w:t>
            </w:r>
            <w:r w:rsidR="00983197" w:rsidRPr="009953EA">
              <w:rPr>
                <w:rFonts w:ascii="Times New Roman" w:eastAsia="Arial Unicode MS" w:hAnsi="Times New Roman" w:cs="Times New Roman"/>
                <w:color w:val="000000" w:themeColor="text1"/>
                <w:sz w:val="20"/>
                <w:szCs w:val="20"/>
                <w:lang w:eastAsia="pt-BR"/>
              </w:rPr>
              <w:t xml:space="preserve">) Alvará de Localização e Funcionamento fornecido pelo Município do estabelecimento ou comprovante equivalente (Documento de Inscrição Municipal); </w:t>
            </w:r>
          </w:p>
          <w:p w14:paraId="52ECF784" w14:textId="2B5D9DCB" w:rsidR="00983197" w:rsidRPr="009953EA" w:rsidRDefault="009953EA" w:rsidP="009953EA">
            <w:pPr>
              <w:autoSpaceDE w:val="0"/>
              <w:autoSpaceDN w:val="0"/>
              <w:adjustRightInd w:val="0"/>
              <w:spacing w:after="0"/>
              <w:ind w:firstLine="1418"/>
              <w:rPr>
                <w:rFonts w:ascii="Times New Roman" w:eastAsia="Arial Unicode MS" w:hAnsi="Times New Roman" w:cs="Times New Roman"/>
                <w:color w:val="000000" w:themeColor="text1"/>
                <w:sz w:val="20"/>
                <w:szCs w:val="20"/>
                <w:lang w:eastAsia="pt-BR"/>
              </w:rPr>
            </w:pPr>
            <w:r w:rsidRPr="009953EA">
              <w:rPr>
                <w:rFonts w:ascii="Times New Roman" w:eastAsia="Arial Unicode MS" w:hAnsi="Times New Roman" w:cs="Times New Roman"/>
                <w:color w:val="000000" w:themeColor="text1"/>
                <w:sz w:val="20"/>
                <w:szCs w:val="20"/>
                <w:lang w:eastAsia="pt-BR"/>
              </w:rPr>
              <w:t>c</w:t>
            </w:r>
            <w:r w:rsidR="00983197" w:rsidRPr="009953EA">
              <w:rPr>
                <w:rFonts w:ascii="Times New Roman" w:eastAsia="Arial Unicode MS" w:hAnsi="Times New Roman" w:cs="Times New Roman"/>
                <w:color w:val="000000" w:themeColor="text1"/>
                <w:sz w:val="20"/>
                <w:szCs w:val="20"/>
                <w:lang w:eastAsia="pt-BR"/>
              </w:rPr>
              <w:t>) Ficha técnica detalhada dos materiais e equipamentos de informática, em nome do fabricante, contendo as especificações técnicas completas dos itens ofertados.</w:t>
            </w:r>
          </w:p>
          <w:p w14:paraId="67E06C60" w14:textId="1F019A99" w:rsidR="00983197" w:rsidRPr="009953EA" w:rsidRDefault="00983197" w:rsidP="009953EA">
            <w:pPr>
              <w:autoSpaceDE w:val="0"/>
              <w:autoSpaceDN w:val="0"/>
              <w:adjustRightInd w:val="0"/>
              <w:spacing w:after="0"/>
              <w:rPr>
                <w:rFonts w:ascii="Times New Roman" w:eastAsia="Arial Unicode MS" w:hAnsi="Times New Roman" w:cs="Times New Roman"/>
                <w:bCs/>
                <w:color w:val="000000" w:themeColor="text1"/>
                <w:sz w:val="20"/>
                <w:szCs w:val="20"/>
                <w:lang w:eastAsia="pt-BR"/>
              </w:rPr>
            </w:pPr>
            <w:r w:rsidRPr="009953EA">
              <w:rPr>
                <w:rFonts w:ascii="Times New Roman" w:eastAsia="Arial Unicode MS" w:hAnsi="Times New Roman" w:cs="Times New Roman"/>
                <w:color w:val="000000" w:themeColor="text1"/>
                <w:sz w:val="20"/>
                <w:szCs w:val="20"/>
                <w:lang w:eastAsia="pt-BR"/>
              </w:rPr>
              <w:tab/>
            </w:r>
            <w:r w:rsidRPr="009953EA">
              <w:rPr>
                <w:rFonts w:ascii="Times New Roman" w:eastAsia="Arial Unicode MS" w:hAnsi="Times New Roman" w:cs="Times New Roman"/>
                <w:color w:val="000000" w:themeColor="text1"/>
                <w:sz w:val="20"/>
                <w:szCs w:val="20"/>
                <w:lang w:eastAsia="pt-BR"/>
              </w:rPr>
              <w:tab/>
            </w:r>
            <w:r w:rsidR="009953EA" w:rsidRPr="009953EA">
              <w:rPr>
                <w:rFonts w:ascii="Times New Roman" w:eastAsia="Arial Unicode MS" w:hAnsi="Times New Roman" w:cs="Times New Roman"/>
                <w:color w:val="000000" w:themeColor="text1"/>
                <w:sz w:val="20"/>
                <w:szCs w:val="20"/>
                <w:lang w:eastAsia="pt-BR"/>
              </w:rPr>
              <w:t>d</w:t>
            </w:r>
            <w:r w:rsidRPr="009953EA">
              <w:rPr>
                <w:rFonts w:ascii="Times New Roman" w:eastAsia="Arial Unicode MS" w:hAnsi="Times New Roman" w:cs="Times New Roman"/>
                <w:bCs/>
                <w:color w:val="000000" w:themeColor="text1"/>
                <w:sz w:val="20"/>
                <w:szCs w:val="20"/>
                <w:lang w:eastAsia="pt-BR"/>
              </w:rPr>
              <w:t xml:space="preserve">) Prova de inscrição no </w:t>
            </w:r>
            <w:hyperlink r:id="rId8" w:history="1">
              <w:r w:rsidRPr="009953EA">
                <w:rPr>
                  <w:rStyle w:val="Hyperlink"/>
                  <w:rFonts w:ascii="Times New Roman" w:eastAsia="Arial Unicode MS" w:hAnsi="Times New Roman" w:cs="Times New Roman"/>
                  <w:bCs/>
                  <w:color w:val="000000" w:themeColor="text1"/>
                  <w:sz w:val="20"/>
                  <w:szCs w:val="20"/>
                  <w:u w:val="none"/>
                  <w:lang w:eastAsia="pt-BR"/>
                </w:rPr>
                <w:t>Cadastro Nacional de Pessoa jurídica – CNPJ</w:t>
              </w:r>
            </w:hyperlink>
            <w:r w:rsidRPr="009953EA">
              <w:rPr>
                <w:rFonts w:ascii="Times New Roman" w:eastAsia="Arial Unicode MS" w:hAnsi="Times New Roman" w:cs="Times New Roman"/>
                <w:bCs/>
                <w:color w:val="000000" w:themeColor="text1"/>
                <w:sz w:val="20"/>
                <w:szCs w:val="20"/>
                <w:lang w:eastAsia="pt-BR"/>
              </w:rPr>
              <w:t>, extraída via internet, com data de emissão não superior a 90 (noventa) dias;</w:t>
            </w:r>
          </w:p>
          <w:p w14:paraId="27AA8E85" w14:textId="2E9B0F75" w:rsidR="00983197" w:rsidRPr="009953EA" w:rsidRDefault="00983197" w:rsidP="009953EA">
            <w:pPr>
              <w:autoSpaceDE w:val="0"/>
              <w:autoSpaceDN w:val="0"/>
              <w:adjustRightInd w:val="0"/>
              <w:spacing w:after="0"/>
              <w:rPr>
                <w:rFonts w:ascii="Times New Roman" w:eastAsia="Arial Unicode MS" w:hAnsi="Times New Roman" w:cs="Times New Roman"/>
                <w:bCs/>
                <w:color w:val="000000" w:themeColor="text1"/>
                <w:sz w:val="20"/>
                <w:szCs w:val="20"/>
                <w:lang w:eastAsia="pt-BR"/>
              </w:rPr>
            </w:pPr>
            <w:r w:rsidRPr="009953EA">
              <w:rPr>
                <w:rFonts w:ascii="Times New Roman" w:eastAsia="Arial Unicode MS" w:hAnsi="Times New Roman" w:cs="Times New Roman"/>
                <w:bCs/>
                <w:color w:val="000000" w:themeColor="text1"/>
                <w:sz w:val="20"/>
                <w:szCs w:val="20"/>
                <w:lang w:eastAsia="pt-BR"/>
              </w:rPr>
              <w:tab/>
            </w:r>
            <w:r w:rsidRPr="009953EA">
              <w:rPr>
                <w:rFonts w:ascii="Times New Roman" w:eastAsia="Arial Unicode MS" w:hAnsi="Times New Roman" w:cs="Times New Roman"/>
                <w:bCs/>
                <w:color w:val="000000" w:themeColor="text1"/>
                <w:sz w:val="20"/>
                <w:szCs w:val="20"/>
                <w:lang w:eastAsia="pt-BR"/>
              </w:rPr>
              <w:tab/>
            </w:r>
            <w:r w:rsidR="009953EA" w:rsidRPr="009953EA">
              <w:rPr>
                <w:rFonts w:ascii="Times New Roman" w:eastAsia="Arial Unicode MS" w:hAnsi="Times New Roman" w:cs="Times New Roman"/>
                <w:bCs/>
                <w:color w:val="000000" w:themeColor="text1"/>
                <w:sz w:val="20"/>
                <w:szCs w:val="20"/>
                <w:lang w:eastAsia="pt-BR"/>
              </w:rPr>
              <w:t>e</w:t>
            </w:r>
            <w:r w:rsidRPr="009953EA">
              <w:rPr>
                <w:rFonts w:ascii="Times New Roman" w:eastAsia="Arial Unicode MS" w:hAnsi="Times New Roman" w:cs="Times New Roman"/>
                <w:bCs/>
                <w:color w:val="000000" w:themeColor="text1"/>
                <w:sz w:val="20"/>
                <w:szCs w:val="20"/>
                <w:lang w:eastAsia="pt-BR"/>
              </w:rPr>
              <w:t>) Comprovante de inscrição no cadastro de contribuintes estadual e/ou municipal, se houver, relativo ao domicílio ou sede do licitante, pertinente ao seu ramo de atividade e compatível com o objeto contratual;</w:t>
            </w:r>
          </w:p>
          <w:p w14:paraId="552A5084" w14:textId="1837EFAC" w:rsidR="00983197" w:rsidRPr="009953EA" w:rsidRDefault="00983197" w:rsidP="009953EA">
            <w:pPr>
              <w:autoSpaceDE w:val="0"/>
              <w:autoSpaceDN w:val="0"/>
              <w:adjustRightInd w:val="0"/>
              <w:spacing w:after="0"/>
              <w:rPr>
                <w:rFonts w:ascii="Times New Roman" w:eastAsia="Arial Unicode MS" w:hAnsi="Times New Roman" w:cs="Times New Roman"/>
                <w:bCs/>
                <w:color w:val="000000" w:themeColor="text1"/>
                <w:sz w:val="20"/>
                <w:szCs w:val="20"/>
                <w:lang w:eastAsia="pt-BR"/>
              </w:rPr>
            </w:pPr>
            <w:r w:rsidRPr="009953EA">
              <w:rPr>
                <w:rFonts w:ascii="Times New Roman" w:eastAsia="Arial Unicode MS" w:hAnsi="Times New Roman" w:cs="Times New Roman"/>
                <w:bCs/>
                <w:color w:val="000000" w:themeColor="text1"/>
                <w:sz w:val="20"/>
                <w:szCs w:val="20"/>
                <w:lang w:eastAsia="pt-BR"/>
              </w:rPr>
              <w:tab/>
            </w:r>
            <w:r w:rsidRPr="009953EA">
              <w:rPr>
                <w:rFonts w:ascii="Times New Roman" w:eastAsia="Arial Unicode MS" w:hAnsi="Times New Roman" w:cs="Times New Roman"/>
                <w:bCs/>
                <w:color w:val="000000" w:themeColor="text1"/>
                <w:sz w:val="20"/>
                <w:szCs w:val="20"/>
                <w:lang w:eastAsia="pt-BR"/>
              </w:rPr>
              <w:tab/>
            </w:r>
            <w:r w:rsidR="009953EA" w:rsidRPr="009953EA">
              <w:rPr>
                <w:rFonts w:ascii="Times New Roman" w:eastAsia="Arial Unicode MS" w:hAnsi="Times New Roman" w:cs="Times New Roman"/>
                <w:bCs/>
                <w:color w:val="000000" w:themeColor="text1"/>
                <w:sz w:val="20"/>
                <w:szCs w:val="20"/>
                <w:lang w:eastAsia="pt-BR"/>
              </w:rPr>
              <w:t>f</w:t>
            </w:r>
            <w:r w:rsidRPr="009953EA">
              <w:rPr>
                <w:rFonts w:ascii="Times New Roman" w:eastAsia="Arial Unicode MS" w:hAnsi="Times New Roman" w:cs="Times New Roman"/>
                <w:bCs/>
                <w:color w:val="000000" w:themeColor="text1"/>
                <w:sz w:val="20"/>
                <w:szCs w:val="20"/>
                <w:lang w:eastAsia="pt-BR"/>
              </w:rPr>
              <w:t xml:space="preserve">) Prova de regularidade com a </w:t>
            </w:r>
            <w:hyperlink r:id="rId9" w:history="1">
              <w:r w:rsidR="009953EA" w:rsidRPr="009953EA">
                <w:rPr>
                  <w:rStyle w:val="Hyperlink"/>
                  <w:rFonts w:ascii="Times New Roman" w:eastAsia="Arial Unicode MS" w:hAnsi="Times New Roman" w:cs="Times New Roman"/>
                  <w:bCs/>
                  <w:color w:val="000000" w:themeColor="text1"/>
                  <w:sz w:val="20"/>
                  <w:szCs w:val="20"/>
                  <w:u w:val="none"/>
                  <w:lang w:eastAsia="pt-BR"/>
                </w:rPr>
                <w:t>Fazenda Federal</w:t>
              </w:r>
            </w:hyperlink>
            <w:r w:rsidRPr="009953EA">
              <w:rPr>
                <w:rFonts w:ascii="Times New Roman" w:eastAsia="Arial Unicode MS" w:hAnsi="Times New Roman" w:cs="Times New Roman"/>
                <w:bCs/>
                <w:color w:val="000000" w:themeColor="text1"/>
                <w:sz w:val="20"/>
                <w:szCs w:val="20"/>
                <w:lang w:eastAsia="pt-BR"/>
              </w:rPr>
              <w:t>, mediante certidão conjunta negativa de débitos, ou positiva com efeitos de negativa, relativos aos tributos federais e à Dívida Ativa da União;</w:t>
            </w:r>
          </w:p>
          <w:p w14:paraId="535FCDBD" w14:textId="50315783" w:rsidR="00983197" w:rsidRPr="009953EA" w:rsidRDefault="00983197" w:rsidP="009953EA">
            <w:pPr>
              <w:autoSpaceDE w:val="0"/>
              <w:autoSpaceDN w:val="0"/>
              <w:adjustRightInd w:val="0"/>
              <w:spacing w:after="0"/>
              <w:rPr>
                <w:rFonts w:ascii="Times New Roman" w:eastAsia="Arial Unicode MS" w:hAnsi="Times New Roman" w:cs="Times New Roman"/>
                <w:bCs/>
                <w:color w:val="000000" w:themeColor="text1"/>
                <w:sz w:val="20"/>
                <w:szCs w:val="20"/>
                <w:lang w:eastAsia="pt-BR"/>
              </w:rPr>
            </w:pPr>
            <w:r w:rsidRPr="009953EA">
              <w:rPr>
                <w:rFonts w:ascii="Times New Roman" w:eastAsia="Arial Unicode MS" w:hAnsi="Times New Roman" w:cs="Times New Roman"/>
                <w:bCs/>
                <w:color w:val="000000" w:themeColor="text1"/>
                <w:sz w:val="20"/>
                <w:szCs w:val="20"/>
                <w:lang w:eastAsia="pt-BR"/>
              </w:rPr>
              <w:tab/>
            </w:r>
            <w:r w:rsidRPr="009953EA">
              <w:rPr>
                <w:rFonts w:ascii="Times New Roman" w:eastAsia="Arial Unicode MS" w:hAnsi="Times New Roman" w:cs="Times New Roman"/>
                <w:bCs/>
                <w:color w:val="000000" w:themeColor="text1"/>
                <w:sz w:val="20"/>
                <w:szCs w:val="20"/>
                <w:lang w:eastAsia="pt-BR"/>
              </w:rPr>
              <w:tab/>
            </w:r>
            <w:r w:rsidR="009953EA" w:rsidRPr="009953EA">
              <w:rPr>
                <w:rFonts w:ascii="Times New Roman" w:eastAsia="Arial Unicode MS" w:hAnsi="Times New Roman" w:cs="Times New Roman"/>
                <w:bCs/>
                <w:color w:val="000000" w:themeColor="text1"/>
                <w:sz w:val="20"/>
                <w:szCs w:val="20"/>
                <w:lang w:eastAsia="pt-BR"/>
              </w:rPr>
              <w:t>g</w:t>
            </w:r>
            <w:r w:rsidRPr="009953EA">
              <w:rPr>
                <w:rFonts w:ascii="Times New Roman" w:eastAsia="Arial Unicode MS" w:hAnsi="Times New Roman" w:cs="Times New Roman"/>
                <w:bCs/>
                <w:color w:val="000000" w:themeColor="text1"/>
                <w:sz w:val="20"/>
                <w:szCs w:val="20"/>
                <w:lang w:eastAsia="pt-BR"/>
              </w:rPr>
              <w:t xml:space="preserve">) Prova de regularidade para com a </w:t>
            </w:r>
            <w:r w:rsidR="009953EA" w:rsidRPr="009953EA">
              <w:rPr>
                <w:rFonts w:ascii="Times New Roman" w:eastAsia="Arial Unicode MS" w:hAnsi="Times New Roman" w:cs="Times New Roman"/>
                <w:bCs/>
                <w:color w:val="000000" w:themeColor="text1"/>
                <w:sz w:val="20"/>
                <w:szCs w:val="20"/>
                <w:lang w:eastAsia="pt-BR"/>
              </w:rPr>
              <w:t>Fazenda Estadual</w:t>
            </w:r>
            <w:r w:rsidRPr="009953EA">
              <w:rPr>
                <w:rFonts w:ascii="Times New Roman" w:eastAsia="Arial Unicode MS" w:hAnsi="Times New Roman" w:cs="Times New Roman"/>
                <w:bCs/>
                <w:color w:val="000000" w:themeColor="text1"/>
                <w:sz w:val="20"/>
                <w:szCs w:val="20"/>
                <w:lang w:eastAsia="pt-BR"/>
              </w:rPr>
              <w:t>, do domicílio ou sede do licitante, pertinente ao seu ramo de atividade e compatível com o objeto contratual;</w:t>
            </w:r>
          </w:p>
          <w:p w14:paraId="1D64BA2F" w14:textId="13CE3B07" w:rsidR="00983197" w:rsidRPr="009953EA" w:rsidRDefault="00983197" w:rsidP="009953EA">
            <w:pPr>
              <w:autoSpaceDE w:val="0"/>
              <w:autoSpaceDN w:val="0"/>
              <w:adjustRightInd w:val="0"/>
              <w:spacing w:after="0"/>
              <w:rPr>
                <w:rFonts w:ascii="Times New Roman" w:eastAsia="Arial Unicode MS" w:hAnsi="Times New Roman" w:cs="Times New Roman"/>
                <w:bCs/>
                <w:color w:val="000000" w:themeColor="text1"/>
                <w:sz w:val="20"/>
                <w:szCs w:val="20"/>
                <w:lang w:eastAsia="pt-BR"/>
              </w:rPr>
            </w:pPr>
            <w:r w:rsidRPr="009953EA">
              <w:rPr>
                <w:rFonts w:ascii="Times New Roman" w:eastAsia="Arial Unicode MS" w:hAnsi="Times New Roman" w:cs="Times New Roman"/>
                <w:bCs/>
                <w:color w:val="000000" w:themeColor="text1"/>
                <w:sz w:val="20"/>
                <w:szCs w:val="20"/>
                <w:lang w:eastAsia="pt-BR"/>
              </w:rPr>
              <w:tab/>
            </w:r>
            <w:r w:rsidRPr="009953EA">
              <w:rPr>
                <w:rFonts w:ascii="Times New Roman" w:eastAsia="Arial Unicode MS" w:hAnsi="Times New Roman" w:cs="Times New Roman"/>
                <w:bCs/>
                <w:color w:val="000000" w:themeColor="text1"/>
                <w:sz w:val="20"/>
                <w:szCs w:val="20"/>
                <w:lang w:eastAsia="pt-BR"/>
              </w:rPr>
              <w:tab/>
            </w:r>
            <w:r w:rsidR="009953EA" w:rsidRPr="009953EA">
              <w:rPr>
                <w:rFonts w:ascii="Times New Roman" w:eastAsia="Arial Unicode MS" w:hAnsi="Times New Roman" w:cs="Times New Roman"/>
                <w:bCs/>
                <w:color w:val="000000" w:themeColor="text1"/>
                <w:sz w:val="20"/>
                <w:szCs w:val="20"/>
                <w:lang w:eastAsia="pt-BR"/>
              </w:rPr>
              <w:t>h</w:t>
            </w:r>
            <w:r w:rsidRPr="009953EA">
              <w:rPr>
                <w:rFonts w:ascii="Times New Roman" w:eastAsia="Arial Unicode MS" w:hAnsi="Times New Roman" w:cs="Times New Roman"/>
                <w:bCs/>
                <w:color w:val="000000" w:themeColor="text1"/>
                <w:sz w:val="20"/>
                <w:szCs w:val="20"/>
                <w:lang w:eastAsia="pt-BR"/>
              </w:rPr>
              <w:t xml:space="preserve">) Prova de regularidade para com a </w:t>
            </w:r>
            <w:r w:rsidR="009953EA" w:rsidRPr="009953EA">
              <w:rPr>
                <w:rFonts w:ascii="Times New Roman" w:eastAsia="Arial Unicode MS" w:hAnsi="Times New Roman" w:cs="Times New Roman"/>
                <w:bCs/>
                <w:color w:val="000000" w:themeColor="text1"/>
                <w:sz w:val="20"/>
                <w:szCs w:val="20"/>
                <w:lang w:eastAsia="pt-BR"/>
              </w:rPr>
              <w:t>Fazenda Municipal</w:t>
            </w:r>
            <w:r w:rsidRPr="009953EA">
              <w:rPr>
                <w:rFonts w:ascii="Times New Roman" w:eastAsia="Arial Unicode MS" w:hAnsi="Times New Roman" w:cs="Times New Roman"/>
                <w:bCs/>
                <w:color w:val="000000" w:themeColor="text1"/>
                <w:sz w:val="20"/>
                <w:szCs w:val="20"/>
                <w:lang w:eastAsia="pt-BR"/>
              </w:rPr>
              <w:t>, do domicílio ou sede do licitante, pertinente ao seu ramo de atividade e compatível com o objeto contratual;</w:t>
            </w:r>
          </w:p>
          <w:p w14:paraId="3C474D7A" w14:textId="36B2DF0E" w:rsidR="00983197" w:rsidRPr="009953EA" w:rsidRDefault="00983197" w:rsidP="009953EA">
            <w:pPr>
              <w:autoSpaceDE w:val="0"/>
              <w:autoSpaceDN w:val="0"/>
              <w:adjustRightInd w:val="0"/>
              <w:spacing w:after="0"/>
              <w:rPr>
                <w:rFonts w:ascii="Times New Roman" w:eastAsia="Arial Unicode MS" w:hAnsi="Times New Roman" w:cs="Times New Roman"/>
                <w:bCs/>
                <w:color w:val="000000" w:themeColor="text1"/>
                <w:sz w:val="20"/>
                <w:szCs w:val="20"/>
                <w:lang w:eastAsia="pt-BR"/>
              </w:rPr>
            </w:pPr>
            <w:r w:rsidRPr="009953EA">
              <w:rPr>
                <w:rFonts w:ascii="Times New Roman" w:eastAsia="Arial Unicode MS" w:hAnsi="Times New Roman" w:cs="Times New Roman"/>
                <w:bCs/>
                <w:color w:val="000000" w:themeColor="text1"/>
                <w:sz w:val="20"/>
                <w:szCs w:val="20"/>
                <w:lang w:eastAsia="pt-BR"/>
              </w:rPr>
              <w:tab/>
            </w:r>
            <w:r w:rsidRPr="009953EA">
              <w:rPr>
                <w:rFonts w:ascii="Times New Roman" w:eastAsia="Arial Unicode MS" w:hAnsi="Times New Roman" w:cs="Times New Roman"/>
                <w:bCs/>
                <w:color w:val="000000" w:themeColor="text1"/>
                <w:sz w:val="20"/>
                <w:szCs w:val="20"/>
                <w:lang w:eastAsia="pt-BR"/>
              </w:rPr>
              <w:tab/>
            </w:r>
            <w:r w:rsidR="009953EA" w:rsidRPr="009953EA">
              <w:rPr>
                <w:rFonts w:ascii="Times New Roman" w:eastAsia="Arial Unicode MS" w:hAnsi="Times New Roman" w:cs="Times New Roman"/>
                <w:bCs/>
                <w:color w:val="000000" w:themeColor="text1"/>
                <w:sz w:val="20"/>
                <w:szCs w:val="20"/>
                <w:lang w:eastAsia="pt-BR"/>
              </w:rPr>
              <w:t>i</w:t>
            </w:r>
            <w:r w:rsidRPr="009953EA">
              <w:rPr>
                <w:rFonts w:ascii="Times New Roman" w:eastAsia="Arial Unicode MS" w:hAnsi="Times New Roman" w:cs="Times New Roman"/>
                <w:bCs/>
                <w:color w:val="000000" w:themeColor="text1"/>
                <w:sz w:val="20"/>
                <w:szCs w:val="20"/>
                <w:lang w:eastAsia="pt-BR"/>
              </w:rPr>
              <w:t xml:space="preserve">) Prova de regularidade relativa à </w:t>
            </w:r>
            <w:hyperlink r:id="rId10" w:history="1">
              <w:r w:rsidRPr="009953EA">
                <w:rPr>
                  <w:rStyle w:val="Hyperlink"/>
                  <w:rFonts w:ascii="Times New Roman" w:eastAsia="Arial Unicode MS" w:hAnsi="Times New Roman" w:cs="Times New Roman"/>
                  <w:bCs/>
                  <w:color w:val="000000" w:themeColor="text1"/>
                  <w:sz w:val="20"/>
                  <w:szCs w:val="20"/>
                  <w:u w:val="none"/>
                  <w:lang w:eastAsia="pt-BR"/>
                </w:rPr>
                <w:t>Seguridade Social e ao FGTS</w:t>
              </w:r>
            </w:hyperlink>
            <w:r w:rsidRPr="009953EA">
              <w:rPr>
                <w:rFonts w:ascii="Times New Roman" w:eastAsia="Arial Unicode MS" w:hAnsi="Times New Roman" w:cs="Times New Roman"/>
                <w:bCs/>
                <w:color w:val="000000" w:themeColor="text1"/>
                <w:sz w:val="20"/>
                <w:szCs w:val="20"/>
                <w:lang w:eastAsia="pt-BR"/>
              </w:rPr>
              <w:t>, que demonstre cumprimento dos encargos sociais instituídos por lei; e</w:t>
            </w:r>
          </w:p>
          <w:p w14:paraId="16742833" w14:textId="6199A10B" w:rsidR="00983197" w:rsidRPr="009953EA" w:rsidRDefault="00983197" w:rsidP="009953EA">
            <w:pPr>
              <w:autoSpaceDE w:val="0"/>
              <w:autoSpaceDN w:val="0"/>
              <w:adjustRightInd w:val="0"/>
              <w:spacing w:after="0"/>
              <w:rPr>
                <w:rFonts w:ascii="Times New Roman" w:eastAsia="Arial Unicode MS" w:hAnsi="Times New Roman" w:cs="Times New Roman"/>
                <w:b/>
                <w:bCs/>
                <w:color w:val="000000" w:themeColor="text1"/>
                <w:sz w:val="20"/>
                <w:szCs w:val="20"/>
                <w:lang w:eastAsia="pt-BR"/>
              </w:rPr>
            </w:pPr>
            <w:r w:rsidRPr="009953EA">
              <w:rPr>
                <w:rFonts w:ascii="Times New Roman" w:eastAsia="Arial Unicode MS" w:hAnsi="Times New Roman" w:cs="Times New Roman"/>
                <w:bCs/>
                <w:color w:val="000000" w:themeColor="text1"/>
                <w:sz w:val="20"/>
                <w:szCs w:val="20"/>
                <w:lang w:eastAsia="pt-BR"/>
              </w:rPr>
              <w:tab/>
            </w:r>
            <w:r w:rsidRPr="009953EA">
              <w:rPr>
                <w:rFonts w:ascii="Times New Roman" w:eastAsia="Arial Unicode MS" w:hAnsi="Times New Roman" w:cs="Times New Roman"/>
                <w:bCs/>
                <w:color w:val="000000" w:themeColor="text1"/>
                <w:sz w:val="20"/>
                <w:szCs w:val="20"/>
                <w:lang w:eastAsia="pt-BR"/>
              </w:rPr>
              <w:tab/>
            </w:r>
            <w:r w:rsidR="009953EA" w:rsidRPr="009953EA">
              <w:rPr>
                <w:rFonts w:ascii="Times New Roman" w:eastAsia="Arial Unicode MS" w:hAnsi="Times New Roman" w:cs="Times New Roman"/>
                <w:bCs/>
                <w:color w:val="000000" w:themeColor="text1"/>
                <w:sz w:val="20"/>
                <w:szCs w:val="20"/>
                <w:lang w:eastAsia="pt-BR"/>
              </w:rPr>
              <w:t>j</w:t>
            </w:r>
            <w:r w:rsidRPr="009953EA">
              <w:rPr>
                <w:rFonts w:ascii="Times New Roman" w:eastAsia="Arial Unicode MS" w:hAnsi="Times New Roman" w:cs="Times New Roman"/>
                <w:bCs/>
                <w:color w:val="000000" w:themeColor="text1"/>
                <w:sz w:val="20"/>
                <w:szCs w:val="20"/>
                <w:lang w:eastAsia="pt-BR"/>
              </w:rPr>
              <w:t xml:space="preserve">) Prova de inexistência de débitos inadimplidos perante a </w:t>
            </w:r>
            <w:hyperlink r:id="rId11" w:history="1">
              <w:r w:rsidRPr="009953EA">
                <w:rPr>
                  <w:rStyle w:val="Hyperlink"/>
                  <w:rFonts w:ascii="Times New Roman" w:eastAsia="Arial Unicode MS" w:hAnsi="Times New Roman" w:cs="Times New Roman"/>
                  <w:bCs/>
                  <w:color w:val="000000" w:themeColor="text1"/>
                  <w:sz w:val="20"/>
                  <w:szCs w:val="20"/>
                  <w:u w:val="none"/>
                  <w:lang w:eastAsia="pt-BR"/>
                </w:rPr>
                <w:t>Justiça do Trabalho (CNDT)</w:t>
              </w:r>
            </w:hyperlink>
            <w:r w:rsidRPr="009953EA">
              <w:rPr>
                <w:rFonts w:ascii="Times New Roman" w:eastAsia="Arial Unicode MS" w:hAnsi="Times New Roman" w:cs="Times New Roman"/>
                <w:bCs/>
                <w:color w:val="000000" w:themeColor="text1"/>
                <w:sz w:val="20"/>
                <w:szCs w:val="20"/>
                <w:lang w:eastAsia="pt-BR"/>
              </w:rPr>
              <w:t>, mediante a apresentação de certidão negativa ou positiva com efeito de negativa.</w:t>
            </w:r>
          </w:p>
          <w:p w14:paraId="337E1E0B" w14:textId="457F101E" w:rsidR="00983197" w:rsidRPr="009953EA" w:rsidRDefault="00983197" w:rsidP="009953EA">
            <w:pPr>
              <w:autoSpaceDE w:val="0"/>
              <w:autoSpaceDN w:val="0"/>
              <w:adjustRightInd w:val="0"/>
              <w:spacing w:after="0"/>
              <w:rPr>
                <w:rFonts w:ascii="Times New Roman" w:eastAsia="Arial Unicode MS" w:hAnsi="Times New Roman" w:cs="Times New Roman"/>
                <w:color w:val="000000" w:themeColor="text1"/>
                <w:sz w:val="20"/>
                <w:szCs w:val="20"/>
                <w:lang w:eastAsia="pt-BR"/>
              </w:rPr>
            </w:pPr>
            <w:r w:rsidRPr="009953EA">
              <w:rPr>
                <w:rFonts w:ascii="Times New Roman" w:eastAsia="Arial Unicode MS" w:hAnsi="Times New Roman" w:cs="Times New Roman"/>
                <w:bCs/>
                <w:color w:val="000000" w:themeColor="text1"/>
                <w:sz w:val="20"/>
                <w:szCs w:val="20"/>
                <w:lang w:eastAsia="pt-BR"/>
              </w:rPr>
              <w:tab/>
            </w:r>
            <w:r w:rsidRPr="009953EA">
              <w:rPr>
                <w:rFonts w:ascii="Times New Roman" w:eastAsia="Arial Unicode MS" w:hAnsi="Times New Roman" w:cs="Times New Roman"/>
                <w:bCs/>
                <w:color w:val="000000" w:themeColor="text1"/>
                <w:sz w:val="20"/>
                <w:szCs w:val="20"/>
                <w:lang w:eastAsia="pt-BR"/>
              </w:rPr>
              <w:tab/>
            </w:r>
            <w:r w:rsidR="009953EA" w:rsidRPr="009953EA">
              <w:rPr>
                <w:rFonts w:ascii="Times New Roman" w:eastAsia="Arial Unicode MS" w:hAnsi="Times New Roman" w:cs="Times New Roman"/>
                <w:bCs/>
                <w:color w:val="000000" w:themeColor="text1"/>
                <w:sz w:val="20"/>
                <w:szCs w:val="20"/>
                <w:lang w:eastAsia="pt-BR"/>
              </w:rPr>
              <w:t>k</w:t>
            </w:r>
            <w:r w:rsidRPr="009953EA">
              <w:rPr>
                <w:rFonts w:ascii="Times New Roman" w:eastAsia="Arial Unicode MS" w:hAnsi="Times New Roman" w:cs="Times New Roman"/>
                <w:bCs/>
                <w:color w:val="000000" w:themeColor="text1"/>
                <w:sz w:val="20"/>
                <w:szCs w:val="20"/>
                <w:lang w:eastAsia="pt-BR"/>
              </w:rPr>
              <w:t xml:space="preserve">) </w:t>
            </w:r>
            <w:r w:rsidRPr="009953EA">
              <w:rPr>
                <w:rFonts w:ascii="Times New Roman" w:eastAsia="Arial Unicode MS" w:hAnsi="Times New Roman" w:cs="Times New Roman"/>
                <w:color w:val="000000" w:themeColor="text1"/>
                <w:sz w:val="20"/>
                <w:szCs w:val="20"/>
                <w:lang w:eastAsia="pt-BR"/>
              </w:rPr>
              <w:t>Certidão negativa em matéria falimentar, concordatária, recuperação judicial e extrajudicial expedida pelo distribuidor da sede do licitante expedida pelo distribuidor da sede da pessoa jurídica, em prazo não superior a 90 (noventa) dias da data designada para a apresentação do documento;</w:t>
            </w:r>
          </w:p>
          <w:p w14:paraId="099EA244" w14:textId="15088E5F" w:rsidR="002E13EA" w:rsidRPr="009953EA" w:rsidRDefault="009953EA" w:rsidP="009953EA">
            <w:pPr>
              <w:spacing w:after="0" w:line="276" w:lineRule="auto"/>
              <w:ind w:firstLine="1725"/>
              <w:rPr>
                <w:rFonts w:ascii="Times New Roman" w:eastAsia="Arial Unicode MS" w:hAnsi="Times New Roman" w:cs="Times New Roman"/>
                <w:color w:val="000000" w:themeColor="text1"/>
                <w:sz w:val="20"/>
                <w:szCs w:val="20"/>
                <w:lang w:eastAsia="pt-BR"/>
              </w:rPr>
            </w:pPr>
            <w:r w:rsidRPr="009953EA">
              <w:rPr>
                <w:rFonts w:ascii="Times New Roman" w:eastAsia="Arial Unicode MS" w:hAnsi="Times New Roman" w:cs="Times New Roman"/>
                <w:color w:val="000000" w:themeColor="text1"/>
                <w:sz w:val="20"/>
                <w:szCs w:val="20"/>
                <w:lang w:eastAsia="pt-BR"/>
              </w:rPr>
              <w:t>k</w:t>
            </w:r>
            <w:r w:rsidR="00983197" w:rsidRPr="009953EA">
              <w:rPr>
                <w:rFonts w:ascii="Times New Roman" w:eastAsia="Arial Unicode MS" w:hAnsi="Times New Roman" w:cs="Times New Roman"/>
                <w:color w:val="000000" w:themeColor="text1"/>
                <w:sz w:val="20"/>
                <w:szCs w:val="20"/>
                <w:lang w:eastAsia="pt-BR"/>
              </w:rPr>
              <w:t xml:space="preserve">.1) No caso de certidão positiva de recuperação judicial ou extrajudicial, o licitante deverá apresentar a comprovação de que o respectivo plano de recuperação foi acolhido judicialmente, na forma do Art. 58, da </w:t>
            </w:r>
            <w:hyperlink r:id="rId12" w:history="1">
              <w:r w:rsidR="00983197" w:rsidRPr="009953EA">
                <w:rPr>
                  <w:rStyle w:val="Hyperlink"/>
                  <w:rFonts w:ascii="Times New Roman" w:eastAsia="Arial Unicode MS" w:hAnsi="Times New Roman" w:cs="Times New Roman"/>
                  <w:color w:val="000000" w:themeColor="text1"/>
                  <w:sz w:val="20"/>
                  <w:szCs w:val="20"/>
                  <w:u w:val="none"/>
                  <w:lang w:eastAsia="pt-BR"/>
                </w:rPr>
                <w:t>Lei nº 11.101, de 09 de fevereiro de 2005</w:t>
              </w:r>
            </w:hyperlink>
            <w:r w:rsidR="00983197" w:rsidRPr="009953EA">
              <w:rPr>
                <w:rFonts w:ascii="Times New Roman" w:eastAsia="Arial Unicode MS" w:hAnsi="Times New Roman" w:cs="Times New Roman"/>
                <w:color w:val="000000" w:themeColor="text1"/>
                <w:sz w:val="20"/>
                <w:szCs w:val="20"/>
                <w:lang w:eastAsia="pt-BR"/>
              </w:rPr>
              <w:t>, sob pena de inabilitação, devendo, ainda, comprovar todos os demais requisitos de habilitação;</w:t>
            </w:r>
          </w:p>
          <w:p w14:paraId="319AD739" w14:textId="3E6BDDAA" w:rsidR="00983197" w:rsidRPr="00983197" w:rsidRDefault="00983197" w:rsidP="00983197">
            <w:pPr>
              <w:spacing w:after="0" w:line="276" w:lineRule="auto"/>
              <w:ind w:firstLine="596"/>
              <w:rPr>
                <w:rFonts w:ascii="Times New Roman" w:hAnsi="Times New Roman" w:cs="Times New Roman"/>
                <w:sz w:val="20"/>
                <w:szCs w:val="20"/>
              </w:rPr>
            </w:pPr>
            <w:r w:rsidRPr="00983197">
              <w:rPr>
                <w:rFonts w:ascii="Times New Roman" w:hAnsi="Times New Roman" w:cs="Times New Roman"/>
                <w:b/>
                <w:bCs/>
                <w:sz w:val="20"/>
                <w:szCs w:val="20"/>
              </w:rPr>
              <w:t>3.</w:t>
            </w:r>
            <w:r w:rsidR="009953EA">
              <w:rPr>
                <w:rFonts w:ascii="Times New Roman" w:hAnsi="Times New Roman" w:cs="Times New Roman"/>
                <w:b/>
                <w:bCs/>
                <w:sz w:val="20"/>
                <w:szCs w:val="20"/>
              </w:rPr>
              <w:t>9</w:t>
            </w:r>
            <w:r w:rsidRPr="00983197">
              <w:rPr>
                <w:rFonts w:ascii="Times New Roman" w:hAnsi="Times New Roman" w:cs="Times New Roman"/>
                <w:b/>
                <w:bCs/>
                <w:sz w:val="20"/>
                <w:szCs w:val="20"/>
              </w:rPr>
              <w:t>. DAS SANÇÕES ADMINISTRATIVAS:</w:t>
            </w:r>
            <w:r w:rsidRPr="00983197">
              <w:rPr>
                <w:rFonts w:ascii="Times New Roman" w:hAnsi="Times New Roman" w:cs="Times New Roman"/>
                <w:sz w:val="20"/>
                <w:szCs w:val="20"/>
              </w:rPr>
              <w:t xml:space="preserve"> O licitante, fornecedor registrado ou contratado estará sujeito às sanções administrativas previstas na Lei Federal nº 14.133/2021 quando praticar infração durante o procedimento licitatório ou descumprir as obrigações decorrentes da Ata de Registro de Preços ou das aquisições realizadas.</w:t>
            </w:r>
            <w:r w:rsidR="009953EA">
              <w:rPr>
                <w:rFonts w:ascii="Times New Roman" w:hAnsi="Times New Roman" w:cs="Times New Roman"/>
                <w:sz w:val="20"/>
                <w:szCs w:val="20"/>
              </w:rPr>
              <w:t xml:space="preserve"> </w:t>
            </w:r>
            <w:r w:rsidRPr="00983197">
              <w:rPr>
                <w:rFonts w:ascii="Times New Roman" w:hAnsi="Times New Roman" w:cs="Times New Roman"/>
                <w:sz w:val="20"/>
                <w:szCs w:val="20"/>
              </w:rPr>
              <w:t>Serão consideradas situações relevantes para esta contratação, entre outras previstas legalmente, a recusa injustificada em manter a proposta ou fornecer o item registrado, atraso injustificado na entrega, inexecução total ou parcial da obrigação, entrega de produto diverso daquele ofertado, fornecimento de item em desacordo com as especificações, apresentação de documentação ou informação falsa, recusa injustificada em substituir produto rejeitado e descumprimento das obrigações relativas à garantia e assistência técnica.</w:t>
            </w:r>
          </w:p>
          <w:p w14:paraId="4B0F43B2" w14:textId="374C43F4" w:rsidR="00983197" w:rsidRPr="00A00198" w:rsidRDefault="00983197" w:rsidP="00983197">
            <w:pPr>
              <w:spacing w:after="0" w:line="276" w:lineRule="auto"/>
              <w:ind w:firstLine="596"/>
              <w:rPr>
                <w:rFonts w:ascii="Times New Roman" w:hAnsi="Times New Roman" w:cs="Times New Roman"/>
                <w:sz w:val="20"/>
                <w:szCs w:val="20"/>
              </w:rPr>
            </w:pPr>
            <w:r w:rsidRPr="00983197">
              <w:rPr>
                <w:rFonts w:ascii="Times New Roman" w:hAnsi="Times New Roman" w:cs="Times New Roman"/>
                <w:sz w:val="20"/>
                <w:szCs w:val="20"/>
              </w:rPr>
              <w:t>Poderão ser aplicadas as penalidades de advertência, multa, impedimento de licitar e contratar e declaração de inidoneidade para licitar ou contratar, conforme a natureza da infração e o procedimento legalmente cabível. Os percentuais de multa, prazos, hipóteses específicas de incidência e critérios operacionais deverão ser detalhados no Termo de Referência e no edital, evitando-se previsão genérica que dificulte sua aplicação no curso da execução.</w:t>
            </w:r>
            <w:r w:rsidR="009953EA">
              <w:rPr>
                <w:rFonts w:ascii="Times New Roman" w:hAnsi="Times New Roman" w:cs="Times New Roman"/>
                <w:sz w:val="20"/>
                <w:szCs w:val="20"/>
              </w:rPr>
              <w:t xml:space="preserve"> </w:t>
            </w:r>
            <w:r w:rsidRPr="00983197">
              <w:rPr>
                <w:rFonts w:ascii="Times New Roman" w:hAnsi="Times New Roman" w:cs="Times New Roman"/>
                <w:sz w:val="20"/>
                <w:szCs w:val="20"/>
              </w:rPr>
              <w:t>A responsabilização será conduzida mediante o procedimento correspondente à penalidade pretendida, assegurados o contraditório e a ampla defesa, sem prejuízo da obrigação de reparar os danos eventualmente causados à Administração.</w:t>
            </w:r>
          </w:p>
        </w:tc>
      </w:tr>
    </w:tbl>
    <w:p w14:paraId="0825A047" w14:textId="77777777" w:rsidR="008F76F3" w:rsidRPr="00A00198" w:rsidRDefault="008F76F3" w:rsidP="000C5622">
      <w:pPr>
        <w:pStyle w:val="Default"/>
        <w:spacing w:line="276" w:lineRule="auto"/>
        <w:jc w:val="both"/>
        <w:rPr>
          <w:rFonts w:eastAsia="Times New Roman"/>
          <w:i/>
          <w:color w:val="auto"/>
          <w:sz w:val="20"/>
          <w:szCs w:val="20"/>
          <w:lang w:eastAsia="pt-BR"/>
        </w:rPr>
      </w:pPr>
      <w:r w:rsidRPr="00A00198">
        <w:rPr>
          <w:rFonts w:eastAsia="Times New Roman"/>
          <w:i/>
          <w:color w:val="auto"/>
          <w:sz w:val="20"/>
          <w:szCs w:val="20"/>
          <w:lang w:eastAsia="pt-BR"/>
        </w:rPr>
        <w:lastRenderedPageBreak/>
        <w:t xml:space="preserve"> </w:t>
      </w:r>
    </w:p>
    <w:tbl>
      <w:tblPr>
        <w:tblStyle w:val="Tabelacomgrade"/>
        <w:tblW w:w="9209" w:type="dxa"/>
        <w:tblLook w:val="04A0" w:firstRow="1" w:lastRow="0" w:firstColumn="1" w:lastColumn="0" w:noHBand="0" w:noVBand="1"/>
      </w:tblPr>
      <w:tblGrid>
        <w:gridCol w:w="9209"/>
      </w:tblGrid>
      <w:tr w:rsidR="008F76F3" w:rsidRPr="00A00198" w14:paraId="77F24F0B" w14:textId="77777777" w:rsidTr="00C3667F">
        <w:tc>
          <w:tcPr>
            <w:tcW w:w="9209" w:type="dxa"/>
          </w:tcPr>
          <w:p w14:paraId="26828342" w14:textId="6FE5906A" w:rsidR="008F76F3" w:rsidRPr="00A00198" w:rsidRDefault="008F76F3" w:rsidP="000C5622">
            <w:pPr>
              <w:spacing w:after="0" w:line="276" w:lineRule="auto"/>
              <w:ind w:firstLine="0"/>
              <w:rPr>
                <w:rFonts w:ascii="Times New Roman" w:eastAsia="Times New Roman" w:hAnsi="Times New Roman" w:cs="Times New Roman"/>
                <w:b/>
                <w:bCs/>
                <w:color w:val="000000"/>
                <w:sz w:val="20"/>
                <w:szCs w:val="20"/>
                <w:lang w:eastAsia="pt-BR"/>
              </w:rPr>
            </w:pPr>
            <w:r w:rsidRPr="00A00198">
              <w:rPr>
                <w:rFonts w:ascii="Times New Roman" w:eastAsia="Times New Roman" w:hAnsi="Times New Roman" w:cs="Times New Roman"/>
                <w:b/>
                <w:bCs/>
                <w:color w:val="000000"/>
                <w:sz w:val="20"/>
                <w:szCs w:val="20"/>
                <w:lang w:eastAsia="pt-BR"/>
              </w:rPr>
              <w:t>4 – ESTIMATIVA DAS QUANTIDADES</w:t>
            </w:r>
            <w:r w:rsidR="00FC4923">
              <w:rPr>
                <w:rFonts w:ascii="Times New Roman" w:eastAsia="Times New Roman" w:hAnsi="Times New Roman" w:cs="Times New Roman"/>
                <w:b/>
                <w:bCs/>
                <w:color w:val="000000"/>
                <w:sz w:val="20"/>
                <w:szCs w:val="20"/>
                <w:lang w:eastAsia="pt-BR"/>
              </w:rPr>
              <w:t>:</w:t>
            </w:r>
          </w:p>
        </w:tc>
      </w:tr>
      <w:tr w:rsidR="008F76F3" w:rsidRPr="00A00198" w14:paraId="1D789878" w14:textId="77777777" w:rsidTr="00C3667F">
        <w:tc>
          <w:tcPr>
            <w:tcW w:w="9209" w:type="dxa"/>
            <w:shd w:val="clear" w:color="auto" w:fill="F2F2F2" w:themeFill="background1" w:themeFillShade="F2"/>
          </w:tcPr>
          <w:p w14:paraId="25CF518F" w14:textId="593C0B7D" w:rsidR="008F76F3" w:rsidRPr="00A00198" w:rsidRDefault="008F76F3" w:rsidP="000C5622">
            <w:pPr>
              <w:spacing w:after="0" w:line="276" w:lineRule="auto"/>
              <w:ind w:firstLine="0"/>
              <w:rPr>
                <w:rFonts w:ascii="Times New Roman" w:eastAsia="Times New Roman" w:hAnsi="Times New Roman" w:cs="Times New Roman"/>
                <w:color w:val="000000"/>
                <w:sz w:val="20"/>
                <w:szCs w:val="20"/>
                <w:lang w:eastAsia="pt-BR"/>
              </w:rPr>
            </w:pPr>
            <w:r w:rsidRPr="00A00198">
              <w:rPr>
                <w:rFonts w:ascii="Times New Roman" w:eastAsia="Times New Roman" w:hAnsi="Times New Roman" w:cs="Times New Roman"/>
                <w:bCs/>
                <w:color w:val="000000"/>
                <w:sz w:val="20"/>
                <w:szCs w:val="20"/>
                <w:lang w:eastAsia="pt-BR"/>
              </w:rPr>
              <w:t xml:space="preserve">Fundamentação: </w:t>
            </w:r>
            <w:r w:rsidRPr="00A00198">
              <w:rPr>
                <w:rFonts w:ascii="Times New Roman" w:eastAsia="Times New Roman" w:hAnsi="Times New Roman" w:cs="Times New Roman"/>
                <w:color w:val="000000"/>
                <w:sz w:val="20"/>
                <w:szCs w:val="20"/>
                <w:lang w:eastAsia="pt-BR"/>
              </w:rPr>
              <w:t>Estimativa das quantidades a serem contratadas, acompanhada das memórias de cálculo e dos documentos que lhe dão suporte, considerando a interdependência com outras contratações, de modo a possibilitar economia de escala (inciso IV do § 1° do art. 18 da Lei 14.133/21)</w:t>
            </w:r>
            <w:r w:rsidR="00E776F1">
              <w:rPr>
                <w:rFonts w:ascii="Times New Roman" w:eastAsia="Times New Roman" w:hAnsi="Times New Roman" w:cs="Times New Roman"/>
                <w:color w:val="000000"/>
                <w:sz w:val="20"/>
                <w:szCs w:val="20"/>
                <w:lang w:eastAsia="pt-BR"/>
              </w:rPr>
              <w:t>:</w:t>
            </w:r>
          </w:p>
        </w:tc>
      </w:tr>
      <w:tr w:rsidR="008F76F3" w:rsidRPr="00A00198" w14:paraId="47CF1596" w14:textId="77777777" w:rsidTr="00C3667F">
        <w:trPr>
          <w:trHeight w:val="249"/>
        </w:trPr>
        <w:tc>
          <w:tcPr>
            <w:tcW w:w="9209" w:type="dxa"/>
          </w:tcPr>
          <w:p w14:paraId="441C4E10" w14:textId="3A734111" w:rsidR="009953EA" w:rsidRPr="009953EA" w:rsidRDefault="009953EA" w:rsidP="009953EA">
            <w:pPr>
              <w:spacing w:after="0" w:line="276" w:lineRule="auto"/>
              <w:ind w:firstLine="596"/>
              <w:rPr>
                <w:rFonts w:ascii="Times New Roman" w:eastAsia="Times New Roman" w:hAnsi="Times New Roman" w:cs="Times New Roman"/>
                <w:iCs/>
                <w:sz w:val="20"/>
                <w:szCs w:val="20"/>
                <w:lang w:eastAsia="pt-BR"/>
              </w:rPr>
            </w:pPr>
            <w:r w:rsidRPr="009953EA">
              <w:rPr>
                <w:rFonts w:ascii="Times New Roman" w:eastAsia="Times New Roman" w:hAnsi="Times New Roman" w:cs="Times New Roman"/>
                <w:iCs/>
                <w:sz w:val="20"/>
                <w:szCs w:val="20"/>
                <w:lang w:eastAsia="pt-BR"/>
              </w:rPr>
              <w:t>A definição dos quantitativos estimados fundamenta-se no levantamento das necessidades das Secretarias Municipais, considerando as demandas apresentadas pelos setores, o histórico de aquisições, as condições do parque tecnológico existente e as necessidades previsíveis de manutenção, reposição, atualização e ampliação para o período de 12 (doze) meses.</w:t>
            </w:r>
            <w:r>
              <w:rPr>
                <w:rFonts w:ascii="Times New Roman" w:eastAsia="Times New Roman" w:hAnsi="Times New Roman" w:cs="Times New Roman"/>
                <w:iCs/>
                <w:sz w:val="20"/>
                <w:szCs w:val="20"/>
                <w:lang w:eastAsia="pt-BR"/>
              </w:rPr>
              <w:t xml:space="preserve"> </w:t>
            </w:r>
            <w:r w:rsidRPr="009953EA">
              <w:rPr>
                <w:rFonts w:ascii="Times New Roman" w:eastAsia="Times New Roman" w:hAnsi="Times New Roman" w:cs="Times New Roman"/>
                <w:iCs/>
                <w:sz w:val="20"/>
                <w:szCs w:val="20"/>
                <w:lang w:eastAsia="pt-BR"/>
              </w:rPr>
              <w:t>O dimensionamento considera que os itens possuem comportamentos distintos de consumo. Materiais, componentes, acessórios e periféricos estão sujeitos a reposições mais frequentes em razão de desgaste, defeitos ou perda de funcionalidade, enquanto equipamentos de maior valor agregado, como computadores, notebooks, monitores, nobreaks, projetores, tablets, smartphones e equipamentos de rede, possuem ciclo de utilização mais prolongado e serão adquiridos conforme necessidade efetiva de substituição, atualização ou ampliação.</w:t>
            </w:r>
          </w:p>
          <w:p w14:paraId="19E7CD8B" w14:textId="11A4FE16" w:rsidR="009953EA" w:rsidRPr="009953EA" w:rsidRDefault="009953EA" w:rsidP="009953EA">
            <w:pPr>
              <w:spacing w:after="0" w:line="276" w:lineRule="auto"/>
              <w:ind w:firstLine="596"/>
              <w:rPr>
                <w:rFonts w:ascii="Times New Roman" w:eastAsia="Times New Roman" w:hAnsi="Times New Roman" w:cs="Times New Roman"/>
                <w:iCs/>
                <w:sz w:val="20"/>
                <w:szCs w:val="20"/>
                <w:lang w:eastAsia="pt-BR"/>
              </w:rPr>
            </w:pPr>
            <w:r w:rsidRPr="009953EA">
              <w:rPr>
                <w:rFonts w:ascii="Times New Roman" w:eastAsia="Times New Roman" w:hAnsi="Times New Roman" w:cs="Times New Roman"/>
                <w:iCs/>
                <w:sz w:val="20"/>
                <w:szCs w:val="20"/>
                <w:lang w:eastAsia="pt-BR"/>
              </w:rPr>
              <w:t>A análise do parque tecnológico deverá considerar o estado de conservação, desempenho, funcionalidade, possibilidade de manutenção e compatibilidade dos equipamentos com os sistemas utilizados pela Administração, não se adotando a substituição automática apenas em razão do tempo de uso. Sempre que técnica e economicamente viável, deverá ser priorizado o aproveitamento dos equipamentos existentes mediante manutenção ou atualização de componentes.</w:t>
            </w:r>
            <w:r w:rsidR="00EB1CDF">
              <w:rPr>
                <w:rFonts w:ascii="Times New Roman" w:eastAsia="Times New Roman" w:hAnsi="Times New Roman" w:cs="Times New Roman"/>
                <w:iCs/>
                <w:sz w:val="20"/>
                <w:szCs w:val="20"/>
                <w:lang w:eastAsia="pt-BR"/>
              </w:rPr>
              <w:t xml:space="preserve"> </w:t>
            </w:r>
            <w:r w:rsidRPr="009953EA">
              <w:rPr>
                <w:rFonts w:ascii="Times New Roman" w:eastAsia="Times New Roman" w:hAnsi="Times New Roman" w:cs="Times New Roman"/>
                <w:iCs/>
                <w:sz w:val="20"/>
                <w:szCs w:val="20"/>
                <w:lang w:eastAsia="pt-BR"/>
              </w:rPr>
              <w:t>A consolidação das necessidades das diferentes Secretarias em um único procedimento permitirá agregar quantitativos de itens semelhantes, proporcionar economia de escala e racionalizar os procedimentos administrativos, sem afastar a adjudicação por item e a participação de fornecedores especializados.</w:t>
            </w:r>
          </w:p>
          <w:p w14:paraId="5CE5A093" w14:textId="7C52B3A8" w:rsidR="009953EA" w:rsidRPr="009953EA" w:rsidRDefault="009953EA" w:rsidP="009953EA">
            <w:pPr>
              <w:spacing w:after="0" w:line="276" w:lineRule="auto"/>
              <w:ind w:firstLine="596"/>
              <w:rPr>
                <w:rFonts w:ascii="Times New Roman" w:eastAsia="Times New Roman" w:hAnsi="Times New Roman" w:cs="Times New Roman"/>
                <w:iCs/>
                <w:sz w:val="20"/>
                <w:szCs w:val="20"/>
                <w:lang w:eastAsia="pt-BR"/>
              </w:rPr>
            </w:pPr>
            <w:r w:rsidRPr="009953EA">
              <w:rPr>
                <w:rFonts w:ascii="Times New Roman" w:eastAsia="Times New Roman" w:hAnsi="Times New Roman" w:cs="Times New Roman"/>
                <w:iCs/>
                <w:sz w:val="20"/>
                <w:szCs w:val="20"/>
                <w:lang w:eastAsia="pt-BR"/>
              </w:rPr>
              <w:t xml:space="preserve">Os quantitativos definidos representarão os </w:t>
            </w:r>
            <w:r w:rsidRPr="009953EA">
              <w:rPr>
                <w:rFonts w:ascii="Times New Roman" w:eastAsia="Times New Roman" w:hAnsi="Times New Roman" w:cs="Times New Roman"/>
                <w:b/>
                <w:bCs/>
                <w:iCs/>
                <w:sz w:val="20"/>
                <w:szCs w:val="20"/>
                <w:lang w:eastAsia="pt-BR"/>
              </w:rPr>
              <w:t>limites máximos estimados para a vigência da Ata de Registro de Preços</w:t>
            </w:r>
            <w:r w:rsidRPr="009953EA">
              <w:rPr>
                <w:rFonts w:ascii="Times New Roman" w:eastAsia="Times New Roman" w:hAnsi="Times New Roman" w:cs="Times New Roman"/>
                <w:iCs/>
                <w:sz w:val="20"/>
                <w:szCs w:val="20"/>
                <w:lang w:eastAsia="pt-BR"/>
              </w:rPr>
              <w:t>, não constituindo obrigação de aquisição integral nem assegurando ao fornecedor quantidade mínima de fornecimento. As aquisições ocorrerão conforme as necessidades efetivamente verificadas, mediante soli</w:t>
            </w:r>
            <w:r w:rsidR="00EB1CDF">
              <w:rPr>
                <w:rFonts w:ascii="Times New Roman" w:eastAsia="Times New Roman" w:hAnsi="Times New Roman" w:cs="Times New Roman"/>
                <w:iCs/>
                <w:sz w:val="20"/>
                <w:szCs w:val="20"/>
                <w:lang w:eastAsia="pt-BR"/>
              </w:rPr>
              <w:t>c</w:t>
            </w:r>
            <w:r w:rsidRPr="009953EA">
              <w:rPr>
                <w:rFonts w:ascii="Times New Roman" w:eastAsia="Times New Roman" w:hAnsi="Times New Roman" w:cs="Times New Roman"/>
                <w:iCs/>
                <w:sz w:val="20"/>
                <w:szCs w:val="20"/>
                <w:lang w:eastAsia="pt-BR"/>
              </w:rPr>
              <w:t>itação formal e observada a disponibilidade orçamentária correspondente.</w:t>
            </w:r>
            <w:r w:rsidR="00EB1CDF">
              <w:rPr>
                <w:rFonts w:ascii="Times New Roman" w:eastAsia="Times New Roman" w:hAnsi="Times New Roman" w:cs="Times New Roman"/>
                <w:iCs/>
                <w:sz w:val="20"/>
                <w:szCs w:val="20"/>
                <w:lang w:eastAsia="pt-BR"/>
              </w:rPr>
              <w:t xml:space="preserve"> </w:t>
            </w:r>
            <w:r w:rsidRPr="009953EA">
              <w:rPr>
                <w:rFonts w:ascii="Times New Roman" w:eastAsia="Times New Roman" w:hAnsi="Times New Roman" w:cs="Times New Roman"/>
                <w:iCs/>
                <w:sz w:val="20"/>
                <w:szCs w:val="20"/>
                <w:lang w:eastAsia="pt-BR"/>
              </w:rPr>
              <w:t>Dessa forma, o dimensionamento busca estabelecer quantitativos compatíveis com a realidade administrativa do Município, suficientes para atender às demandas previsíveis durante o período de vigência da contratação, sem formação de estoques excessivos ou aquisição antecipada de equipamentos sujeitos à obsolescência tecnológica.</w:t>
            </w:r>
          </w:p>
          <w:p w14:paraId="0F2CE162" w14:textId="09EFCA27" w:rsidR="00CC7762" w:rsidRPr="009953EA" w:rsidRDefault="009953EA" w:rsidP="007F0FED">
            <w:pPr>
              <w:spacing w:after="0" w:line="276" w:lineRule="auto"/>
              <w:ind w:firstLine="596"/>
              <w:rPr>
                <w:rFonts w:ascii="Times New Roman" w:eastAsia="Times New Roman" w:hAnsi="Times New Roman" w:cs="Times New Roman"/>
                <w:iCs/>
                <w:sz w:val="20"/>
                <w:szCs w:val="20"/>
                <w:lang w:eastAsia="pt-BR"/>
              </w:rPr>
            </w:pPr>
            <w:r w:rsidRPr="009953EA">
              <w:rPr>
                <w:rFonts w:ascii="Times New Roman" w:eastAsia="Times New Roman" w:hAnsi="Times New Roman" w:cs="Times New Roman"/>
                <w:iCs/>
                <w:sz w:val="20"/>
                <w:szCs w:val="20"/>
                <w:lang w:eastAsia="pt-BR"/>
              </w:rPr>
              <w:t>As quantidades estimadas, respectivas unidades de medida e especificações serão discriminadas em quadro próprio integrante deste Estudo Técnico Preliminar e posteriormente consolidadas no Termo de Referência, permanecendo juntadas ao processo as memórias de cálculo e os documentos utilizados como suporte ao dimensionamento.</w:t>
            </w:r>
          </w:p>
        </w:tc>
      </w:tr>
    </w:tbl>
    <w:p w14:paraId="6E7C030A" w14:textId="77777777" w:rsidR="008F76F3" w:rsidRPr="00A00198" w:rsidRDefault="008F76F3" w:rsidP="000C5622">
      <w:pPr>
        <w:pStyle w:val="Default"/>
        <w:spacing w:line="276" w:lineRule="auto"/>
        <w:jc w:val="both"/>
        <w:rPr>
          <w:rFonts w:eastAsia="Times New Roman"/>
          <w:i/>
          <w:color w:val="auto"/>
          <w:sz w:val="20"/>
          <w:szCs w:val="20"/>
          <w:lang w:eastAsia="pt-BR"/>
        </w:rPr>
      </w:pPr>
    </w:p>
    <w:tbl>
      <w:tblPr>
        <w:tblStyle w:val="Tabelacomgrade"/>
        <w:tblW w:w="9209" w:type="dxa"/>
        <w:tblLook w:val="04A0" w:firstRow="1" w:lastRow="0" w:firstColumn="1" w:lastColumn="0" w:noHBand="0" w:noVBand="1"/>
      </w:tblPr>
      <w:tblGrid>
        <w:gridCol w:w="9209"/>
      </w:tblGrid>
      <w:tr w:rsidR="008F76F3" w:rsidRPr="00A00198" w14:paraId="21089FAE" w14:textId="77777777" w:rsidTr="001F2A7D">
        <w:tc>
          <w:tcPr>
            <w:tcW w:w="9209" w:type="dxa"/>
          </w:tcPr>
          <w:p w14:paraId="268D97E3" w14:textId="4D1A7DC4" w:rsidR="008F76F3" w:rsidRPr="00A00198" w:rsidRDefault="008F76F3" w:rsidP="000C5622">
            <w:pPr>
              <w:spacing w:after="0" w:line="276" w:lineRule="auto"/>
              <w:ind w:firstLine="0"/>
              <w:rPr>
                <w:rFonts w:ascii="Times New Roman" w:hAnsi="Times New Roman" w:cs="Times New Roman"/>
                <w:b/>
                <w:sz w:val="20"/>
                <w:szCs w:val="20"/>
              </w:rPr>
            </w:pPr>
            <w:r w:rsidRPr="00A00198">
              <w:rPr>
                <w:rFonts w:ascii="Times New Roman" w:hAnsi="Times New Roman" w:cs="Times New Roman"/>
                <w:b/>
                <w:sz w:val="20"/>
                <w:szCs w:val="20"/>
              </w:rPr>
              <w:t>5 – LEVANTAMENTO DE MERCADO</w:t>
            </w:r>
            <w:r w:rsidR="00FC4923">
              <w:rPr>
                <w:rFonts w:ascii="Times New Roman" w:hAnsi="Times New Roman" w:cs="Times New Roman"/>
                <w:b/>
                <w:sz w:val="20"/>
                <w:szCs w:val="20"/>
              </w:rPr>
              <w:t>:</w:t>
            </w:r>
          </w:p>
        </w:tc>
      </w:tr>
      <w:tr w:rsidR="008F76F3" w:rsidRPr="00A00198" w14:paraId="2B9D2A83" w14:textId="77777777" w:rsidTr="001F2A7D">
        <w:tc>
          <w:tcPr>
            <w:tcW w:w="9209" w:type="dxa"/>
            <w:shd w:val="clear" w:color="auto" w:fill="F2F2F2" w:themeFill="background1" w:themeFillShade="F2"/>
          </w:tcPr>
          <w:p w14:paraId="62E2A33C" w14:textId="5EF28DD9" w:rsidR="008F76F3" w:rsidRPr="00A00198" w:rsidRDefault="008F76F3" w:rsidP="000C5622">
            <w:pPr>
              <w:spacing w:after="0" w:line="276" w:lineRule="auto"/>
              <w:ind w:firstLine="0"/>
              <w:rPr>
                <w:rFonts w:ascii="Times New Roman" w:eastAsia="Times New Roman" w:hAnsi="Times New Roman" w:cs="Times New Roman"/>
                <w:color w:val="000000"/>
                <w:sz w:val="20"/>
                <w:szCs w:val="20"/>
                <w:lang w:eastAsia="pt-BR"/>
              </w:rPr>
            </w:pPr>
            <w:r w:rsidRPr="00A00198">
              <w:rPr>
                <w:rFonts w:ascii="Times New Roman" w:eastAsia="Times New Roman" w:hAnsi="Times New Roman" w:cs="Times New Roman"/>
                <w:bCs/>
                <w:color w:val="000000"/>
                <w:sz w:val="20"/>
                <w:szCs w:val="20"/>
                <w:lang w:eastAsia="pt-BR"/>
              </w:rPr>
              <w:t xml:space="preserve">Fundamentação: </w:t>
            </w:r>
            <w:r w:rsidRPr="00A00198">
              <w:rPr>
                <w:rFonts w:ascii="Times New Roman" w:hAnsi="Times New Roman" w:cs="Times New Roman"/>
                <w:sz w:val="20"/>
                <w:szCs w:val="20"/>
              </w:rPr>
              <w:t>Levantamento de mercado, que consiste na análise das alternativas possíveis, e justificativa técnica e econômica da escolha do tipo de solução a contratar (</w:t>
            </w:r>
            <w:r w:rsidRPr="00A00198">
              <w:rPr>
                <w:rFonts w:ascii="Times New Roman" w:eastAsia="Times New Roman" w:hAnsi="Times New Roman" w:cs="Times New Roman"/>
                <w:color w:val="000000"/>
                <w:sz w:val="20"/>
                <w:szCs w:val="20"/>
                <w:lang w:eastAsia="pt-BR"/>
              </w:rPr>
              <w:t>inciso V do § 1° do art. 18 da Lei 14.133/2021)</w:t>
            </w:r>
            <w:r w:rsidR="00E776F1">
              <w:rPr>
                <w:rFonts w:ascii="Times New Roman" w:eastAsia="Times New Roman" w:hAnsi="Times New Roman" w:cs="Times New Roman"/>
                <w:color w:val="000000"/>
                <w:sz w:val="20"/>
                <w:szCs w:val="20"/>
                <w:lang w:eastAsia="pt-BR"/>
              </w:rPr>
              <w:t>:</w:t>
            </w:r>
          </w:p>
        </w:tc>
      </w:tr>
      <w:tr w:rsidR="008F76F3" w:rsidRPr="00A00198" w14:paraId="60E2412E" w14:textId="77777777" w:rsidTr="001F2A7D">
        <w:tc>
          <w:tcPr>
            <w:tcW w:w="9209" w:type="dxa"/>
          </w:tcPr>
          <w:p w14:paraId="46680F51" w14:textId="52EF73F8" w:rsidR="00EB1CDF" w:rsidRPr="00EB1CDF" w:rsidRDefault="00EB1CDF" w:rsidP="00EB1CDF">
            <w:pPr>
              <w:spacing w:after="0" w:line="276" w:lineRule="auto"/>
              <w:ind w:firstLine="596"/>
              <w:rPr>
                <w:rFonts w:ascii="Times New Roman" w:hAnsi="Times New Roman" w:cs="Times New Roman"/>
                <w:sz w:val="20"/>
                <w:szCs w:val="20"/>
              </w:rPr>
            </w:pPr>
            <w:r w:rsidRPr="00EB1CDF">
              <w:rPr>
                <w:rFonts w:ascii="Times New Roman" w:hAnsi="Times New Roman" w:cs="Times New Roman"/>
                <w:sz w:val="20"/>
                <w:szCs w:val="20"/>
              </w:rPr>
              <w:t>O levantamento de mercado foi realizado com o objetivo de identificar as soluções disponíveis para atendimento das necessidades de manutenção, reposição, atualização e ampliação da infraestrutura de informática das Secretarias Municipais, considerando tanto a aquisição de novos equipamentos quanto alternativas destinadas ao aproveitamento do parque tecnológico existente ou à adoção de outros modelos de disponibilização dos recursos computacionais.</w:t>
            </w:r>
            <w:r>
              <w:rPr>
                <w:rFonts w:ascii="Times New Roman" w:hAnsi="Times New Roman" w:cs="Times New Roman"/>
                <w:sz w:val="20"/>
                <w:szCs w:val="20"/>
              </w:rPr>
              <w:t xml:space="preserve"> </w:t>
            </w:r>
            <w:r w:rsidRPr="00EB1CDF">
              <w:rPr>
                <w:rFonts w:ascii="Times New Roman" w:hAnsi="Times New Roman" w:cs="Times New Roman"/>
                <w:sz w:val="20"/>
                <w:szCs w:val="20"/>
              </w:rPr>
              <w:t>A análise considerou a diversidade dos itens necessários à Administração, abrangendo materiais, componentes, acessórios, periféricos e equipamentos permanentes de maior valor agregado, bem como aspectos relacionados à vida útil dos bens existentes, possibilidade de manutenção e atualização, compatibilidade com a infraestrutura instalada, garantia, assistência técnica, obsolescência tecnológica, formação patrimonial, continuidade operacional e custos associados à utilização da solução.</w:t>
            </w:r>
          </w:p>
          <w:p w14:paraId="749C7114" w14:textId="1EAFC23A" w:rsidR="00EB1CDF" w:rsidRPr="00EB1CDF" w:rsidRDefault="00EB1CDF" w:rsidP="00EB1CDF">
            <w:pPr>
              <w:spacing w:after="0" w:line="276" w:lineRule="auto"/>
              <w:ind w:firstLine="596"/>
              <w:rPr>
                <w:rFonts w:ascii="Times New Roman" w:hAnsi="Times New Roman" w:cs="Times New Roman"/>
                <w:sz w:val="20"/>
                <w:szCs w:val="20"/>
              </w:rPr>
            </w:pPr>
            <w:r w:rsidRPr="00EB1CDF">
              <w:rPr>
                <w:rFonts w:ascii="Times New Roman" w:hAnsi="Times New Roman" w:cs="Times New Roman"/>
                <w:sz w:val="20"/>
                <w:szCs w:val="20"/>
              </w:rPr>
              <w:t>A Lei Federal nº 14.133/2021 determina que o planejamento das compras considere a expectativa de consumo anual, a utilização do Sistema de Registro de Preços quando pertinente, a padronização, a compatibilidade técnica, o parcelamento e as condições de manutenção e assistência técnica. Além disso, o art. 44 estabelece que, havendo possibilidade de compra ou locação de bens, o ETP deverá considerar os custos e benefícios de cada alternativa e indicar aquela que se mostrar mais vantajosa.</w:t>
            </w:r>
            <w:r>
              <w:rPr>
                <w:rFonts w:ascii="Times New Roman" w:hAnsi="Times New Roman" w:cs="Times New Roman"/>
                <w:sz w:val="20"/>
                <w:szCs w:val="20"/>
              </w:rPr>
              <w:t xml:space="preserve"> </w:t>
            </w:r>
            <w:r w:rsidRPr="00EB1CDF">
              <w:rPr>
                <w:rFonts w:ascii="Times New Roman" w:hAnsi="Times New Roman" w:cs="Times New Roman"/>
                <w:sz w:val="20"/>
                <w:szCs w:val="20"/>
              </w:rPr>
              <w:t>Foram identificadas e analisadas as seguintes soluções:</w:t>
            </w:r>
          </w:p>
          <w:p w14:paraId="05C69BC7" w14:textId="78AC9A78" w:rsidR="00EB1CDF" w:rsidRPr="00EB1CDF" w:rsidRDefault="00EB1CDF" w:rsidP="00EB1CDF">
            <w:pPr>
              <w:spacing w:after="0" w:line="276" w:lineRule="auto"/>
              <w:ind w:firstLine="596"/>
              <w:rPr>
                <w:rFonts w:ascii="Times New Roman" w:hAnsi="Times New Roman" w:cs="Times New Roman"/>
                <w:sz w:val="20"/>
                <w:szCs w:val="20"/>
              </w:rPr>
            </w:pPr>
            <w:r w:rsidRPr="00EB1CDF">
              <w:rPr>
                <w:rFonts w:ascii="Times New Roman" w:hAnsi="Times New Roman" w:cs="Times New Roman"/>
                <w:b/>
                <w:bCs/>
                <w:sz w:val="20"/>
                <w:szCs w:val="20"/>
              </w:rPr>
              <w:t>a) Substituição do parque por aquisição de equipamentos novos:</w:t>
            </w:r>
            <w:r w:rsidRPr="00EB1CDF">
              <w:rPr>
                <w:rFonts w:ascii="Times New Roman" w:hAnsi="Times New Roman" w:cs="Times New Roman"/>
                <w:sz w:val="20"/>
                <w:szCs w:val="20"/>
              </w:rPr>
              <w:t xml:space="preserve"> A aquisição de novos equipamentos permite a renovação do parque tecnológico, assegura ao Município a propriedade dos bens e possibilita definir previamente as configurações necessárias ao uso institucional.</w:t>
            </w:r>
            <w:r>
              <w:rPr>
                <w:rFonts w:ascii="Times New Roman" w:hAnsi="Times New Roman" w:cs="Times New Roman"/>
                <w:sz w:val="20"/>
                <w:szCs w:val="20"/>
              </w:rPr>
              <w:t xml:space="preserve"> </w:t>
            </w:r>
            <w:r w:rsidRPr="00EB1CDF">
              <w:rPr>
                <w:rFonts w:ascii="Times New Roman" w:hAnsi="Times New Roman" w:cs="Times New Roman"/>
                <w:sz w:val="20"/>
                <w:szCs w:val="20"/>
              </w:rPr>
              <w:t>Entretanto, a substituição integral ou indiscriminada do parque não se mostra adequada, pois parte dos equipamentos existentes pode permanecer em utilização mediante substituição de componentes, ampliação de memória, instalação de unidades de armazenamento, troca de fontes, monitores, periféricos ou outras intervenções. A renovação antecipada de equipamentos ainda aproveitáveis implicaria maior desembolso e menor aproveitamento econômico dos bens existentes.</w:t>
            </w:r>
            <w:r>
              <w:rPr>
                <w:rFonts w:ascii="Times New Roman" w:hAnsi="Times New Roman" w:cs="Times New Roman"/>
                <w:sz w:val="20"/>
                <w:szCs w:val="20"/>
              </w:rPr>
              <w:t xml:space="preserve"> </w:t>
            </w:r>
            <w:r w:rsidRPr="00EB1CDF">
              <w:rPr>
                <w:rFonts w:ascii="Times New Roman" w:hAnsi="Times New Roman" w:cs="Times New Roman"/>
                <w:sz w:val="20"/>
                <w:szCs w:val="20"/>
              </w:rPr>
              <w:t>A aquisição de novos equipamentos mostra-se, portanto, adequada para ampliação da infraestrutura, criação de postos de trabalho, substituição de equipamentos obsoletos, danificados ou cuja recuperação não seja economicamente recomendável, não devendo ser utilizada como política automática de renovação integral do parque.</w:t>
            </w:r>
          </w:p>
          <w:p w14:paraId="0F7BF796" w14:textId="23DDB774" w:rsidR="00EB1CDF" w:rsidRPr="00EB1CDF" w:rsidRDefault="00EB1CDF" w:rsidP="00EB1CDF">
            <w:pPr>
              <w:spacing w:after="0" w:line="276" w:lineRule="auto"/>
              <w:ind w:firstLine="596"/>
              <w:rPr>
                <w:rFonts w:ascii="Times New Roman" w:hAnsi="Times New Roman" w:cs="Times New Roman"/>
                <w:sz w:val="20"/>
                <w:szCs w:val="20"/>
              </w:rPr>
            </w:pPr>
            <w:r w:rsidRPr="00EB1CDF">
              <w:rPr>
                <w:rFonts w:ascii="Times New Roman" w:hAnsi="Times New Roman" w:cs="Times New Roman"/>
                <w:b/>
                <w:bCs/>
                <w:sz w:val="20"/>
                <w:szCs w:val="20"/>
              </w:rPr>
              <w:t>b) Manutenção, recuperação e atualização dos equipamentos existentes:</w:t>
            </w:r>
            <w:r w:rsidRPr="00EB1CDF">
              <w:rPr>
                <w:rFonts w:ascii="Times New Roman" w:hAnsi="Times New Roman" w:cs="Times New Roman"/>
                <w:sz w:val="20"/>
                <w:szCs w:val="20"/>
              </w:rPr>
              <w:t xml:space="preserve"> Essa alternativa consiste na aquisição de componentes, peças, periféricos e acessórios necessários à manutenção e atualização dos equipamentos que ainda apresentem condições adequadas de utilização, permitindo prolongar sua vida útil e preservar o investimento já realizado.</w:t>
            </w:r>
            <w:r>
              <w:rPr>
                <w:rFonts w:ascii="Times New Roman" w:hAnsi="Times New Roman" w:cs="Times New Roman"/>
                <w:sz w:val="20"/>
                <w:szCs w:val="20"/>
              </w:rPr>
              <w:t xml:space="preserve"> </w:t>
            </w:r>
            <w:r w:rsidRPr="00EB1CDF">
              <w:rPr>
                <w:rFonts w:ascii="Times New Roman" w:hAnsi="Times New Roman" w:cs="Times New Roman"/>
                <w:sz w:val="20"/>
                <w:szCs w:val="20"/>
              </w:rPr>
              <w:t>Em diversas situações, a perda de desempenho ou indisponibilidade decorre de componente específico, sendo mais racional substituir memória, unidade de armazenamento, fonte, monitor, teclado, mouse ou outro elemento do que adquirir equipamento completo. A atualização também permite recuperar desempenho sem promover renovação prematura.</w:t>
            </w:r>
            <w:r>
              <w:rPr>
                <w:rFonts w:ascii="Times New Roman" w:hAnsi="Times New Roman" w:cs="Times New Roman"/>
                <w:sz w:val="20"/>
                <w:szCs w:val="20"/>
              </w:rPr>
              <w:t xml:space="preserve"> </w:t>
            </w:r>
            <w:r w:rsidRPr="00EB1CDF">
              <w:rPr>
                <w:rFonts w:ascii="Times New Roman" w:hAnsi="Times New Roman" w:cs="Times New Roman"/>
                <w:sz w:val="20"/>
                <w:szCs w:val="20"/>
              </w:rPr>
              <w:t>A solução, contudo, não atende integralmente às necessidades do Município, pois determinados equipamentos podem apresentar obsolescência, incompatibilidade, desgaste ou falhas recorrentes que tornem sua manutenção desvantajosa. Também não supre necessidades de expansão do parque ou implantação de novos postos de trabalho.</w:t>
            </w:r>
          </w:p>
          <w:p w14:paraId="54F309B6" w14:textId="04AB9E61" w:rsidR="00EB1CDF" w:rsidRPr="00EB1CDF" w:rsidRDefault="00EB1CDF" w:rsidP="00EB1CDF">
            <w:pPr>
              <w:spacing w:after="0" w:line="276" w:lineRule="auto"/>
              <w:ind w:firstLine="596"/>
              <w:rPr>
                <w:rFonts w:ascii="Times New Roman" w:hAnsi="Times New Roman" w:cs="Times New Roman"/>
                <w:sz w:val="20"/>
                <w:szCs w:val="20"/>
              </w:rPr>
            </w:pPr>
            <w:r w:rsidRPr="00EB1CDF">
              <w:rPr>
                <w:rFonts w:ascii="Times New Roman" w:hAnsi="Times New Roman" w:cs="Times New Roman"/>
                <w:b/>
                <w:bCs/>
                <w:sz w:val="20"/>
                <w:szCs w:val="20"/>
              </w:rPr>
              <w:t>c) Locação de equipamentos de informática com manutenção e suporte:</w:t>
            </w:r>
            <w:r w:rsidRPr="00EB1CDF">
              <w:rPr>
                <w:rFonts w:ascii="Times New Roman" w:hAnsi="Times New Roman" w:cs="Times New Roman"/>
                <w:sz w:val="20"/>
                <w:szCs w:val="20"/>
              </w:rPr>
              <w:t xml:space="preserve"> O mercado disponibiliza modelos de locação de computadores, notebooks e outras estações de trabalho mediante pagamento periódico, podendo incluir manutenção, suporte técnico, substituição de equipamentos defeituosos e renovação tecnológica.</w:t>
            </w:r>
            <w:r>
              <w:rPr>
                <w:rFonts w:ascii="Times New Roman" w:hAnsi="Times New Roman" w:cs="Times New Roman"/>
                <w:sz w:val="20"/>
                <w:szCs w:val="20"/>
              </w:rPr>
              <w:t xml:space="preserve"> </w:t>
            </w:r>
            <w:r w:rsidRPr="00EB1CDF">
              <w:rPr>
                <w:rFonts w:ascii="Times New Roman" w:hAnsi="Times New Roman" w:cs="Times New Roman"/>
                <w:sz w:val="20"/>
                <w:szCs w:val="20"/>
              </w:rPr>
              <w:t>Esse modelo pode ser vantajoso em situações de uso temporário, necessidade de renovação frequente ou quando se pretende transferir ao contratado parcela dos riscos de manutenção e obsolescência. Entretanto, não apresenta aderência integral à presente demanda, que também envolve componentes, dispositivos de armazenamento, equipamentos de rede, cabos, fontes, periféricos e acessórios destinados à manutenção do parque já existente.</w:t>
            </w:r>
            <w:r>
              <w:rPr>
                <w:rFonts w:ascii="Times New Roman" w:hAnsi="Times New Roman" w:cs="Times New Roman"/>
                <w:sz w:val="20"/>
                <w:szCs w:val="20"/>
              </w:rPr>
              <w:t xml:space="preserve"> </w:t>
            </w:r>
            <w:r w:rsidRPr="00EB1CDF">
              <w:rPr>
                <w:rFonts w:ascii="Times New Roman" w:hAnsi="Times New Roman" w:cs="Times New Roman"/>
                <w:sz w:val="20"/>
                <w:szCs w:val="20"/>
              </w:rPr>
              <w:t>Diante da heterogeneidade do objeto e da necessidade simultânea de adquirir componentes e equipamentos completos, a locação não se mostra adequada como solução global. Sua utilização futura para determinada categoria específica de equipamento poderá ser analisada em estudo próprio, mediante demonstração de vantagem técnica e econômica.</w:t>
            </w:r>
          </w:p>
          <w:p w14:paraId="35E767BE" w14:textId="73FC4325" w:rsidR="00EB1CDF" w:rsidRPr="00EB1CDF" w:rsidRDefault="00EB1CDF" w:rsidP="00EB1CDF">
            <w:pPr>
              <w:spacing w:after="0" w:line="276" w:lineRule="auto"/>
              <w:ind w:firstLine="596"/>
              <w:rPr>
                <w:rFonts w:ascii="Times New Roman" w:hAnsi="Times New Roman" w:cs="Times New Roman"/>
                <w:sz w:val="20"/>
                <w:szCs w:val="20"/>
              </w:rPr>
            </w:pPr>
            <w:r w:rsidRPr="00EB1CDF">
              <w:rPr>
                <w:rFonts w:ascii="Times New Roman" w:hAnsi="Times New Roman" w:cs="Times New Roman"/>
                <w:b/>
                <w:bCs/>
                <w:sz w:val="20"/>
                <w:szCs w:val="20"/>
              </w:rPr>
              <w:t>d) Solução combinada: manutenção e atualização do parque existente associadas à aquisição seletiva de novos equipamentos:</w:t>
            </w:r>
            <w:r w:rsidRPr="00EB1CDF">
              <w:rPr>
                <w:rFonts w:ascii="Times New Roman" w:hAnsi="Times New Roman" w:cs="Times New Roman"/>
                <w:sz w:val="20"/>
                <w:szCs w:val="20"/>
              </w:rPr>
              <w:t xml:space="preserve"> A análise demonstra que a necessidade municipal não é adequadamente atendida por uma estratégia exclusiva de substituição integral, manutenção ou locação. A solução de maior aderência consiste na combinação entre o aproveitamento dos equipamentos existentes e a aquisição seletiva de novos bens.</w:t>
            </w:r>
            <w:r>
              <w:rPr>
                <w:rFonts w:ascii="Times New Roman" w:hAnsi="Times New Roman" w:cs="Times New Roman"/>
                <w:sz w:val="20"/>
                <w:szCs w:val="20"/>
              </w:rPr>
              <w:t xml:space="preserve"> </w:t>
            </w:r>
            <w:r w:rsidRPr="00EB1CDF">
              <w:rPr>
                <w:rFonts w:ascii="Times New Roman" w:hAnsi="Times New Roman" w:cs="Times New Roman"/>
                <w:sz w:val="20"/>
                <w:szCs w:val="20"/>
              </w:rPr>
              <w:t>Nesse modelo, componentes, periféricos e acessórios serão utilizados para manutenção e atualização dos equipamentos cuja continuidade permaneça tecnicamente adequada, enquanto novos equipamentos serão adquiridos quando necessária a substituição, modernização ou ampliação da infraestrutura.</w:t>
            </w:r>
            <w:r>
              <w:rPr>
                <w:rFonts w:ascii="Times New Roman" w:hAnsi="Times New Roman" w:cs="Times New Roman"/>
                <w:sz w:val="20"/>
                <w:szCs w:val="20"/>
              </w:rPr>
              <w:t xml:space="preserve"> </w:t>
            </w:r>
            <w:r w:rsidRPr="00EB1CDF">
              <w:rPr>
                <w:rFonts w:ascii="Times New Roman" w:hAnsi="Times New Roman" w:cs="Times New Roman"/>
                <w:sz w:val="20"/>
                <w:szCs w:val="20"/>
              </w:rPr>
              <w:t>A solução combinada permite adequar a decisão à situação concreta de cada equipamento, evitando tanto substituições prematuras quanto a manutenção excessiva de bens obsoletos. Dessa forma, proporciona melhor aproveitamento do patrimônio existente, reduz aquisições desnecessárias e preserva a capacidade de atendimento das demandas de expansão e modernização.</w:t>
            </w:r>
          </w:p>
          <w:p w14:paraId="2BBAC32F" w14:textId="77777777" w:rsidR="00BF4B2A" w:rsidRDefault="00BF4B2A" w:rsidP="00BF4B2A">
            <w:pPr>
              <w:spacing w:after="0" w:line="276" w:lineRule="auto"/>
              <w:ind w:firstLine="596"/>
              <w:rPr>
                <w:rFonts w:ascii="Times New Roman" w:hAnsi="Times New Roman" w:cs="Times New Roman"/>
                <w:sz w:val="20"/>
                <w:szCs w:val="20"/>
              </w:rPr>
            </w:pPr>
          </w:p>
          <w:p w14:paraId="7A00A8A8" w14:textId="77777777" w:rsidR="00EB1CDF" w:rsidRDefault="00EB1CDF" w:rsidP="00BF4B2A">
            <w:pPr>
              <w:spacing w:after="0" w:line="276" w:lineRule="auto"/>
              <w:ind w:firstLine="596"/>
              <w:rPr>
                <w:rFonts w:ascii="Times New Roman" w:hAnsi="Times New Roman" w:cs="Times New Roman"/>
                <w:sz w:val="20"/>
                <w:szCs w:val="20"/>
              </w:rPr>
            </w:pPr>
          </w:p>
          <w:p w14:paraId="4F75E360" w14:textId="3415C59E" w:rsidR="00BF4B2A" w:rsidRPr="00EB1CDF" w:rsidRDefault="00BF4B2A" w:rsidP="00BF4B2A">
            <w:pPr>
              <w:spacing w:after="0" w:line="276" w:lineRule="auto"/>
              <w:ind w:firstLine="0"/>
              <w:jc w:val="center"/>
              <w:rPr>
                <w:rFonts w:ascii="Times New Roman" w:hAnsi="Times New Roman" w:cs="Times New Roman"/>
                <w:b/>
                <w:bCs/>
                <w:sz w:val="20"/>
                <w:szCs w:val="20"/>
              </w:rPr>
            </w:pPr>
            <w:r w:rsidRPr="00EB1CDF">
              <w:rPr>
                <w:rFonts w:ascii="Times New Roman" w:hAnsi="Times New Roman" w:cs="Times New Roman"/>
                <w:b/>
                <w:bCs/>
                <w:sz w:val="20"/>
                <w:szCs w:val="20"/>
              </w:rPr>
              <w:t>QUADRO COMPARATIVO DE ALTERNATIVAS:</w:t>
            </w:r>
          </w:p>
          <w:tbl>
            <w:tblPr>
              <w:tblStyle w:val="Tabelacomgrade"/>
              <w:tblW w:w="0" w:type="auto"/>
              <w:tblLook w:val="04A0" w:firstRow="1" w:lastRow="0" w:firstColumn="1" w:lastColumn="0" w:noHBand="0" w:noVBand="1"/>
            </w:tblPr>
            <w:tblGrid>
              <w:gridCol w:w="1485"/>
              <w:gridCol w:w="1415"/>
              <w:gridCol w:w="1345"/>
              <w:gridCol w:w="1441"/>
              <w:gridCol w:w="1217"/>
              <w:gridCol w:w="2080"/>
            </w:tblGrid>
            <w:tr w:rsidR="00EB1CDF" w14:paraId="2DE4171F" w14:textId="77777777" w:rsidTr="00EB1CDF">
              <w:tc>
                <w:tcPr>
                  <w:tcW w:w="1600" w:type="dxa"/>
                  <w:vAlign w:val="center"/>
                </w:tcPr>
                <w:p w14:paraId="6B42F734" w14:textId="6F2B9D52"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b/>
                      <w:bCs/>
                      <w:szCs w:val="18"/>
                    </w:rPr>
                    <w:t>Alternativa</w:t>
                  </w:r>
                </w:p>
              </w:tc>
              <w:tc>
                <w:tcPr>
                  <w:tcW w:w="1460" w:type="dxa"/>
                  <w:vAlign w:val="center"/>
                </w:tcPr>
                <w:p w14:paraId="03128306" w14:textId="5106E720"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b/>
                      <w:bCs/>
                      <w:szCs w:val="18"/>
                    </w:rPr>
                    <w:t>Custo</w:t>
                  </w:r>
                </w:p>
              </w:tc>
              <w:tc>
                <w:tcPr>
                  <w:tcW w:w="1388" w:type="dxa"/>
                  <w:vAlign w:val="center"/>
                </w:tcPr>
                <w:p w14:paraId="78393DD7" w14:textId="1DDC83D6"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b/>
                      <w:bCs/>
                      <w:szCs w:val="18"/>
                    </w:rPr>
                    <w:t>Eficiência</w:t>
                  </w:r>
                </w:p>
              </w:tc>
              <w:tc>
                <w:tcPr>
                  <w:tcW w:w="1530" w:type="dxa"/>
                  <w:vAlign w:val="center"/>
                </w:tcPr>
                <w:p w14:paraId="470657F2" w14:textId="1FA3B1A6"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b/>
                      <w:bCs/>
                      <w:szCs w:val="18"/>
                    </w:rPr>
                    <w:t>Capacidade de Fornecimento</w:t>
                  </w:r>
                </w:p>
              </w:tc>
              <w:tc>
                <w:tcPr>
                  <w:tcW w:w="426" w:type="dxa"/>
                  <w:vAlign w:val="center"/>
                </w:tcPr>
                <w:p w14:paraId="5968AC9D" w14:textId="5081F487"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b/>
                      <w:bCs/>
                      <w:szCs w:val="18"/>
                    </w:rPr>
                    <w:t>Flexibilidade</w:t>
                  </w:r>
                </w:p>
              </w:tc>
              <w:tc>
                <w:tcPr>
                  <w:tcW w:w="2579" w:type="dxa"/>
                  <w:vAlign w:val="center"/>
                </w:tcPr>
                <w:p w14:paraId="1FB2EABD" w14:textId="141233DC"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b/>
                      <w:bCs/>
                      <w:szCs w:val="18"/>
                    </w:rPr>
                    <w:t>Alinhamento com os Objetivos do Município</w:t>
                  </w:r>
                </w:p>
              </w:tc>
            </w:tr>
            <w:tr w:rsidR="00EB1CDF" w14:paraId="4CE6BDE6" w14:textId="77777777" w:rsidTr="00EB1CDF">
              <w:tc>
                <w:tcPr>
                  <w:tcW w:w="1600" w:type="dxa"/>
                  <w:vAlign w:val="center"/>
                </w:tcPr>
                <w:p w14:paraId="2257DE86" w14:textId="0395A73F" w:rsidR="00EB1CDF" w:rsidRPr="00EB1CDF" w:rsidRDefault="00EB1CDF" w:rsidP="00EB1CDF">
                  <w:pPr>
                    <w:spacing w:after="0" w:line="276" w:lineRule="auto"/>
                    <w:ind w:firstLine="0"/>
                    <w:jc w:val="center"/>
                    <w:rPr>
                      <w:rFonts w:ascii="Times New Roman" w:hAnsi="Times New Roman" w:cs="Times New Roman"/>
                      <w:szCs w:val="18"/>
                    </w:rPr>
                  </w:pPr>
                  <w:r w:rsidRPr="00EB1CDF">
                    <w:rPr>
                      <w:rStyle w:val="Forte"/>
                      <w:rFonts w:ascii="Times New Roman" w:hAnsi="Times New Roman" w:cs="Times New Roman"/>
                      <w:szCs w:val="18"/>
                    </w:rPr>
                    <w:t>Aquisição e substituição integral por equipamentos novos</w:t>
                  </w:r>
                </w:p>
              </w:tc>
              <w:tc>
                <w:tcPr>
                  <w:tcW w:w="1460" w:type="dxa"/>
                  <w:vAlign w:val="center"/>
                </w:tcPr>
                <w:p w14:paraId="2000817D" w14:textId="1E6355D3"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szCs w:val="18"/>
                    </w:rPr>
                    <w:t>Maior desembolso inicial.</w:t>
                  </w:r>
                </w:p>
              </w:tc>
              <w:tc>
                <w:tcPr>
                  <w:tcW w:w="1388" w:type="dxa"/>
                  <w:vAlign w:val="center"/>
                </w:tcPr>
                <w:p w14:paraId="4E7464D6" w14:textId="2F211C1B"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szCs w:val="18"/>
                    </w:rPr>
                    <w:t>Boa para renovação do parque.</w:t>
                  </w:r>
                </w:p>
              </w:tc>
              <w:tc>
                <w:tcPr>
                  <w:tcW w:w="1530" w:type="dxa"/>
                  <w:vAlign w:val="center"/>
                </w:tcPr>
                <w:p w14:paraId="624D4A12" w14:textId="4503CC3E"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szCs w:val="18"/>
                    </w:rPr>
                    <w:t>Ampla oferta no mercado.</w:t>
                  </w:r>
                </w:p>
              </w:tc>
              <w:tc>
                <w:tcPr>
                  <w:tcW w:w="426" w:type="dxa"/>
                  <w:vAlign w:val="center"/>
                </w:tcPr>
                <w:p w14:paraId="4A1F76B2" w14:textId="6AB39CDF"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szCs w:val="18"/>
                    </w:rPr>
                    <w:t>Média.</w:t>
                  </w:r>
                </w:p>
              </w:tc>
              <w:tc>
                <w:tcPr>
                  <w:tcW w:w="2579" w:type="dxa"/>
                  <w:vAlign w:val="center"/>
                </w:tcPr>
                <w:p w14:paraId="3419628E" w14:textId="22A6BA6F"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szCs w:val="18"/>
                    </w:rPr>
                    <w:t>Parcial.</w:t>
                  </w:r>
                </w:p>
              </w:tc>
            </w:tr>
            <w:tr w:rsidR="00EB1CDF" w14:paraId="353C5AAE" w14:textId="77777777" w:rsidTr="00EB1CDF">
              <w:tc>
                <w:tcPr>
                  <w:tcW w:w="1600" w:type="dxa"/>
                  <w:vAlign w:val="center"/>
                </w:tcPr>
                <w:p w14:paraId="4B0FF200" w14:textId="62356EEF" w:rsidR="00EB1CDF" w:rsidRPr="00EB1CDF" w:rsidRDefault="00EB1CDF" w:rsidP="00EB1CDF">
                  <w:pPr>
                    <w:spacing w:after="0" w:line="276" w:lineRule="auto"/>
                    <w:ind w:firstLine="0"/>
                    <w:jc w:val="center"/>
                    <w:rPr>
                      <w:rFonts w:ascii="Times New Roman" w:hAnsi="Times New Roman" w:cs="Times New Roman"/>
                      <w:szCs w:val="18"/>
                    </w:rPr>
                  </w:pPr>
                  <w:r w:rsidRPr="00EB1CDF">
                    <w:rPr>
                      <w:rStyle w:val="Forte"/>
                      <w:rFonts w:ascii="Times New Roman" w:hAnsi="Times New Roman" w:cs="Times New Roman"/>
                      <w:szCs w:val="18"/>
                    </w:rPr>
                    <w:t>Manutenção, recuperação e atualização do parque existente</w:t>
                  </w:r>
                </w:p>
              </w:tc>
              <w:tc>
                <w:tcPr>
                  <w:tcW w:w="1460" w:type="dxa"/>
                  <w:vAlign w:val="center"/>
                </w:tcPr>
                <w:p w14:paraId="3DC3D4D9" w14:textId="5A07B414"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szCs w:val="18"/>
                    </w:rPr>
                    <w:t>Menor custo quando o equipamento é recuperável.</w:t>
                  </w:r>
                </w:p>
              </w:tc>
              <w:tc>
                <w:tcPr>
                  <w:tcW w:w="1388" w:type="dxa"/>
                  <w:vAlign w:val="center"/>
                </w:tcPr>
                <w:p w14:paraId="1CC9636C" w14:textId="760A45B4"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szCs w:val="18"/>
                    </w:rPr>
                    <w:t>Boa para prolongar a vida útil.</w:t>
                  </w:r>
                </w:p>
              </w:tc>
              <w:tc>
                <w:tcPr>
                  <w:tcW w:w="1530" w:type="dxa"/>
                  <w:vAlign w:val="center"/>
                </w:tcPr>
                <w:p w14:paraId="74F7F0DC" w14:textId="21DA666C"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szCs w:val="18"/>
                    </w:rPr>
                    <w:t>Boa oferta de componentes e periféricos.</w:t>
                  </w:r>
                </w:p>
              </w:tc>
              <w:tc>
                <w:tcPr>
                  <w:tcW w:w="426" w:type="dxa"/>
                  <w:vAlign w:val="center"/>
                </w:tcPr>
                <w:p w14:paraId="66E024D3" w14:textId="2B7E6D56"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szCs w:val="18"/>
                    </w:rPr>
                    <w:t>Alta.</w:t>
                  </w:r>
                </w:p>
              </w:tc>
              <w:tc>
                <w:tcPr>
                  <w:tcW w:w="2579" w:type="dxa"/>
                  <w:vAlign w:val="center"/>
                </w:tcPr>
                <w:p w14:paraId="3FF1AB10" w14:textId="10E466F7"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szCs w:val="18"/>
                    </w:rPr>
                    <w:t>Elevado.</w:t>
                  </w:r>
                </w:p>
              </w:tc>
            </w:tr>
            <w:tr w:rsidR="00EB1CDF" w14:paraId="615AAD2E" w14:textId="77777777" w:rsidTr="00EB1CDF">
              <w:tc>
                <w:tcPr>
                  <w:tcW w:w="1600" w:type="dxa"/>
                  <w:vAlign w:val="center"/>
                </w:tcPr>
                <w:p w14:paraId="676FA531" w14:textId="5B4F0426" w:rsidR="00EB1CDF" w:rsidRPr="00EB1CDF" w:rsidRDefault="00EB1CDF" w:rsidP="00EB1CDF">
                  <w:pPr>
                    <w:spacing w:after="0" w:line="276" w:lineRule="auto"/>
                    <w:ind w:firstLine="0"/>
                    <w:jc w:val="center"/>
                    <w:rPr>
                      <w:rFonts w:ascii="Times New Roman" w:hAnsi="Times New Roman" w:cs="Times New Roman"/>
                      <w:szCs w:val="18"/>
                    </w:rPr>
                  </w:pPr>
                  <w:r w:rsidRPr="00EB1CDF">
                    <w:rPr>
                      <w:rStyle w:val="Forte"/>
                      <w:rFonts w:ascii="Times New Roman" w:hAnsi="Times New Roman" w:cs="Times New Roman"/>
                      <w:szCs w:val="18"/>
                    </w:rPr>
                    <w:t>Locação de equipamentos de informática</w:t>
                  </w:r>
                </w:p>
              </w:tc>
              <w:tc>
                <w:tcPr>
                  <w:tcW w:w="1460" w:type="dxa"/>
                  <w:vAlign w:val="center"/>
                </w:tcPr>
                <w:p w14:paraId="41213CCA" w14:textId="33D5B660"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szCs w:val="18"/>
                    </w:rPr>
                    <w:t>Despesa recorrente durante a contratação.</w:t>
                  </w:r>
                </w:p>
              </w:tc>
              <w:tc>
                <w:tcPr>
                  <w:tcW w:w="1388" w:type="dxa"/>
                  <w:vAlign w:val="center"/>
                </w:tcPr>
                <w:p w14:paraId="3325F21E" w14:textId="3FDD6129"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szCs w:val="18"/>
                    </w:rPr>
                    <w:t>Adequada para equipamentos padronizados.</w:t>
                  </w:r>
                </w:p>
              </w:tc>
              <w:tc>
                <w:tcPr>
                  <w:tcW w:w="1530" w:type="dxa"/>
                  <w:vAlign w:val="center"/>
                </w:tcPr>
                <w:p w14:paraId="51C62F7B" w14:textId="34729CA1"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szCs w:val="18"/>
                    </w:rPr>
                    <w:t>Boa para computadores e notebooks.</w:t>
                  </w:r>
                </w:p>
              </w:tc>
              <w:tc>
                <w:tcPr>
                  <w:tcW w:w="426" w:type="dxa"/>
                  <w:vAlign w:val="center"/>
                </w:tcPr>
                <w:p w14:paraId="3B185F92" w14:textId="2006E1A5"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szCs w:val="18"/>
                    </w:rPr>
                    <w:t>Média.</w:t>
                  </w:r>
                </w:p>
              </w:tc>
              <w:tc>
                <w:tcPr>
                  <w:tcW w:w="2579" w:type="dxa"/>
                  <w:vAlign w:val="center"/>
                </w:tcPr>
                <w:p w14:paraId="31172E5F" w14:textId="1EDFD71D"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szCs w:val="18"/>
                    </w:rPr>
                    <w:t>Parcial.</w:t>
                  </w:r>
                </w:p>
              </w:tc>
            </w:tr>
            <w:tr w:rsidR="00EB1CDF" w14:paraId="1EDD9D78" w14:textId="77777777" w:rsidTr="00EB1CDF">
              <w:tc>
                <w:tcPr>
                  <w:tcW w:w="1600" w:type="dxa"/>
                  <w:vAlign w:val="center"/>
                </w:tcPr>
                <w:p w14:paraId="674C1009" w14:textId="633ED034" w:rsidR="00EB1CDF" w:rsidRPr="00EB1CDF" w:rsidRDefault="00EB1CDF" w:rsidP="00EB1CDF">
                  <w:pPr>
                    <w:spacing w:after="0" w:line="276" w:lineRule="auto"/>
                    <w:ind w:firstLine="0"/>
                    <w:jc w:val="center"/>
                    <w:rPr>
                      <w:rFonts w:ascii="Times New Roman" w:hAnsi="Times New Roman" w:cs="Times New Roman"/>
                      <w:szCs w:val="18"/>
                    </w:rPr>
                  </w:pPr>
                  <w:r w:rsidRPr="00EB1CDF">
                    <w:rPr>
                      <w:rStyle w:val="Forte"/>
                      <w:rFonts w:ascii="Times New Roman" w:hAnsi="Times New Roman" w:cs="Times New Roman"/>
                      <w:szCs w:val="18"/>
                    </w:rPr>
                    <w:t>Solução combinada</w:t>
                  </w:r>
                </w:p>
              </w:tc>
              <w:tc>
                <w:tcPr>
                  <w:tcW w:w="1460" w:type="dxa"/>
                  <w:vAlign w:val="center"/>
                </w:tcPr>
                <w:p w14:paraId="6C100701" w14:textId="0259C823"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szCs w:val="18"/>
                    </w:rPr>
                    <w:t>Melhor aproveitamento dos recursos.</w:t>
                  </w:r>
                </w:p>
              </w:tc>
              <w:tc>
                <w:tcPr>
                  <w:tcW w:w="1388" w:type="dxa"/>
                  <w:vAlign w:val="center"/>
                </w:tcPr>
                <w:p w14:paraId="3DE9941F" w14:textId="75040BF4"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szCs w:val="18"/>
                    </w:rPr>
                    <w:t>Alta, por combinar recuperação, reposição e modernização.</w:t>
                  </w:r>
                </w:p>
              </w:tc>
              <w:tc>
                <w:tcPr>
                  <w:tcW w:w="1530" w:type="dxa"/>
                  <w:vAlign w:val="center"/>
                </w:tcPr>
                <w:p w14:paraId="44E42C53" w14:textId="671C972F"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szCs w:val="18"/>
                    </w:rPr>
                    <w:t>Ampla oferta de componentes e equipamentos.</w:t>
                  </w:r>
                </w:p>
              </w:tc>
              <w:tc>
                <w:tcPr>
                  <w:tcW w:w="426" w:type="dxa"/>
                  <w:vAlign w:val="center"/>
                </w:tcPr>
                <w:p w14:paraId="00853570" w14:textId="22DB3B64"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szCs w:val="18"/>
                    </w:rPr>
                    <w:t>Alta.</w:t>
                  </w:r>
                </w:p>
              </w:tc>
              <w:tc>
                <w:tcPr>
                  <w:tcW w:w="2579" w:type="dxa"/>
                  <w:vAlign w:val="center"/>
                </w:tcPr>
                <w:p w14:paraId="115FAF88" w14:textId="52D83D79" w:rsidR="00EB1CDF" w:rsidRPr="00EB1CDF" w:rsidRDefault="00EB1CDF" w:rsidP="00EB1CDF">
                  <w:pPr>
                    <w:spacing w:after="0" w:line="276" w:lineRule="auto"/>
                    <w:ind w:firstLine="0"/>
                    <w:jc w:val="center"/>
                    <w:rPr>
                      <w:rFonts w:ascii="Times New Roman" w:hAnsi="Times New Roman" w:cs="Times New Roman"/>
                      <w:szCs w:val="18"/>
                    </w:rPr>
                  </w:pPr>
                  <w:r w:rsidRPr="00EB1CDF">
                    <w:rPr>
                      <w:rFonts w:ascii="Times New Roman" w:hAnsi="Times New Roman" w:cs="Times New Roman"/>
                      <w:szCs w:val="18"/>
                    </w:rPr>
                    <w:t>Elevado.</w:t>
                  </w:r>
                </w:p>
              </w:tc>
            </w:tr>
          </w:tbl>
          <w:p w14:paraId="37152C2D" w14:textId="77777777" w:rsidR="00BF4B2A" w:rsidRDefault="00BF4B2A" w:rsidP="00BF4B2A">
            <w:pPr>
              <w:spacing w:after="0" w:line="276" w:lineRule="auto"/>
              <w:ind w:firstLine="733"/>
              <w:rPr>
                <w:rFonts w:ascii="Times New Roman" w:hAnsi="Times New Roman" w:cs="Times New Roman"/>
                <w:sz w:val="20"/>
                <w:szCs w:val="20"/>
              </w:rPr>
            </w:pPr>
          </w:p>
          <w:p w14:paraId="5A4667ED" w14:textId="57DF92F2" w:rsidR="00BF4B2A" w:rsidRPr="00EB1CDF" w:rsidRDefault="00BF4B2A" w:rsidP="00BF4B2A">
            <w:pPr>
              <w:spacing w:after="0" w:line="276" w:lineRule="auto"/>
              <w:ind w:firstLine="733"/>
              <w:rPr>
                <w:rFonts w:ascii="Times New Roman" w:hAnsi="Times New Roman" w:cs="Times New Roman"/>
                <w:sz w:val="20"/>
                <w:szCs w:val="20"/>
              </w:rPr>
            </w:pPr>
            <w:r w:rsidRPr="00EB1CDF">
              <w:rPr>
                <w:rFonts w:ascii="Times New Roman" w:hAnsi="Times New Roman" w:cs="Times New Roman"/>
                <w:sz w:val="20"/>
                <w:szCs w:val="20"/>
              </w:rPr>
              <w:t>Diante do levantamento realizado, conclui-se que a solução técnica e operacionalmente mais adequada consiste na aquisição de materiais, componentes, periféricos e equipamentos novos, combinada com o aproveitamento, manutenção e atualização do parque tecnológico municipal existente, realizando-se a substituição de equipamentos somente quando necessária e atendendo às ampliações conforme as demandas das Secretarias Municipais.</w:t>
            </w:r>
          </w:p>
          <w:p w14:paraId="4774A4C7" w14:textId="3FF9B73C" w:rsidR="00BF4B2A" w:rsidRPr="00DD2D91" w:rsidRDefault="00BF4B2A" w:rsidP="00BF4B2A">
            <w:pPr>
              <w:spacing w:after="0" w:line="276" w:lineRule="auto"/>
              <w:ind w:firstLine="733"/>
              <w:rPr>
                <w:rFonts w:ascii="Times New Roman" w:hAnsi="Times New Roman" w:cs="Times New Roman"/>
                <w:sz w:val="20"/>
                <w:szCs w:val="20"/>
              </w:rPr>
            </w:pPr>
            <w:r w:rsidRPr="00BF4B2A">
              <w:rPr>
                <w:rFonts w:ascii="Times New Roman" w:hAnsi="Times New Roman" w:cs="Times New Roman"/>
                <w:sz w:val="20"/>
                <w:szCs w:val="20"/>
              </w:rPr>
              <w:t xml:space="preserve">A contratação será processada mediante Pregão Eletrônico, pelo Sistema de Registro de Preços, com adjudicação por item, possibilitando fornecimento futuro e parcelado, ampliação da competitividade, consolidação das demandas municipais, redução da formação de estoques e aquisição apenas dos quantitativos efetivamente necessários. Essa solução apresenta maior aderência ao problema identificado e permite compatibilizar continuidade operacional, atualização tecnológica, aproveitamento dos bens existentes e racionalização dos recursos públicos. </w:t>
            </w:r>
          </w:p>
        </w:tc>
      </w:tr>
    </w:tbl>
    <w:p w14:paraId="62EB6836" w14:textId="77777777" w:rsidR="008F76F3" w:rsidRPr="00A00198" w:rsidRDefault="008F76F3" w:rsidP="000C5622">
      <w:pPr>
        <w:spacing w:after="0" w:line="276" w:lineRule="auto"/>
        <w:rPr>
          <w:rFonts w:ascii="Times New Roman" w:eastAsia="Times New Roman" w:hAnsi="Times New Roman" w:cs="Times New Roman"/>
          <w:i/>
          <w:sz w:val="20"/>
          <w:szCs w:val="20"/>
          <w:lang w:eastAsia="pt-BR"/>
        </w:rPr>
      </w:pPr>
      <w:r w:rsidRPr="00A00198">
        <w:rPr>
          <w:rFonts w:ascii="Times New Roman" w:eastAsia="Times New Roman" w:hAnsi="Times New Roman" w:cs="Times New Roman"/>
          <w:i/>
          <w:sz w:val="20"/>
          <w:szCs w:val="20"/>
          <w:lang w:eastAsia="pt-BR"/>
        </w:rPr>
        <w:t xml:space="preserve"> </w:t>
      </w:r>
    </w:p>
    <w:tbl>
      <w:tblPr>
        <w:tblStyle w:val="Tabelacomgrade"/>
        <w:tblW w:w="9209" w:type="dxa"/>
        <w:tblLook w:val="04A0" w:firstRow="1" w:lastRow="0" w:firstColumn="1" w:lastColumn="0" w:noHBand="0" w:noVBand="1"/>
      </w:tblPr>
      <w:tblGrid>
        <w:gridCol w:w="9209"/>
      </w:tblGrid>
      <w:tr w:rsidR="008F76F3" w:rsidRPr="00A00198" w14:paraId="1EE56F1B" w14:textId="77777777" w:rsidTr="00C3667F">
        <w:tc>
          <w:tcPr>
            <w:tcW w:w="9209" w:type="dxa"/>
          </w:tcPr>
          <w:p w14:paraId="7C09CC09" w14:textId="187707BB" w:rsidR="008F76F3" w:rsidRPr="00A00198" w:rsidRDefault="008F76F3" w:rsidP="000C5622">
            <w:pPr>
              <w:spacing w:after="0" w:line="276" w:lineRule="auto"/>
              <w:ind w:firstLine="0"/>
              <w:rPr>
                <w:rFonts w:ascii="Times New Roman" w:eastAsia="Times New Roman" w:hAnsi="Times New Roman" w:cs="Times New Roman"/>
                <w:b/>
                <w:bCs/>
                <w:color w:val="000000"/>
                <w:sz w:val="20"/>
                <w:szCs w:val="20"/>
                <w:lang w:eastAsia="pt-BR"/>
              </w:rPr>
            </w:pPr>
            <w:r w:rsidRPr="00A00198">
              <w:rPr>
                <w:rFonts w:ascii="Times New Roman" w:eastAsia="Times New Roman" w:hAnsi="Times New Roman" w:cs="Times New Roman"/>
                <w:b/>
                <w:bCs/>
                <w:color w:val="000000"/>
                <w:sz w:val="20"/>
                <w:szCs w:val="20"/>
                <w:lang w:eastAsia="pt-BR"/>
              </w:rPr>
              <w:t>6 – ESTIMATIVA DO VALOR DA CONTRATAÇÃO</w:t>
            </w:r>
            <w:r w:rsidR="00FC4923">
              <w:rPr>
                <w:rFonts w:ascii="Times New Roman" w:eastAsia="Times New Roman" w:hAnsi="Times New Roman" w:cs="Times New Roman"/>
                <w:b/>
                <w:bCs/>
                <w:color w:val="000000"/>
                <w:sz w:val="20"/>
                <w:szCs w:val="20"/>
                <w:lang w:eastAsia="pt-BR"/>
              </w:rPr>
              <w:t>:</w:t>
            </w:r>
          </w:p>
        </w:tc>
      </w:tr>
      <w:tr w:rsidR="008F76F3" w:rsidRPr="00A00198" w14:paraId="64A3B4E9" w14:textId="77777777" w:rsidTr="00C3667F">
        <w:tc>
          <w:tcPr>
            <w:tcW w:w="9209" w:type="dxa"/>
            <w:shd w:val="clear" w:color="auto" w:fill="F2F2F2" w:themeFill="background1" w:themeFillShade="F2"/>
          </w:tcPr>
          <w:p w14:paraId="62E41FC5" w14:textId="40F0567C" w:rsidR="008F76F3" w:rsidRPr="00A00198" w:rsidRDefault="008F76F3" w:rsidP="000C5622">
            <w:pPr>
              <w:spacing w:after="0" w:line="276" w:lineRule="auto"/>
              <w:ind w:firstLine="0"/>
              <w:rPr>
                <w:rFonts w:ascii="Times New Roman" w:eastAsia="Times New Roman" w:hAnsi="Times New Roman" w:cs="Times New Roman"/>
                <w:color w:val="000000"/>
                <w:sz w:val="20"/>
                <w:szCs w:val="20"/>
                <w:lang w:eastAsia="pt-BR"/>
              </w:rPr>
            </w:pPr>
            <w:r w:rsidRPr="00A00198">
              <w:rPr>
                <w:rFonts w:ascii="Times New Roman" w:eastAsia="Times New Roman" w:hAnsi="Times New Roman" w:cs="Times New Roman"/>
                <w:bCs/>
                <w:color w:val="000000"/>
                <w:sz w:val="20"/>
                <w:szCs w:val="20"/>
                <w:lang w:eastAsia="pt-BR"/>
              </w:rPr>
              <w:t xml:space="preserve">Fundamentação: </w:t>
            </w:r>
            <w:r w:rsidRPr="00A00198">
              <w:rPr>
                <w:rFonts w:ascii="Times New Roman" w:eastAsia="Times New Roman" w:hAnsi="Times New Roman" w:cs="Times New Roman"/>
                <w:color w:val="000000"/>
                <w:sz w:val="20"/>
                <w:szCs w:val="20"/>
                <w:lang w:eastAsia="pt-BR"/>
              </w:rPr>
              <w:t>Estimativa do valor da contratação, acompanhada dos preços unitários referenciais, das memórias de cálculo e dos documentos que lhe dão suporte, que poderão constar de anexo classificado, se a administração optar por preservar o seu sigilo até a conclusão da licitação (inciso VI do § 1° da Lei 14.133/21)</w:t>
            </w:r>
            <w:r w:rsidR="00E776F1">
              <w:rPr>
                <w:rFonts w:ascii="Times New Roman" w:eastAsia="Times New Roman" w:hAnsi="Times New Roman" w:cs="Times New Roman"/>
                <w:color w:val="000000"/>
                <w:sz w:val="20"/>
                <w:szCs w:val="20"/>
                <w:lang w:eastAsia="pt-BR"/>
              </w:rPr>
              <w:t>:</w:t>
            </w:r>
          </w:p>
        </w:tc>
      </w:tr>
      <w:tr w:rsidR="008F76F3" w:rsidRPr="00A00198" w14:paraId="42BE0386" w14:textId="77777777" w:rsidTr="00C3667F">
        <w:tc>
          <w:tcPr>
            <w:tcW w:w="9209" w:type="dxa"/>
          </w:tcPr>
          <w:p w14:paraId="539EB375" w14:textId="7657037E" w:rsidR="00662D3F" w:rsidRPr="00624E30" w:rsidRDefault="00662D3F" w:rsidP="00662D3F">
            <w:pPr>
              <w:spacing w:after="0" w:line="276" w:lineRule="auto"/>
              <w:ind w:firstLine="597"/>
              <w:rPr>
                <w:rFonts w:ascii="Times New Roman" w:hAnsi="Times New Roman" w:cs="Times New Roman"/>
                <w:b/>
                <w:bCs/>
                <w:sz w:val="20"/>
                <w:szCs w:val="20"/>
              </w:rPr>
            </w:pPr>
            <w:r w:rsidRPr="00624E30">
              <w:rPr>
                <w:rFonts w:ascii="Times New Roman" w:hAnsi="Times New Roman" w:cs="Times New Roman"/>
                <w:sz w:val="20"/>
                <w:szCs w:val="20"/>
              </w:rPr>
              <w:t xml:space="preserve">Para fins de estimativa preliminar do valor da contratação, foram utilizados como parâmetro os dados históricos das aquisições similares de materiais e equipamentos de informática realizadas pelo Município, em consonância com o art. 23, § 1º, inciso II, da Lei Federal nº 14.133/2021, que admite a utilização de contratações similares realizadas pela Administração Pública, em execução ou concluídas no período legalmente estabelecido, inclusive mediante Sistema de Registro de Preços, observada a correspondente atualização dos preços. </w:t>
            </w:r>
            <w:r w:rsidRPr="00624E30">
              <w:rPr>
                <w:rFonts w:ascii="Times New Roman" w:hAnsi="Times New Roman" w:cs="Times New Roman"/>
                <w:b/>
                <w:bCs/>
                <w:sz w:val="20"/>
                <w:szCs w:val="20"/>
              </w:rPr>
              <w:t>Na contratação promovida em 2025, o valor global alcançou R$ 111.632,35, sendo posteriormente realizada nova licitação no valor de R$ 29.000,00, em razão do esgotamento do quantitativo previsto para notebooks. As duas contratações totalizam R$ 140.632,35, constituindo referência concreta do comportamento recente da demanda municipal e dos recursos empregados para atendimento das necessidades de informática.</w:t>
            </w:r>
          </w:p>
          <w:p w14:paraId="5579F1C3" w14:textId="613E6AB5" w:rsidR="00662D3F" w:rsidRPr="00624E30" w:rsidRDefault="00662D3F" w:rsidP="00662D3F">
            <w:pPr>
              <w:spacing w:after="0" w:line="276" w:lineRule="auto"/>
              <w:ind w:firstLine="597"/>
              <w:rPr>
                <w:rFonts w:ascii="Times New Roman" w:hAnsi="Times New Roman" w:cs="Times New Roman"/>
                <w:sz w:val="20"/>
                <w:szCs w:val="20"/>
              </w:rPr>
            </w:pPr>
            <w:r w:rsidRPr="00624E30">
              <w:rPr>
                <w:rFonts w:ascii="Times New Roman" w:hAnsi="Times New Roman" w:cs="Times New Roman"/>
                <w:sz w:val="20"/>
                <w:szCs w:val="20"/>
              </w:rPr>
              <w:t>A respectiva memória de cálculo e os documentos das contratações utilizadas como parâmetro deverão permanecer juntados aos autos, assegurando a rastreabilidade da estimativa adotada, constituindo, portanto, estimativa preliminar da dimensão econômica da contratação para fins deste Estudo Técnico Preliminar, fundamentada em contratações similares efetivamente realizadas pelo Município e atualizadas para o período considerado. A adoção desse parâmetro mostra-se pertinente diante da natureza recorrente da demanda e da existência de histórico recente de aquisição dos mesmos grupos de materiais, componentes, periféricos e equipamentos.</w:t>
            </w:r>
          </w:p>
          <w:p w14:paraId="423CA85F" w14:textId="77777777" w:rsidR="00662D3F" w:rsidRPr="00624E30" w:rsidRDefault="00662D3F" w:rsidP="00662D3F">
            <w:pPr>
              <w:spacing w:after="0" w:line="276" w:lineRule="auto"/>
              <w:ind w:firstLine="597"/>
              <w:rPr>
                <w:rFonts w:ascii="Times New Roman" w:hAnsi="Times New Roman" w:cs="Times New Roman"/>
                <w:sz w:val="20"/>
                <w:szCs w:val="20"/>
              </w:rPr>
            </w:pPr>
            <w:r w:rsidRPr="00624E30">
              <w:rPr>
                <w:rFonts w:ascii="Times New Roman" w:hAnsi="Times New Roman" w:cs="Times New Roman"/>
                <w:sz w:val="20"/>
                <w:szCs w:val="20"/>
              </w:rPr>
              <w:t xml:space="preserve">A referência histórica, contudo, não dispensa a formação dos preços unitários referenciais dos itens que efetivamente integrarão a nova contratação. Considerando que houve alterações nos quantitativos, nas especificações técnicas, na composição da demanda e nos produtos disponíveis no mercado, a pesquisa de preços da fase subsequente deverá considerar individualmente os itens e respectivas características atuais, utilizando as contratações anteriores como fonte de preços sempre que houver correspondência entre os produtos, sem prejuízo da utilização, de forma combinada ou não, dos demais parâmetros admitidos pelo art. 23 da Lei nº 14.133/2021. A Lei permite expressamente que os parâmetros de pesquisa sejam empregados isoladamente ou em conjunto. </w:t>
            </w:r>
          </w:p>
          <w:p w14:paraId="77604182" w14:textId="6EC5F228" w:rsidR="00CC7762" w:rsidRPr="00624E30" w:rsidRDefault="00662D3F" w:rsidP="00963035">
            <w:pPr>
              <w:spacing w:after="0" w:line="276" w:lineRule="auto"/>
              <w:ind w:firstLine="597"/>
              <w:rPr>
                <w:rFonts w:ascii="Times New Roman" w:hAnsi="Times New Roman" w:cs="Times New Roman"/>
                <w:sz w:val="20"/>
                <w:szCs w:val="20"/>
              </w:rPr>
            </w:pPr>
            <w:r w:rsidRPr="00624E30">
              <w:rPr>
                <w:rFonts w:ascii="Times New Roman" w:hAnsi="Times New Roman" w:cs="Times New Roman"/>
                <w:sz w:val="20"/>
                <w:szCs w:val="20"/>
              </w:rPr>
              <w:t>Assim, os preços unitários das contratações anteriores poderão ser atualizados e aproveitados como parâmetro para os itens comparáveis, enquanto itens novos, modificados ou sem correspondência adequada deverão ter seus valores aferidos mediante outras fontes idôneas de mercado. Essa sistemática permite preservar os dados reais das aquisições municipais anteriores e, simultaneamente, adequar o orçamento às especificações e condições atuais da contratação. Não será adotado sigilo sobre o orçamento estimado, uma vez que não foi identificada circunstância concreta que justifique sua restrição, mantendo-se a publicidade dos valores referenciais utilizados pela Administração.</w:t>
            </w:r>
          </w:p>
        </w:tc>
      </w:tr>
    </w:tbl>
    <w:p w14:paraId="0E9A09B8" w14:textId="77777777" w:rsidR="008F76F3" w:rsidRPr="00A00198" w:rsidRDefault="008F76F3" w:rsidP="000C5622">
      <w:pPr>
        <w:spacing w:after="0" w:line="276" w:lineRule="auto"/>
        <w:rPr>
          <w:rFonts w:ascii="Times New Roman" w:hAnsi="Times New Roman" w:cs="Times New Roman"/>
          <w:b/>
          <w:sz w:val="20"/>
          <w:szCs w:val="20"/>
        </w:rPr>
      </w:pPr>
    </w:p>
    <w:tbl>
      <w:tblPr>
        <w:tblStyle w:val="Tabelacomgrade"/>
        <w:tblW w:w="9209" w:type="dxa"/>
        <w:tblLook w:val="04A0" w:firstRow="1" w:lastRow="0" w:firstColumn="1" w:lastColumn="0" w:noHBand="0" w:noVBand="1"/>
      </w:tblPr>
      <w:tblGrid>
        <w:gridCol w:w="9209"/>
      </w:tblGrid>
      <w:tr w:rsidR="008F76F3" w:rsidRPr="00A00198" w14:paraId="59783D2D" w14:textId="77777777" w:rsidTr="00C3667F">
        <w:tc>
          <w:tcPr>
            <w:tcW w:w="9209" w:type="dxa"/>
          </w:tcPr>
          <w:p w14:paraId="467389BF" w14:textId="5A123A8F" w:rsidR="008F76F3" w:rsidRPr="00A00198" w:rsidRDefault="008F76F3" w:rsidP="000C5622">
            <w:pPr>
              <w:spacing w:after="0" w:line="276" w:lineRule="auto"/>
              <w:ind w:firstLine="0"/>
              <w:rPr>
                <w:rFonts w:ascii="Times New Roman" w:hAnsi="Times New Roman" w:cs="Times New Roman"/>
                <w:b/>
                <w:bCs/>
                <w:sz w:val="20"/>
                <w:szCs w:val="20"/>
              </w:rPr>
            </w:pPr>
            <w:r w:rsidRPr="00A00198">
              <w:rPr>
                <w:rFonts w:ascii="Times New Roman" w:hAnsi="Times New Roman" w:cs="Times New Roman"/>
                <w:b/>
                <w:bCs/>
                <w:sz w:val="20"/>
                <w:szCs w:val="20"/>
              </w:rPr>
              <w:t xml:space="preserve">7 </w:t>
            </w:r>
            <w:r w:rsidR="00D36563">
              <w:rPr>
                <w:rFonts w:ascii="Times New Roman" w:hAnsi="Times New Roman" w:cs="Times New Roman"/>
                <w:b/>
                <w:bCs/>
                <w:sz w:val="20"/>
                <w:szCs w:val="20"/>
              </w:rPr>
              <w:t>–</w:t>
            </w:r>
            <w:r w:rsidRPr="00A00198">
              <w:rPr>
                <w:rFonts w:ascii="Times New Roman" w:hAnsi="Times New Roman" w:cs="Times New Roman"/>
                <w:b/>
                <w:bCs/>
                <w:sz w:val="20"/>
                <w:szCs w:val="20"/>
              </w:rPr>
              <w:t xml:space="preserve"> DESCRIÇÃO DA SOLUÇÃO COMO UM TODO</w:t>
            </w:r>
            <w:r w:rsidR="00FC4923">
              <w:rPr>
                <w:rFonts w:ascii="Times New Roman" w:hAnsi="Times New Roman" w:cs="Times New Roman"/>
                <w:b/>
                <w:bCs/>
                <w:sz w:val="20"/>
                <w:szCs w:val="20"/>
              </w:rPr>
              <w:t>:</w:t>
            </w:r>
          </w:p>
        </w:tc>
      </w:tr>
      <w:tr w:rsidR="008F76F3" w:rsidRPr="00A00198" w14:paraId="629A6FF1" w14:textId="77777777" w:rsidTr="00C3667F">
        <w:tc>
          <w:tcPr>
            <w:tcW w:w="9209" w:type="dxa"/>
            <w:shd w:val="clear" w:color="auto" w:fill="F2F2F2" w:themeFill="background1" w:themeFillShade="F2"/>
          </w:tcPr>
          <w:p w14:paraId="74CFCA8D" w14:textId="304DD61F" w:rsidR="008F76F3" w:rsidRPr="00A00198" w:rsidRDefault="008F76F3" w:rsidP="000C5622">
            <w:pPr>
              <w:spacing w:after="0" w:line="276" w:lineRule="auto"/>
              <w:ind w:firstLine="0"/>
              <w:rPr>
                <w:rFonts w:ascii="Times New Roman" w:eastAsia="Times New Roman" w:hAnsi="Times New Roman" w:cs="Times New Roman"/>
                <w:color w:val="000000"/>
                <w:sz w:val="20"/>
                <w:szCs w:val="20"/>
                <w:lang w:eastAsia="pt-BR"/>
              </w:rPr>
            </w:pPr>
            <w:r w:rsidRPr="00A00198">
              <w:rPr>
                <w:rFonts w:ascii="Times New Roman" w:eastAsia="Times New Roman" w:hAnsi="Times New Roman" w:cs="Times New Roman"/>
                <w:bCs/>
                <w:color w:val="000000"/>
                <w:sz w:val="20"/>
                <w:szCs w:val="20"/>
                <w:lang w:eastAsia="pt-BR"/>
              </w:rPr>
              <w:t xml:space="preserve">Fundamentação: </w:t>
            </w:r>
            <w:r w:rsidRPr="00A00198">
              <w:rPr>
                <w:rFonts w:ascii="Times New Roman" w:eastAsia="Times New Roman" w:hAnsi="Times New Roman" w:cs="Times New Roman"/>
                <w:color w:val="000000"/>
                <w:sz w:val="20"/>
                <w:szCs w:val="20"/>
                <w:lang w:eastAsia="pt-BR"/>
              </w:rPr>
              <w:t>Descrição da solução como um todo, inclusive das exigências relacionadas à manutenção e à assistência técnica, quando for o caso (inciso VII do § 1° do art. 18 da Lei 14.133/21)</w:t>
            </w:r>
            <w:r w:rsidR="00E776F1">
              <w:rPr>
                <w:rFonts w:ascii="Times New Roman" w:eastAsia="Times New Roman" w:hAnsi="Times New Roman" w:cs="Times New Roman"/>
                <w:color w:val="000000"/>
                <w:sz w:val="20"/>
                <w:szCs w:val="20"/>
                <w:lang w:eastAsia="pt-BR"/>
              </w:rPr>
              <w:t>:</w:t>
            </w:r>
          </w:p>
        </w:tc>
      </w:tr>
      <w:tr w:rsidR="008F76F3" w:rsidRPr="00A00198" w14:paraId="03FF8AC2" w14:textId="77777777" w:rsidTr="00C3667F">
        <w:tc>
          <w:tcPr>
            <w:tcW w:w="9209" w:type="dxa"/>
          </w:tcPr>
          <w:p w14:paraId="47E5423F" w14:textId="77777777" w:rsidR="00963035" w:rsidRPr="00624E30" w:rsidRDefault="00963035" w:rsidP="00963035">
            <w:pPr>
              <w:spacing w:after="0" w:line="276" w:lineRule="auto"/>
              <w:ind w:firstLine="596"/>
              <w:rPr>
                <w:rFonts w:ascii="Times New Roman" w:hAnsi="Times New Roman" w:cs="Times New Roman"/>
                <w:sz w:val="20"/>
                <w:szCs w:val="20"/>
              </w:rPr>
            </w:pPr>
            <w:r w:rsidRPr="00624E30">
              <w:rPr>
                <w:rFonts w:ascii="Times New Roman" w:hAnsi="Times New Roman" w:cs="Times New Roman"/>
                <w:sz w:val="20"/>
                <w:szCs w:val="20"/>
              </w:rPr>
              <w:t>A solução definida consiste na realização de Pregão Eletrônico, mediante Sistema de Registro de Preços – SRP, para futura e eventual aquisição, de forma parcelada e sob demanda, de materiais, componentes, periféricos e equipamentos de informática destinados à manutenção, reposição, atualização e ampliação da infraestrutura tecnológica das Secretarias Municipais.</w:t>
            </w:r>
          </w:p>
          <w:p w14:paraId="412B4C85" w14:textId="77777777" w:rsidR="00963035" w:rsidRPr="00624E30" w:rsidRDefault="00963035" w:rsidP="00963035">
            <w:pPr>
              <w:spacing w:after="0" w:line="276" w:lineRule="auto"/>
              <w:ind w:firstLine="596"/>
              <w:rPr>
                <w:rFonts w:ascii="Times New Roman" w:hAnsi="Times New Roman" w:cs="Times New Roman"/>
                <w:sz w:val="20"/>
                <w:szCs w:val="20"/>
              </w:rPr>
            </w:pPr>
            <w:r w:rsidRPr="00624E30">
              <w:rPr>
                <w:rFonts w:ascii="Times New Roman" w:hAnsi="Times New Roman" w:cs="Times New Roman"/>
                <w:sz w:val="20"/>
                <w:szCs w:val="20"/>
              </w:rPr>
              <w:t>A solução foi estruturada de modo a combinar o aproveitamento e a atualização dos equipamentos atualmente existentes com a aquisição seletiva de novos bens. Assim, componentes, periféricos e acessórios poderão ser utilizados para manutenção e recuperação dos equipamentos que permaneçam tecnicamente adequados, enquanto novos equipamentos serão adquiridos para substituição daqueles obsoletos, danificados ou cuja recuperação não seja economicamente recomendável, bem como para atender à ampliação de postos de trabalho e novas necessidades administrativas. Esse modelo permite melhor aproveitamento do patrimônio existente e evita substituições prematuras ou aquisições desnecessárias.</w:t>
            </w:r>
          </w:p>
          <w:p w14:paraId="352357CB" w14:textId="77777777" w:rsidR="00963035" w:rsidRPr="00624E30" w:rsidRDefault="00963035" w:rsidP="00963035">
            <w:pPr>
              <w:spacing w:after="0" w:line="276" w:lineRule="auto"/>
              <w:ind w:firstLine="596"/>
              <w:rPr>
                <w:rFonts w:ascii="Times New Roman" w:hAnsi="Times New Roman" w:cs="Times New Roman"/>
                <w:sz w:val="20"/>
                <w:szCs w:val="20"/>
              </w:rPr>
            </w:pPr>
            <w:r w:rsidRPr="00624E30">
              <w:rPr>
                <w:rFonts w:ascii="Times New Roman" w:hAnsi="Times New Roman" w:cs="Times New Roman"/>
                <w:sz w:val="20"/>
                <w:szCs w:val="20"/>
              </w:rPr>
              <w:t>O Sistema de Registro de Preços será utilizado em razão da natureza variável e parcelada da demanda, uma vez que é possível estimar quantitativos máximos para o período, mas não determinar previamente o momento exato nem a quantidade efetivamente necessária de cada item. As aquisições ocorrerão conforme a demanda concreta das Secretarias Municipais, sem obrigação de consumo integral dos quantitativos registrados, reduzindo a formação de estoques e o risco de obsolescência de produtos de tecnologia da informação. A adjudicação ocorrerá, em regra, por item, permitindo maior participação de fornecedores especializados e ampliando a competitividade.</w:t>
            </w:r>
          </w:p>
          <w:p w14:paraId="27EBD98B" w14:textId="77777777" w:rsidR="00963035" w:rsidRPr="00624E30" w:rsidRDefault="00963035" w:rsidP="00963035">
            <w:pPr>
              <w:spacing w:after="0" w:line="276" w:lineRule="auto"/>
              <w:ind w:firstLine="596"/>
              <w:rPr>
                <w:rFonts w:ascii="Times New Roman" w:hAnsi="Times New Roman" w:cs="Times New Roman"/>
                <w:sz w:val="20"/>
                <w:szCs w:val="20"/>
              </w:rPr>
            </w:pPr>
            <w:r w:rsidRPr="00624E30">
              <w:rPr>
                <w:rFonts w:ascii="Times New Roman" w:hAnsi="Times New Roman" w:cs="Times New Roman"/>
                <w:sz w:val="20"/>
                <w:szCs w:val="20"/>
              </w:rPr>
              <w:t xml:space="preserve">Os materiais e equipamentos fornecidos deverão ser </w:t>
            </w:r>
            <w:r w:rsidRPr="00624E30">
              <w:rPr>
                <w:rFonts w:ascii="Times New Roman" w:hAnsi="Times New Roman" w:cs="Times New Roman"/>
                <w:b/>
                <w:bCs/>
                <w:sz w:val="20"/>
                <w:szCs w:val="20"/>
              </w:rPr>
              <w:t>novos, de primeiro uso, pertencentes à linha regular de fabricação ou comercialização e em integral conformidade com as especificações técnicas estabelecidas no Termo de Referência</w:t>
            </w:r>
            <w:r w:rsidRPr="00624E30">
              <w:rPr>
                <w:rFonts w:ascii="Times New Roman" w:hAnsi="Times New Roman" w:cs="Times New Roman"/>
                <w:sz w:val="20"/>
                <w:szCs w:val="20"/>
              </w:rPr>
              <w:t>. Não serão admitidos produtos usados, recuperados, recondicionados ou remanufaturados. Os equipamentos deverão ser entregues com todos os acessórios indispensáveis ao seu funcionamento e, quando exigido, acompanhados de documentação técnica suficiente para identificação da marca, modelo, configuração e características ofertadas.</w:t>
            </w:r>
          </w:p>
          <w:p w14:paraId="52E5BEED" w14:textId="0C7A4AE8" w:rsidR="00963035" w:rsidRPr="00624E30" w:rsidRDefault="00963035" w:rsidP="00963035">
            <w:pPr>
              <w:spacing w:after="0" w:line="276" w:lineRule="auto"/>
              <w:ind w:firstLine="596"/>
              <w:rPr>
                <w:rFonts w:ascii="Times New Roman" w:hAnsi="Times New Roman" w:cs="Times New Roman"/>
                <w:sz w:val="20"/>
                <w:szCs w:val="20"/>
              </w:rPr>
            </w:pPr>
            <w:r w:rsidRPr="00624E30">
              <w:rPr>
                <w:rFonts w:ascii="Times New Roman" w:hAnsi="Times New Roman" w:cs="Times New Roman"/>
                <w:sz w:val="20"/>
                <w:szCs w:val="20"/>
              </w:rPr>
              <w:t xml:space="preserve">A conformidade dos produtos será verificada, prioritariamente, mediante análise de catálogos, fichas técnicas, manuais e informações oficiais do fabricante. O fornecimento será parcelado, mediante Ordem de Compra, Nota de Empenho ou instrumento equivalente, sendo estabelecido prazo máximo geral de </w:t>
            </w:r>
            <w:r w:rsidRPr="00624E30">
              <w:rPr>
                <w:rFonts w:ascii="Times New Roman" w:hAnsi="Times New Roman" w:cs="Times New Roman"/>
                <w:b/>
                <w:bCs/>
                <w:sz w:val="20"/>
                <w:szCs w:val="20"/>
              </w:rPr>
              <w:t>15 (quinze) dias</w:t>
            </w:r>
            <w:r w:rsidRPr="00624E30">
              <w:rPr>
                <w:rFonts w:ascii="Times New Roman" w:hAnsi="Times New Roman" w:cs="Times New Roman"/>
                <w:sz w:val="20"/>
                <w:szCs w:val="20"/>
              </w:rPr>
              <w:t xml:space="preserve"> para entrega, contado do recebimento da solicitação formal pela fornecedora. Todas as despesas necessárias ao fornecimento, inclusive embalagem, transporte, frete, carga, descarga, seguro, tributos e acessórios exigidos, estarão compreendidas nos preços registrados.</w:t>
            </w:r>
          </w:p>
          <w:p w14:paraId="52DA5B78" w14:textId="77777777" w:rsidR="00963035" w:rsidRPr="00624E30" w:rsidRDefault="00963035" w:rsidP="00963035">
            <w:pPr>
              <w:spacing w:after="0" w:line="276" w:lineRule="auto"/>
              <w:ind w:firstLine="596"/>
              <w:rPr>
                <w:rFonts w:ascii="Times New Roman" w:hAnsi="Times New Roman" w:cs="Times New Roman"/>
                <w:sz w:val="20"/>
                <w:szCs w:val="20"/>
              </w:rPr>
            </w:pPr>
            <w:r w:rsidRPr="00624E30">
              <w:rPr>
                <w:rFonts w:ascii="Times New Roman" w:hAnsi="Times New Roman" w:cs="Times New Roman"/>
                <w:sz w:val="20"/>
                <w:szCs w:val="20"/>
              </w:rPr>
              <w:t xml:space="preserve">Os produtos estarão submetidos à garantia legal aplicável e, para os equipamentos de maior valor agregado ou relevância operacional definidos no Termo de Referência, será exigida </w:t>
            </w:r>
            <w:r w:rsidRPr="00624E30">
              <w:rPr>
                <w:rFonts w:ascii="Times New Roman" w:hAnsi="Times New Roman" w:cs="Times New Roman"/>
                <w:b/>
                <w:bCs/>
                <w:sz w:val="20"/>
                <w:szCs w:val="20"/>
              </w:rPr>
              <w:t>garantia contratual mínima de 12 (doze) meses</w:t>
            </w:r>
            <w:r w:rsidRPr="00624E30">
              <w:rPr>
                <w:rFonts w:ascii="Times New Roman" w:hAnsi="Times New Roman" w:cs="Times New Roman"/>
                <w:sz w:val="20"/>
                <w:szCs w:val="20"/>
              </w:rPr>
              <w:t>, sem prejuízo de prazo superior oferecido pelo fabricante. Durante a garantia, todos os custos relacionados ao diagnóstico, reparo, substituição de peças, transporte e devolução do equipamento correrão por conta da fornecedora.</w:t>
            </w:r>
          </w:p>
          <w:p w14:paraId="1DF3EE7A" w14:textId="77777777" w:rsidR="00963035" w:rsidRPr="00624E30" w:rsidRDefault="00963035" w:rsidP="00963035">
            <w:pPr>
              <w:spacing w:after="0" w:line="276" w:lineRule="auto"/>
              <w:ind w:firstLine="596"/>
              <w:rPr>
                <w:rFonts w:ascii="Times New Roman" w:hAnsi="Times New Roman" w:cs="Times New Roman"/>
                <w:sz w:val="20"/>
                <w:szCs w:val="20"/>
              </w:rPr>
            </w:pPr>
            <w:r w:rsidRPr="00624E30">
              <w:rPr>
                <w:rFonts w:ascii="Times New Roman" w:hAnsi="Times New Roman" w:cs="Times New Roman"/>
                <w:sz w:val="20"/>
                <w:szCs w:val="20"/>
              </w:rPr>
              <w:t xml:space="preserve">Para os equipamentos sujeitos à garantia contratual e cuja indisponibilidade possa comprometer as atividades municipais, será exigida </w:t>
            </w:r>
            <w:r w:rsidRPr="00624E30">
              <w:rPr>
                <w:rFonts w:ascii="Times New Roman" w:hAnsi="Times New Roman" w:cs="Times New Roman"/>
                <w:b/>
                <w:bCs/>
                <w:sz w:val="20"/>
                <w:szCs w:val="20"/>
              </w:rPr>
              <w:t>assistência técnica prestada pelo fabricante ou por integrante de sua rede autorizada, com atendimento disponível no Estado do Rio Grande do Sul</w:t>
            </w:r>
            <w:r w:rsidRPr="00624E30">
              <w:rPr>
                <w:rFonts w:ascii="Times New Roman" w:hAnsi="Times New Roman" w:cs="Times New Roman"/>
                <w:sz w:val="20"/>
                <w:szCs w:val="20"/>
              </w:rPr>
              <w:t xml:space="preserve">, de modo a evitar períodos excessivos de paralisação decorrentes do deslocamento de equipes técnicas provenientes de outros Estados. O atendimento deverá ser iniciado no prazo máximo de </w:t>
            </w:r>
            <w:r w:rsidRPr="00624E30">
              <w:rPr>
                <w:rFonts w:ascii="Times New Roman" w:hAnsi="Times New Roman" w:cs="Times New Roman"/>
                <w:b/>
                <w:bCs/>
                <w:sz w:val="20"/>
                <w:szCs w:val="20"/>
              </w:rPr>
              <w:t>2 (dois) dias úteis</w:t>
            </w:r>
            <w:r w:rsidRPr="00624E30">
              <w:rPr>
                <w:rFonts w:ascii="Times New Roman" w:hAnsi="Times New Roman" w:cs="Times New Roman"/>
                <w:sz w:val="20"/>
                <w:szCs w:val="20"/>
              </w:rPr>
              <w:t xml:space="preserve"> após a abertura formal do chamado, assegurando maior efetividade à garantia e continuidade operacional dos equipamentos utilizados pela Administração.</w:t>
            </w:r>
          </w:p>
          <w:p w14:paraId="59C55FF8" w14:textId="777C9C05" w:rsidR="008F76F3" w:rsidRPr="00624E30" w:rsidRDefault="00963035" w:rsidP="00963035">
            <w:pPr>
              <w:spacing w:after="0" w:line="276" w:lineRule="auto"/>
              <w:ind w:firstLine="596"/>
              <w:rPr>
                <w:rFonts w:ascii="Times New Roman" w:hAnsi="Times New Roman" w:cs="Times New Roman"/>
                <w:sz w:val="20"/>
                <w:szCs w:val="20"/>
              </w:rPr>
            </w:pPr>
            <w:r w:rsidRPr="00624E30">
              <w:rPr>
                <w:rFonts w:ascii="Times New Roman" w:hAnsi="Times New Roman" w:cs="Times New Roman"/>
                <w:sz w:val="20"/>
                <w:szCs w:val="20"/>
              </w:rPr>
              <w:t xml:space="preserve">Os produtos entregues serão submetidos à conferência quantitativa e qualitativa, verificando-se, especialmente, a marca e o modelo ofertados, as características técnicas, a integridade do equipamento, os acessórios, a documentação e as condições de garantia. Os itens que apresentarem defeitos, avarias, sinais de utilização, divergências de configuração ou qualquer desconformidade com a proposta aceita serão recusados e deverão ser substituídos sem ônus para o Município. Dessa forma, a solução escolhida reúne </w:t>
            </w:r>
            <w:r w:rsidRPr="00624E30">
              <w:rPr>
                <w:rFonts w:ascii="Times New Roman" w:hAnsi="Times New Roman" w:cs="Times New Roman"/>
                <w:b/>
                <w:bCs/>
                <w:sz w:val="20"/>
                <w:szCs w:val="20"/>
              </w:rPr>
              <w:t>aquisição parcelada, manutenção e aproveitamento do parque tecnológico existente, reposição seletiva de equipamentos, garantia, assistência técnica regionalizada e controle da conformidade dos produtos</w:t>
            </w:r>
            <w:r w:rsidRPr="00624E30">
              <w:rPr>
                <w:rFonts w:ascii="Times New Roman" w:hAnsi="Times New Roman" w:cs="Times New Roman"/>
                <w:sz w:val="20"/>
                <w:szCs w:val="20"/>
              </w:rPr>
              <w:t>, permitindo à Administração atender às necessidades das diferentes Secretarias com maior flexibilidade, continuidade operacional e racionalização dos recursos públicos.</w:t>
            </w:r>
          </w:p>
        </w:tc>
      </w:tr>
    </w:tbl>
    <w:p w14:paraId="7D7AE9E6" w14:textId="77777777" w:rsidR="008F76F3" w:rsidRPr="00A00198" w:rsidRDefault="008F76F3" w:rsidP="000C5622">
      <w:pPr>
        <w:spacing w:after="0" w:line="276" w:lineRule="auto"/>
        <w:rPr>
          <w:rFonts w:ascii="Times New Roman" w:hAnsi="Times New Roman" w:cs="Times New Roman"/>
          <w:b/>
          <w:sz w:val="20"/>
          <w:szCs w:val="20"/>
        </w:rPr>
      </w:pPr>
    </w:p>
    <w:tbl>
      <w:tblPr>
        <w:tblStyle w:val="Tabelacomgrade"/>
        <w:tblW w:w="9209" w:type="dxa"/>
        <w:tblLook w:val="04A0" w:firstRow="1" w:lastRow="0" w:firstColumn="1" w:lastColumn="0" w:noHBand="0" w:noVBand="1"/>
      </w:tblPr>
      <w:tblGrid>
        <w:gridCol w:w="9209"/>
      </w:tblGrid>
      <w:tr w:rsidR="008F76F3" w:rsidRPr="00A00198" w14:paraId="1EC6909D" w14:textId="77777777" w:rsidTr="00C3667F">
        <w:tc>
          <w:tcPr>
            <w:tcW w:w="9209" w:type="dxa"/>
          </w:tcPr>
          <w:p w14:paraId="6F6C09F3" w14:textId="1856C08C" w:rsidR="008F76F3" w:rsidRPr="00A00198" w:rsidRDefault="008F76F3" w:rsidP="000C5622">
            <w:pPr>
              <w:spacing w:after="0" w:line="276" w:lineRule="auto"/>
              <w:ind w:firstLine="0"/>
              <w:rPr>
                <w:rFonts w:ascii="Times New Roman" w:eastAsia="Times New Roman" w:hAnsi="Times New Roman" w:cs="Times New Roman"/>
                <w:b/>
                <w:bCs/>
                <w:color w:val="000000"/>
                <w:sz w:val="20"/>
                <w:szCs w:val="20"/>
                <w:lang w:eastAsia="pt-BR"/>
              </w:rPr>
            </w:pPr>
            <w:r w:rsidRPr="00A00198">
              <w:rPr>
                <w:rFonts w:ascii="Times New Roman" w:eastAsia="Times New Roman" w:hAnsi="Times New Roman" w:cs="Times New Roman"/>
                <w:b/>
                <w:bCs/>
                <w:color w:val="000000"/>
                <w:sz w:val="20"/>
                <w:szCs w:val="20"/>
                <w:lang w:eastAsia="pt-BR"/>
              </w:rPr>
              <w:t>8 – JUSTIFICATIVA PARA PARCELAMENTO</w:t>
            </w:r>
            <w:r w:rsidR="00FC4923">
              <w:rPr>
                <w:rFonts w:ascii="Times New Roman" w:eastAsia="Times New Roman" w:hAnsi="Times New Roman" w:cs="Times New Roman"/>
                <w:b/>
                <w:bCs/>
                <w:color w:val="000000"/>
                <w:sz w:val="20"/>
                <w:szCs w:val="20"/>
                <w:lang w:eastAsia="pt-BR"/>
              </w:rPr>
              <w:t>:</w:t>
            </w:r>
          </w:p>
        </w:tc>
      </w:tr>
      <w:tr w:rsidR="008F76F3" w:rsidRPr="00A00198" w14:paraId="09D7985E" w14:textId="77777777" w:rsidTr="00C3667F">
        <w:tc>
          <w:tcPr>
            <w:tcW w:w="9209" w:type="dxa"/>
            <w:shd w:val="clear" w:color="auto" w:fill="F2F2F2" w:themeFill="background1" w:themeFillShade="F2"/>
          </w:tcPr>
          <w:p w14:paraId="42A688B6" w14:textId="0B3D3D77" w:rsidR="008F76F3" w:rsidRPr="00A00198" w:rsidRDefault="008F76F3" w:rsidP="000C5622">
            <w:pPr>
              <w:spacing w:after="0" w:line="276" w:lineRule="auto"/>
              <w:ind w:firstLine="0"/>
              <w:rPr>
                <w:rFonts w:ascii="Times New Roman" w:eastAsia="Times New Roman" w:hAnsi="Times New Roman" w:cs="Times New Roman"/>
                <w:color w:val="000000"/>
                <w:sz w:val="20"/>
                <w:szCs w:val="20"/>
                <w:lang w:eastAsia="pt-BR"/>
              </w:rPr>
            </w:pPr>
            <w:r w:rsidRPr="00A00198">
              <w:rPr>
                <w:rFonts w:ascii="Times New Roman" w:eastAsia="Times New Roman" w:hAnsi="Times New Roman" w:cs="Times New Roman"/>
                <w:bCs/>
                <w:color w:val="000000"/>
                <w:sz w:val="20"/>
                <w:szCs w:val="20"/>
                <w:lang w:eastAsia="pt-BR"/>
              </w:rPr>
              <w:t xml:space="preserve">Fundamentação: </w:t>
            </w:r>
            <w:r w:rsidRPr="00A00198">
              <w:rPr>
                <w:rFonts w:ascii="Times New Roman" w:eastAsia="Times New Roman" w:hAnsi="Times New Roman" w:cs="Times New Roman"/>
                <w:color w:val="000000"/>
                <w:sz w:val="20"/>
                <w:szCs w:val="20"/>
                <w:lang w:eastAsia="pt-BR"/>
              </w:rPr>
              <w:t>Justificativas para o parcelamento ou não da contratação (inciso VIII do § 1° do art. 18 da Lei 14.133/21)</w:t>
            </w:r>
            <w:r w:rsidR="00E776F1">
              <w:rPr>
                <w:rFonts w:ascii="Times New Roman" w:eastAsia="Times New Roman" w:hAnsi="Times New Roman" w:cs="Times New Roman"/>
                <w:color w:val="000000"/>
                <w:sz w:val="20"/>
                <w:szCs w:val="20"/>
                <w:lang w:eastAsia="pt-BR"/>
              </w:rPr>
              <w:t>:</w:t>
            </w:r>
          </w:p>
        </w:tc>
      </w:tr>
      <w:tr w:rsidR="008F76F3" w:rsidRPr="00A00198" w14:paraId="3E75C34B" w14:textId="77777777" w:rsidTr="00C3667F">
        <w:tc>
          <w:tcPr>
            <w:tcW w:w="9209" w:type="dxa"/>
          </w:tcPr>
          <w:p w14:paraId="75C470C0" w14:textId="5014A306" w:rsidR="00963035" w:rsidRPr="00963035" w:rsidRDefault="00963035" w:rsidP="00963035">
            <w:pPr>
              <w:spacing w:after="0" w:line="276" w:lineRule="auto"/>
              <w:ind w:firstLine="596"/>
              <w:rPr>
                <w:rFonts w:ascii="Times New Roman" w:hAnsi="Times New Roman" w:cs="Times New Roman"/>
                <w:sz w:val="20"/>
                <w:szCs w:val="20"/>
              </w:rPr>
            </w:pPr>
            <w:r w:rsidRPr="00963035">
              <w:rPr>
                <w:rFonts w:ascii="Times New Roman" w:hAnsi="Times New Roman" w:cs="Times New Roman"/>
                <w:sz w:val="20"/>
                <w:szCs w:val="20"/>
              </w:rPr>
              <w:t>Nos termos do art. 40, inciso V, alínea “b”, e §§ 2º e 3º, da Lei Federal nº 14.133/2021, as compras deverão observar o princípio do parcelamento quando tecnicamente viável e economicamente vantajoso, considerando-se a possibilidade de divisão do objeto, as características do mercado, a ampliação da competição e a necessidade de evitar concentração indevida de fornecedores.</w:t>
            </w:r>
            <w:r>
              <w:rPr>
                <w:rFonts w:ascii="Times New Roman" w:hAnsi="Times New Roman" w:cs="Times New Roman"/>
                <w:sz w:val="20"/>
                <w:szCs w:val="20"/>
              </w:rPr>
              <w:t xml:space="preserve"> </w:t>
            </w:r>
            <w:r w:rsidRPr="00963035">
              <w:rPr>
                <w:rFonts w:ascii="Times New Roman" w:hAnsi="Times New Roman" w:cs="Times New Roman"/>
                <w:sz w:val="20"/>
                <w:szCs w:val="20"/>
              </w:rPr>
              <w:t>No presente caso, será adotado o parcelamento da contratação por item, uma vez que o objeto é composto por materiais, componentes, periféricos e equipamentos de informática distintos e funcionalmente independentes entre si, tais como computadores, notebooks, monitores, nobreaks, dispositivos de armazenamento, equipamentos de rede, acessórios, cabos e demais produtos correlatos. Não há necessidade técnica de que todos os itens sejam fornecidos por uma única empresa, tampouco relação de interdependência que justifique sua reunião obrigatória em lote único.</w:t>
            </w:r>
          </w:p>
          <w:p w14:paraId="38C497C4" w14:textId="77777777" w:rsidR="00963035" w:rsidRPr="00963035" w:rsidRDefault="00963035" w:rsidP="00963035">
            <w:pPr>
              <w:spacing w:after="0" w:line="276" w:lineRule="auto"/>
              <w:ind w:firstLine="596"/>
              <w:rPr>
                <w:rFonts w:ascii="Times New Roman" w:hAnsi="Times New Roman" w:cs="Times New Roman"/>
                <w:sz w:val="20"/>
                <w:szCs w:val="20"/>
              </w:rPr>
            </w:pPr>
            <w:r w:rsidRPr="00963035">
              <w:rPr>
                <w:rFonts w:ascii="Times New Roman" w:hAnsi="Times New Roman" w:cs="Times New Roman"/>
                <w:sz w:val="20"/>
                <w:szCs w:val="20"/>
              </w:rPr>
              <w:t>A adjudicação individual permite que cada produto seja disputado por fornecedores especializados no respectivo segmento, ampliando o universo de participantes e favorecendo maior competição e obtenção de preços mais vantajosos. A formação de lote único, ao contrário, exigiria que o licitante tivesse capacidade para fornecer simultaneamente toda a diversidade de produtos, o que poderia afastar empresas que comercializam apenas determinadas categorias de equipamentos ou componentes e reduzir desnecessariamente a competitividade.</w:t>
            </w:r>
          </w:p>
          <w:p w14:paraId="6F8B47DA" w14:textId="77777777" w:rsidR="00963035" w:rsidRDefault="00963035" w:rsidP="00963035">
            <w:pPr>
              <w:spacing w:after="0" w:line="276" w:lineRule="auto"/>
              <w:ind w:firstLine="596"/>
              <w:rPr>
                <w:rFonts w:ascii="Times New Roman" w:hAnsi="Times New Roman" w:cs="Times New Roman"/>
                <w:sz w:val="20"/>
                <w:szCs w:val="20"/>
              </w:rPr>
            </w:pPr>
            <w:r w:rsidRPr="00963035">
              <w:rPr>
                <w:rFonts w:ascii="Times New Roman" w:hAnsi="Times New Roman" w:cs="Times New Roman"/>
                <w:sz w:val="20"/>
                <w:szCs w:val="20"/>
              </w:rPr>
              <w:t>O parcelamento também possibilita que a Administração selecione a proposta mais vantajosa para cada item, preservando as especificações técnicas, condições de garantia, assistência técnica e demais requisitos definidos para cada produto. Não se identifica, para o objeto em análise, ganho de escala ou redução relevante de custos de gestão que justifique concentrar todos os itens em um único fornecedor.</w:t>
            </w:r>
            <w:r>
              <w:rPr>
                <w:rFonts w:ascii="Times New Roman" w:hAnsi="Times New Roman" w:cs="Times New Roman"/>
                <w:sz w:val="20"/>
                <w:szCs w:val="20"/>
              </w:rPr>
              <w:t xml:space="preserve"> </w:t>
            </w:r>
          </w:p>
          <w:p w14:paraId="2EFD175B" w14:textId="4CAEF8CA" w:rsidR="008F76F3" w:rsidRPr="00963035" w:rsidRDefault="00963035" w:rsidP="00963035">
            <w:pPr>
              <w:spacing w:after="0" w:line="276" w:lineRule="auto"/>
              <w:ind w:firstLine="596"/>
              <w:rPr>
                <w:rFonts w:ascii="Times New Roman" w:hAnsi="Times New Roman" w:cs="Times New Roman"/>
                <w:sz w:val="20"/>
                <w:szCs w:val="20"/>
              </w:rPr>
            </w:pPr>
            <w:r w:rsidRPr="00963035">
              <w:rPr>
                <w:rFonts w:ascii="Times New Roman" w:hAnsi="Times New Roman" w:cs="Times New Roman"/>
                <w:sz w:val="20"/>
                <w:szCs w:val="20"/>
              </w:rPr>
              <w:t>A opção é ainda compatível com o Sistema de Registro de Preços, para o qual o art. 82, § 1º, da Lei nº 14.133/2021 estabelece que o julgamento por grupo de itens somente poderá ser adotado quando demonstrada a inviabilidade da adjudicação por item e evidenciada vantagem técnica e econômica, circunstâncias que não se verificam na presente contratação.</w:t>
            </w:r>
            <w:r>
              <w:rPr>
                <w:rFonts w:ascii="Times New Roman" w:hAnsi="Times New Roman" w:cs="Times New Roman"/>
                <w:sz w:val="20"/>
                <w:szCs w:val="20"/>
              </w:rPr>
              <w:t xml:space="preserve"> </w:t>
            </w:r>
            <w:r w:rsidRPr="00963035">
              <w:rPr>
                <w:rFonts w:ascii="Times New Roman" w:hAnsi="Times New Roman" w:cs="Times New Roman"/>
                <w:sz w:val="20"/>
                <w:szCs w:val="20"/>
              </w:rPr>
              <w:t>Dessa forma, conclui-se que o parcelamento por item é técnica e economicamente mais adequado, por ampliar a competitividade, permitir a participação de fornecedores especializados, reduzir o risco de concentração do objeto e possibilitar a obtenção da proposta mais vantajosa para cada produto, sem prejuízo da padronização e da compatibilidade técnica exigidas pela Administração.</w:t>
            </w:r>
          </w:p>
        </w:tc>
      </w:tr>
    </w:tbl>
    <w:p w14:paraId="46D1E7CB" w14:textId="77777777" w:rsidR="008F76F3" w:rsidRPr="00A00198" w:rsidRDefault="008F76F3" w:rsidP="000C5622">
      <w:pPr>
        <w:spacing w:after="0" w:line="276" w:lineRule="auto"/>
        <w:rPr>
          <w:rFonts w:ascii="Times New Roman" w:hAnsi="Times New Roman" w:cs="Times New Roman"/>
          <w:b/>
          <w:bCs/>
          <w:sz w:val="20"/>
          <w:szCs w:val="20"/>
        </w:rPr>
      </w:pPr>
    </w:p>
    <w:tbl>
      <w:tblPr>
        <w:tblStyle w:val="Tabelacomgrade"/>
        <w:tblW w:w="9209" w:type="dxa"/>
        <w:tblLook w:val="04A0" w:firstRow="1" w:lastRow="0" w:firstColumn="1" w:lastColumn="0" w:noHBand="0" w:noVBand="1"/>
      </w:tblPr>
      <w:tblGrid>
        <w:gridCol w:w="9209"/>
      </w:tblGrid>
      <w:tr w:rsidR="008F76F3" w:rsidRPr="00A00198" w14:paraId="4EBDFB55" w14:textId="77777777" w:rsidTr="00C3667F">
        <w:tc>
          <w:tcPr>
            <w:tcW w:w="9209" w:type="dxa"/>
          </w:tcPr>
          <w:p w14:paraId="7DB61E86" w14:textId="35701549" w:rsidR="008F76F3" w:rsidRPr="00A00198" w:rsidRDefault="008F76F3" w:rsidP="000C5622">
            <w:pPr>
              <w:spacing w:after="0" w:line="276" w:lineRule="auto"/>
              <w:ind w:firstLine="0"/>
              <w:rPr>
                <w:rFonts w:ascii="Times New Roman" w:hAnsi="Times New Roman" w:cs="Times New Roman"/>
                <w:b/>
                <w:sz w:val="20"/>
                <w:szCs w:val="20"/>
              </w:rPr>
            </w:pPr>
            <w:r w:rsidRPr="00A00198">
              <w:rPr>
                <w:rFonts w:ascii="Times New Roman" w:hAnsi="Times New Roman" w:cs="Times New Roman"/>
                <w:b/>
                <w:sz w:val="20"/>
                <w:szCs w:val="20"/>
              </w:rPr>
              <w:t>9 - DEMONSTRATIVO DOS RESULTADOS PRETENDIDOS</w:t>
            </w:r>
            <w:r w:rsidR="00FC4923">
              <w:rPr>
                <w:rFonts w:ascii="Times New Roman" w:hAnsi="Times New Roman" w:cs="Times New Roman"/>
                <w:b/>
                <w:sz w:val="20"/>
                <w:szCs w:val="20"/>
              </w:rPr>
              <w:t>:</w:t>
            </w:r>
          </w:p>
        </w:tc>
      </w:tr>
      <w:tr w:rsidR="008F76F3" w:rsidRPr="00A00198" w14:paraId="197EBD89" w14:textId="77777777" w:rsidTr="00C3667F">
        <w:tc>
          <w:tcPr>
            <w:tcW w:w="9209" w:type="dxa"/>
            <w:shd w:val="clear" w:color="auto" w:fill="F2F2F2" w:themeFill="background1" w:themeFillShade="F2"/>
          </w:tcPr>
          <w:p w14:paraId="695FC112" w14:textId="08A850CC" w:rsidR="008F76F3" w:rsidRPr="00A00198" w:rsidRDefault="008F76F3" w:rsidP="000C5622">
            <w:pPr>
              <w:spacing w:after="0" w:line="276" w:lineRule="auto"/>
              <w:ind w:firstLine="0"/>
              <w:rPr>
                <w:rFonts w:ascii="Times New Roman" w:eastAsia="Times New Roman" w:hAnsi="Times New Roman" w:cs="Times New Roman"/>
                <w:color w:val="000000"/>
                <w:sz w:val="20"/>
                <w:szCs w:val="20"/>
                <w:lang w:eastAsia="pt-BR"/>
              </w:rPr>
            </w:pPr>
            <w:r w:rsidRPr="00A00198">
              <w:rPr>
                <w:rFonts w:ascii="Times New Roman" w:eastAsia="Times New Roman" w:hAnsi="Times New Roman" w:cs="Times New Roman"/>
                <w:bCs/>
                <w:color w:val="000000"/>
                <w:sz w:val="20"/>
                <w:szCs w:val="20"/>
                <w:lang w:eastAsia="pt-BR"/>
              </w:rPr>
              <w:t xml:space="preserve">Fundamentação: </w:t>
            </w:r>
            <w:r w:rsidRPr="00A00198">
              <w:rPr>
                <w:rFonts w:ascii="Times New Roman" w:hAnsi="Times New Roman" w:cs="Times New Roman"/>
                <w:sz w:val="20"/>
                <w:szCs w:val="20"/>
              </w:rPr>
              <w:t>Demonstrativo dos resultados pretendidos em termos de economicidade e de melhor aproveitamento dos recursos humanos, materiais e financeiros disponíveis (</w:t>
            </w:r>
            <w:r w:rsidRPr="00A00198">
              <w:rPr>
                <w:rFonts w:ascii="Times New Roman" w:eastAsia="Times New Roman" w:hAnsi="Times New Roman" w:cs="Times New Roman"/>
                <w:color w:val="000000"/>
                <w:sz w:val="20"/>
                <w:szCs w:val="20"/>
                <w:lang w:eastAsia="pt-BR"/>
              </w:rPr>
              <w:t>inciso IX do § 1° do art. 18 da Lei 14.133/21)</w:t>
            </w:r>
            <w:r w:rsidR="00E776F1">
              <w:rPr>
                <w:rFonts w:ascii="Times New Roman" w:eastAsia="Times New Roman" w:hAnsi="Times New Roman" w:cs="Times New Roman"/>
                <w:color w:val="000000"/>
                <w:sz w:val="20"/>
                <w:szCs w:val="20"/>
                <w:lang w:eastAsia="pt-BR"/>
              </w:rPr>
              <w:t>:</w:t>
            </w:r>
          </w:p>
        </w:tc>
      </w:tr>
      <w:tr w:rsidR="008F76F3" w:rsidRPr="00A00198" w14:paraId="01B06BA0" w14:textId="77777777" w:rsidTr="00C3667F">
        <w:tc>
          <w:tcPr>
            <w:tcW w:w="9209" w:type="dxa"/>
          </w:tcPr>
          <w:p w14:paraId="3BB2B4F0" w14:textId="77777777" w:rsidR="0027325B" w:rsidRPr="0027325B" w:rsidRDefault="0027325B" w:rsidP="0027325B">
            <w:pPr>
              <w:spacing w:after="0" w:line="276" w:lineRule="auto"/>
              <w:ind w:firstLine="594"/>
              <w:rPr>
                <w:rFonts w:ascii="Times New Roman" w:hAnsi="Times New Roman" w:cs="Times New Roman"/>
                <w:sz w:val="20"/>
                <w:szCs w:val="20"/>
              </w:rPr>
            </w:pPr>
            <w:r w:rsidRPr="0027325B">
              <w:rPr>
                <w:rFonts w:ascii="Times New Roman" w:hAnsi="Times New Roman" w:cs="Times New Roman"/>
                <w:sz w:val="20"/>
                <w:szCs w:val="20"/>
              </w:rPr>
              <w:t>A contratação pretende assegurar condições adequadas para manutenção, reposição, atualização e ampliação da infraestrutura de informática utilizada pelas Secretarias Municipais, de forma compatível com as necessidades efetivas da Administração e com o uso racional dos recursos públicos. A solução deverá contribuir para a continuidade das atividades administrativas, operacionais e de atendimento à população, reduzindo situações de indisponibilidade decorrentes de equipamentos defeituosos, obsoletos, insuficientes ou incompatíveis com os sistemas utilizados pelo Município.</w:t>
            </w:r>
          </w:p>
          <w:p w14:paraId="51D41EB2" w14:textId="77777777" w:rsidR="0027325B" w:rsidRPr="0027325B" w:rsidRDefault="0027325B" w:rsidP="0027325B">
            <w:pPr>
              <w:spacing w:after="0" w:line="276" w:lineRule="auto"/>
              <w:ind w:firstLine="594"/>
              <w:rPr>
                <w:rFonts w:ascii="Times New Roman" w:hAnsi="Times New Roman" w:cs="Times New Roman"/>
                <w:sz w:val="20"/>
                <w:szCs w:val="20"/>
              </w:rPr>
            </w:pPr>
            <w:r w:rsidRPr="0027325B">
              <w:rPr>
                <w:rFonts w:ascii="Times New Roman" w:hAnsi="Times New Roman" w:cs="Times New Roman"/>
                <w:sz w:val="20"/>
                <w:szCs w:val="20"/>
              </w:rPr>
              <w:t>Sob o aspecto da economicidade, espera-se ampliar a competitividade entre os fornecedores por meio do Pregão Eletrônico e da adjudicação por item, possibilitando a obtenção de preços mais vantajosos para cada produto. A utilização do Sistema de Registro de Preços permitirá que as aquisições ocorram de forma parcelada e somente quando houver necessidade concreta, evitando a formação excessiva de estoques, a aquisição antecipada de equipamentos sujeitos à obsolescência tecnológica e a imobilização desnecessária de recursos financeiros.</w:t>
            </w:r>
          </w:p>
          <w:p w14:paraId="51AA85C1" w14:textId="77777777" w:rsidR="0027325B" w:rsidRPr="0027325B" w:rsidRDefault="0027325B" w:rsidP="0027325B">
            <w:pPr>
              <w:spacing w:after="0" w:line="276" w:lineRule="auto"/>
              <w:ind w:firstLine="594"/>
              <w:rPr>
                <w:rFonts w:ascii="Times New Roman" w:hAnsi="Times New Roman" w:cs="Times New Roman"/>
                <w:sz w:val="20"/>
                <w:szCs w:val="20"/>
              </w:rPr>
            </w:pPr>
            <w:r w:rsidRPr="0027325B">
              <w:rPr>
                <w:rFonts w:ascii="Times New Roman" w:hAnsi="Times New Roman" w:cs="Times New Roman"/>
                <w:sz w:val="20"/>
                <w:szCs w:val="20"/>
              </w:rPr>
              <w:t>A solução também deverá proporcionar melhor aproveitamento do patrimônio tecnológico já existente. A aquisição de componentes, periféricos e acessórios permitirá a manutenção, recuperação e atualização de equipamentos que ainda apresentem condições adequadas de utilização, reservando-se a aquisição de novos equipamentos para situações em que a substituição seja tecnicamente necessária, economicamente mais adequada ou decorrente da ampliação da infraestrutura. Busca-se, com isso, prolongar a vida útil dos bens municipais e evitar substituições prematuras.</w:t>
            </w:r>
          </w:p>
          <w:p w14:paraId="15DA16F5" w14:textId="77777777" w:rsidR="0027325B" w:rsidRPr="0027325B" w:rsidRDefault="0027325B" w:rsidP="0027325B">
            <w:pPr>
              <w:spacing w:after="0" w:line="276" w:lineRule="auto"/>
              <w:ind w:firstLine="594"/>
              <w:rPr>
                <w:rFonts w:ascii="Times New Roman" w:hAnsi="Times New Roman" w:cs="Times New Roman"/>
                <w:sz w:val="20"/>
                <w:szCs w:val="20"/>
              </w:rPr>
            </w:pPr>
            <w:r w:rsidRPr="0027325B">
              <w:rPr>
                <w:rFonts w:ascii="Times New Roman" w:hAnsi="Times New Roman" w:cs="Times New Roman"/>
                <w:sz w:val="20"/>
                <w:szCs w:val="20"/>
              </w:rPr>
              <w:t>Quanto aos recursos humanos, a disponibilidade de equipamentos adequados deverá proporcionar maior agilidade e regularidade na execução das atividades dos servidores, reduzindo perdas de produtividade relacionadas à lentidão, falhas, incompatibilidades, interrupções e necessidade de remanejamento de estações de trabalho. A melhoria da infraestrutura tecnológica tende a favorecer o acesso aos sistemas informatizados, a tramitação de processos, a elaboração e armazenamento de documentos, a comunicação institucional e o atendimento das demandas internas e externas.</w:t>
            </w:r>
          </w:p>
          <w:p w14:paraId="6AAF604F" w14:textId="77777777" w:rsidR="0027325B" w:rsidRPr="0027325B" w:rsidRDefault="0027325B" w:rsidP="0027325B">
            <w:pPr>
              <w:spacing w:after="0" w:line="276" w:lineRule="auto"/>
              <w:ind w:firstLine="594"/>
              <w:rPr>
                <w:rFonts w:ascii="Times New Roman" w:hAnsi="Times New Roman" w:cs="Times New Roman"/>
                <w:sz w:val="20"/>
                <w:szCs w:val="20"/>
              </w:rPr>
            </w:pPr>
            <w:r w:rsidRPr="0027325B">
              <w:rPr>
                <w:rFonts w:ascii="Times New Roman" w:hAnsi="Times New Roman" w:cs="Times New Roman"/>
                <w:sz w:val="20"/>
                <w:szCs w:val="20"/>
              </w:rPr>
              <w:t>No aspecto financeiro, o fornecimento sob demanda permitirá compatibilizar as aquisições com as prioridades administrativas e com a disponibilidade orçamentária das Secretarias, evitando compras isoladas e sucessivas decorrentes da ausência de planejamento. A centralização das necessidades em uma única contratação também deverá reduzir esforços administrativos destinados à instrução de diversos procedimentos de aquisição de objetos semelhantes, permitindo melhor aproveitamento dos recursos humanos envolvidos nas etapas de planejamento, licitação, compras e fiscalização.</w:t>
            </w:r>
          </w:p>
          <w:p w14:paraId="650EB673" w14:textId="77777777" w:rsidR="0027325B" w:rsidRPr="0027325B" w:rsidRDefault="0027325B" w:rsidP="0027325B">
            <w:pPr>
              <w:spacing w:after="0" w:line="276" w:lineRule="auto"/>
              <w:ind w:firstLine="594"/>
              <w:rPr>
                <w:rFonts w:ascii="Times New Roman" w:hAnsi="Times New Roman" w:cs="Times New Roman"/>
                <w:sz w:val="20"/>
                <w:szCs w:val="20"/>
              </w:rPr>
            </w:pPr>
            <w:r w:rsidRPr="0027325B">
              <w:rPr>
                <w:rFonts w:ascii="Times New Roman" w:hAnsi="Times New Roman" w:cs="Times New Roman"/>
                <w:sz w:val="20"/>
                <w:szCs w:val="20"/>
              </w:rPr>
              <w:t>Pretende-se ainda reduzir os custos indiretos decorrentes da indisponibilidade dos equipamentos, especialmente aqueles relacionados a paralisações, perda de produtividade, necessidade de utilização de equipamentos provisórios e demora no atendimento de problemas durante o período de garantia. Nesse sentido, as exigências de qualidade, garantia e assistência técnica estabelecidas para os equipamentos de maior relevância operacional buscam assegurar que o menor preço obtido no certame esteja associado a condições adequadas de funcionamento e suporte durante sua utilização.</w:t>
            </w:r>
          </w:p>
          <w:p w14:paraId="007A4E5F" w14:textId="77777777" w:rsidR="0027325B" w:rsidRPr="0027325B" w:rsidRDefault="0027325B" w:rsidP="0027325B">
            <w:pPr>
              <w:spacing w:after="0" w:line="276" w:lineRule="auto"/>
              <w:ind w:firstLine="594"/>
              <w:rPr>
                <w:rFonts w:ascii="Times New Roman" w:hAnsi="Times New Roman" w:cs="Times New Roman"/>
                <w:sz w:val="20"/>
                <w:szCs w:val="20"/>
              </w:rPr>
            </w:pPr>
            <w:r w:rsidRPr="0027325B">
              <w:rPr>
                <w:rFonts w:ascii="Times New Roman" w:hAnsi="Times New Roman" w:cs="Times New Roman"/>
                <w:sz w:val="20"/>
                <w:szCs w:val="20"/>
              </w:rPr>
              <w:t>A contratação deverá contribuir, igualmente, para maior padronização e compatibilidade da infraestrutura tecnológica municipal, facilitando a manutenção dos equipamentos, a utilização de componentes, a integração com sistemas existentes e o gerenciamento do parque de informática. Quando aplicável, a adoção de requisitos de eficiência energética, durabilidade e maior vida útil também deverá favorecer a redução dos custos de operação e substituição ao longo do ciclo de utilização dos bens.</w:t>
            </w:r>
          </w:p>
          <w:p w14:paraId="2E39FD1F" w14:textId="0F2297E3" w:rsidR="00E9194F" w:rsidRPr="00E9194F" w:rsidRDefault="0027325B" w:rsidP="0027325B">
            <w:pPr>
              <w:spacing w:after="0" w:line="276" w:lineRule="auto"/>
              <w:ind w:firstLine="594"/>
              <w:rPr>
                <w:rFonts w:ascii="Times New Roman" w:hAnsi="Times New Roman" w:cs="Times New Roman"/>
                <w:sz w:val="20"/>
                <w:szCs w:val="20"/>
              </w:rPr>
            </w:pPr>
            <w:r w:rsidRPr="0027325B">
              <w:rPr>
                <w:rFonts w:ascii="Times New Roman" w:hAnsi="Times New Roman" w:cs="Times New Roman"/>
                <w:sz w:val="20"/>
                <w:szCs w:val="20"/>
              </w:rPr>
              <w:t>Como resultado final, pretende-se dispor de uma solução capaz de atender de forma planejada, contínua e proporcional às necessidades das Secretarias Municipais, conciliando a manutenção dos equipamentos aproveitáveis, a substituição daqueles inadequados e a ampliação da infraestrutura quando necessária. Espera-se, assim, obter melhor aproveitamento dos recursos humanos, materiais e financeiros disponíveis, maior continuidade das atividades administrativas e melhoria das condições tecnológicas necessárias à prestação dos serviços públicos municipais.</w:t>
            </w:r>
          </w:p>
        </w:tc>
      </w:tr>
    </w:tbl>
    <w:p w14:paraId="5284EC27" w14:textId="77777777" w:rsidR="008F76F3" w:rsidRPr="00A00198" w:rsidRDefault="008F76F3" w:rsidP="000C5622">
      <w:pPr>
        <w:spacing w:after="0" w:line="276" w:lineRule="auto"/>
        <w:rPr>
          <w:rFonts w:ascii="Times New Roman" w:eastAsia="Times New Roman" w:hAnsi="Times New Roman" w:cs="Times New Roman"/>
          <w:i/>
          <w:sz w:val="20"/>
          <w:szCs w:val="20"/>
          <w:lang w:eastAsia="pt-BR"/>
        </w:rPr>
      </w:pPr>
      <w:r w:rsidRPr="00A00198">
        <w:rPr>
          <w:rFonts w:ascii="Times New Roman" w:eastAsia="Times New Roman" w:hAnsi="Times New Roman" w:cs="Times New Roman"/>
          <w:i/>
          <w:sz w:val="20"/>
          <w:szCs w:val="20"/>
          <w:lang w:eastAsia="pt-BR"/>
        </w:rPr>
        <w:t xml:space="preserve"> </w:t>
      </w:r>
    </w:p>
    <w:tbl>
      <w:tblPr>
        <w:tblStyle w:val="Tabelacomgrade"/>
        <w:tblW w:w="9209" w:type="dxa"/>
        <w:tblLook w:val="04A0" w:firstRow="1" w:lastRow="0" w:firstColumn="1" w:lastColumn="0" w:noHBand="0" w:noVBand="1"/>
      </w:tblPr>
      <w:tblGrid>
        <w:gridCol w:w="9209"/>
      </w:tblGrid>
      <w:tr w:rsidR="008F76F3" w:rsidRPr="00A00198" w14:paraId="3675C491" w14:textId="77777777" w:rsidTr="00C3667F">
        <w:tc>
          <w:tcPr>
            <w:tcW w:w="9209" w:type="dxa"/>
          </w:tcPr>
          <w:p w14:paraId="506464A4" w14:textId="75056735" w:rsidR="008F76F3" w:rsidRPr="00A00198" w:rsidRDefault="008F76F3" w:rsidP="000C5622">
            <w:pPr>
              <w:shd w:val="clear" w:color="auto" w:fill="FFFFFF"/>
              <w:spacing w:after="0" w:line="276" w:lineRule="auto"/>
              <w:ind w:firstLine="0"/>
              <w:textAlignment w:val="baseline"/>
              <w:rPr>
                <w:rFonts w:ascii="Times New Roman" w:eastAsia="Times New Roman" w:hAnsi="Times New Roman" w:cs="Times New Roman"/>
                <w:b/>
                <w:bCs/>
                <w:color w:val="000000"/>
                <w:sz w:val="20"/>
                <w:szCs w:val="20"/>
                <w:lang w:eastAsia="pt-BR"/>
              </w:rPr>
            </w:pPr>
            <w:r w:rsidRPr="00A00198">
              <w:rPr>
                <w:rFonts w:ascii="Times New Roman" w:eastAsia="Times New Roman" w:hAnsi="Times New Roman" w:cs="Times New Roman"/>
                <w:b/>
                <w:bCs/>
                <w:color w:val="000000"/>
                <w:sz w:val="20"/>
                <w:szCs w:val="20"/>
                <w:lang w:eastAsia="pt-BR"/>
              </w:rPr>
              <w:t>10 – PROVIDÊNCIAS PRÉVIAS AO CONTRATO</w:t>
            </w:r>
            <w:r w:rsidR="00FC4923">
              <w:rPr>
                <w:rFonts w:ascii="Times New Roman" w:eastAsia="Times New Roman" w:hAnsi="Times New Roman" w:cs="Times New Roman"/>
                <w:b/>
                <w:bCs/>
                <w:color w:val="000000"/>
                <w:sz w:val="20"/>
                <w:szCs w:val="20"/>
                <w:lang w:eastAsia="pt-BR"/>
              </w:rPr>
              <w:t>:</w:t>
            </w:r>
          </w:p>
        </w:tc>
      </w:tr>
      <w:tr w:rsidR="008F76F3" w:rsidRPr="00A00198" w14:paraId="0577C84C" w14:textId="77777777" w:rsidTr="00C3667F">
        <w:tc>
          <w:tcPr>
            <w:tcW w:w="9209" w:type="dxa"/>
            <w:shd w:val="clear" w:color="auto" w:fill="F2F2F2" w:themeFill="background1" w:themeFillShade="F2"/>
          </w:tcPr>
          <w:p w14:paraId="5F02B21C" w14:textId="77777777" w:rsidR="008F76F3" w:rsidRPr="00EA6D11" w:rsidRDefault="008F76F3" w:rsidP="000C5622">
            <w:pPr>
              <w:spacing w:after="0" w:line="276" w:lineRule="auto"/>
              <w:ind w:firstLine="0"/>
              <w:rPr>
                <w:rFonts w:ascii="Times New Roman" w:eastAsia="Times New Roman" w:hAnsi="Times New Roman" w:cs="Times New Roman"/>
                <w:color w:val="000000"/>
                <w:sz w:val="20"/>
                <w:szCs w:val="20"/>
                <w:lang w:eastAsia="pt-BR"/>
              </w:rPr>
            </w:pPr>
            <w:r w:rsidRPr="00EA6D11">
              <w:rPr>
                <w:rFonts w:ascii="Times New Roman" w:eastAsia="Times New Roman" w:hAnsi="Times New Roman" w:cs="Times New Roman"/>
                <w:bCs/>
                <w:color w:val="000000"/>
                <w:sz w:val="20"/>
                <w:szCs w:val="20"/>
                <w:lang w:eastAsia="pt-BR"/>
              </w:rPr>
              <w:t xml:space="preserve">Fundamentação: </w:t>
            </w:r>
            <w:bookmarkStart w:id="0" w:name="_Hlk190197186"/>
            <w:r w:rsidRPr="00EA6D11">
              <w:rPr>
                <w:rFonts w:ascii="Times New Roman" w:eastAsia="Times New Roman" w:hAnsi="Times New Roman" w:cs="Times New Roman"/>
                <w:color w:val="000000"/>
                <w:sz w:val="20"/>
                <w:szCs w:val="20"/>
                <w:lang w:eastAsia="pt-BR"/>
              </w:rPr>
              <w:t>Providências a serem adotadas pela administração previamente à celebração do contrato, inclusive quanto à capacitação de servidores ou de empregados para fiscalização e gestão contratual</w:t>
            </w:r>
            <w:bookmarkEnd w:id="0"/>
            <w:r w:rsidRPr="00EA6D11">
              <w:rPr>
                <w:rFonts w:ascii="Times New Roman" w:eastAsia="Times New Roman" w:hAnsi="Times New Roman" w:cs="Times New Roman"/>
                <w:color w:val="000000"/>
                <w:sz w:val="20"/>
                <w:szCs w:val="20"/>
                <w:lang w:eastAsia="pt-BR"/>
              </w:rPr>
              <w:t xml:space="preserve"> (inciso X do § 1° do art. 18 da Lei 14.133/21); </w:t>
            </w:r>
          </w:p>
        </w:tc>
      </w:tr>
      <w:tr w:rsidR="008F76F3" w:rsidRPr="007A02DA" w14:paraId="788C998C" w14:textId="77777777" w:rsidTr="00C3667F">
        <w:tc>
          <w:tcPr>
            <w:tcW w:w="9209" w:type="dxa"/>
          </w:tcPr>
          <w:p w14:paraId="0200B15B" w14:textId="77777777" w:rsidR="0027325B" w:rsidRPr="0027325B" w:rsidRDefault="0027325B" w:rsidP="0027325B">
            <w:pPr>
              <w:spacing w:after="0" w:line="276" w:lineRule="auto"/>
              <w:ind w:firstLine="598"/>
              <w:rPr>
                <w:rFonts w:ascii="Times New Roman" w:hAnsi="Times New Roman" w:cs="Times New Roman"/>
                <w:sz w:val="20"/>
                <w:szCs w:val="20"/>
              </w:rPr>
            </w:pPr>
            <w:r w:rsidRPr="0027325B">
              <w:rPr>
                <w:rFonts w:ascii="Times New Roman" w:hAnsi="Times New Roman" w:cs="Times New Roman"/>
                <w:sz w:val="20"/>
                <w:szCs w:val="20"/>
              </w:rPr>
              <w:t>Antes da formalização da Ata de Registro de Preços e das aquisições dela decorrentes, a Administração deverá adotar as providências necessárias para assegurar que o procedimento e sua posterior execução ocorram de forma planejada, regular e compatível com as especificações técnicas e condições definidas neste Estudo Técnico Preliminar.</w:t>
            </w:r>
          </w:p>
          <w:p w14:paraId="00A8D0B5" w14:textId="517349D4" w:rsidR="0027325B" w:rsidRPr="0027325B" w:rsidRDefault="0027325B" w:rsidP="0027325B">
            <w:pPr>
              <w:spacing w:after="0" w:line="276" w:lineRule="auto"/>
              <w:ind w:firstLine="598"/>
              <w:rPr>
                <w:rFonts w:ascii="Times New Roman" w:hAnsi="Times New Roman" w:cs="Times New Roman"/>
                <w:sz w:val="20"/>
                <w:szCs w:val="20"/>
              </w:rPr>
            </w:pPr>
            <w:r>
              <w:rPr>
                <w:rFonts w:ascii="Times New Roman" w:hAnsi="Times New Roman" w:cs="Times New Roman"/>
                <w:b/>
                <w:bCs/>
                <w:sz w:val="20"/>
                <w:szCs w:val="20"/>
              </w:rPr>
              <w:t xml:space="preserve">1) </w:t>
            </w:r>
            <w:r w:rsidRPr="0027325B">
              <w:rPr>
                <w:rFonts w:ascii="Times New Roman" w:hAnsi="Times New Roman" w:cs="Times New Roman"/>
                <w:b/>
                <w:bCs/>
                <w:sz w:val="20"/>
                <w:szCs w:val="20"/>
              </w:rPr>
              <w:t xml:space="preserve"> ELABORAÇÃO DO TERMO DE REFERÊNCIA E DO EDITAL:</w:t>
            </w:r>
            <w:r w:rsidRPr="0027325B">
              <w:rPr>
                <w:rFonts w:ascii="Times New Roman" w:hAnsi="Times New Roman" w:cs="Times New Roman"/>
                <w:sz w:val="20"/>
                <w:szCs w:val="20"/>
              </w:rPr>
              <w:t xml:space="preserve"> O Termo de Referência deverá consolidar as especificações técnicas, quantitativos, requisitos de qualidade, condições de entrega, garantia, assistência técnica, critérios de recebimento e demais exigências necessárias à adequada definição do objeto. As características deverão ser objetivas e suficientes para assegurar a aquisição de produtos adequados às necessidades municipais, sem inclusão de condições desnecessárias ou restritivas à competição.</w:t>
            </w:r>
            <w:r>
              <w:rPr>
                <w:rFonts w:ascii="Times New Roman" w:hAnsi="Times New Roman" w:cs="Times New Roman"/>
                <w:sz w:val="20"/>
                <w:szCs w:val="20"/>
              </w:rPr>
              <w:t xml:space="preserve"> </w:t>
            </w:r>
            <w:r w:rsidRPr="0027325B">
              <w:rPr>
                <w:rFonts w:ascii="Times New Roman" w:hAnsi="Times New Roman" w:cs="Times New Roman"/>
                <w:sz w:val="20"/>
                <w:szCs w:val="20"/>
              </w:rPr>
              <w:t>O edital deverá reproduzir de forma coerente as condições estabelecidas no planejamento da contratação, disciplinando o julgamento por item, a comprovação das características técnicas, o procedimento de amostragem quando necessário, a habilitação, os prazos e as demais regras aplicáveis ao Sistema de Registro de Preços.</w:t>
            </w:r>
          </w:p>
          <w:p w14:paraId="36DB2D0A" w14:textId="2511AE43" w:rsidR="0027325B" w:rsidRPr="0027325B" w:rsidRDefault="0027325B" w:rsidP="0027325B">
            <w:pPr>
              <w:spacing w:after="0" w:line="276" w:lineRule="auto"/>
              <w:ind w:firstLine="598"/>
              <w:rPr>
                <w:rFonts w:ascii="Times New Roman" w:hAnsi="Times New Roman" w:cs="Times New Roman"/>
                <w:sz w:val="20"/>
                <w:szCs w:val="20"/>
              </w:rPr>
            </w:pPr>
            <w:r>
              <w:rPr>
                <w:rFonts w:ascii="Times New Roman" w:hAnsi="Times New Roman" w:cs="Times New Roman"/>
                <w:b/>
                <w:bCs/>
                <w:sz w:val="20"/>
                <w:szCs w:val="20"/>
              </w:rPr>
              <w:t>2)</w:t>
            </w:r>
            <w:r w:rsidRPr="0027325B">
              <w:rPr>
                <w:rFonts w:ascii="Times New Roman" w:hAnsi="Times New Roman" w:cs="Times New Roman"/>
                <w:b/>
                <w:bCs/>
                <w:sz w:val="20"/>
                <w:szCs w:val="20"/>
              </w:rPr>
              <w:t xml:space="preserve"> CONSOLIDAÇÃO DA PESQUISA DE PREÇOS:</w:t>
            </w:r>
            <w:r w:rsidRPr="0027325B">
              <w:rPr>
                <w:rFonts w:ascii="Times New Roman" w:hAnsi="Times New Roman" w:cs="Times New Roman"/>
                <w:sz w:val="20"/>
                <w:szCs w:val="20"/>
              </w:rPr>
              <w:t xml:space="preserve"> Deverá ser concluída a pesquisa de preços dos itens que integrarão a contratação, considerando suas especificações e quantitativos definitivos, com a elaboração da respectiva memória de cálculo e formação dos preços unitários referenciais.</w:t>
            </w:r>
            <w:r>
              <w:rPr>
                <w:rFonts w:ascii="Times New Roman" w:hAnsi="Times New Roman" w:cs="Times New Roman"/>
                <w:sz w:val="20"/>
                <w:szCs w:val="20"/>
              </w:rPr>
              <w:t xml:space="preserve"> </w:t>
            </w:r>
            <w:r w:rsidRPr="0027325B">
              <w:rPr>
                <w:rFonts w:ascii="Times New Roman" w:hAnsi="Times New Roman" w:cs="Times New Roman"/>
                <w:sz w:val="20"/>
                <w:szCs w:val="20"/>
              </w:rPr>
              <w:t>A estimativa deverá refletir as condições contemporâneas de mercado, não se limitando à simples atualização das contratações anteriores, especialmente em razão das alterações de modelos, tecnologias, especificações e preços ocorridas no mercado de informática desde as aquisições realizadas anteriormente.</w:t>
            </w:r>
          </w:p>
          <w:p w14:paraId="0605BBB1" w14:textId="7A627052" w:rsidR="0027325B" w:rsidRPr="0027325B" w:rsidRDefault="0027325B" w:rsidP="0027325B">
            <w:pPr>
              <w:spacing w:after="0" w:line="276" w:lineRule="auto"/>
              <w:ind w:firstLine="598"/>
              <w:rPr>
                <w:rFonts w:ascii="Times New Roman" w:hAnsi="Times New Roman" w:cs="Times New Roman"/>
                <w:sz w:val="20"/>
                <w:szCs w:val="20"/>
              </w:rPr>
            </w:pPr>
            <w:r>
              <w:rPr>
                <w:rFonts w:ascii="Times New Roman" w:hAnsi="Times New Roman" w:cs="Times New Roman"/>
                <w:b/>
                <w:bCs/>
                <w:sz w:val="20"/>
                <w:szCs w:val="20"/>
              </w:rPr>
              <w:t xml:space="preserve">3) </w:t>
            </w:r>
            <w:r w:rsidRPr="0027325B">
              <w:rPr>
                <w:rFonts w:ascii="Times New Roman" w:hAnsi="Times New Roman" w:cs="Times New Roman"/>
                <w:b/>
                <w:bCs/>
                <w:sz w:val="20"/>
                <w:szCs w:val="20"/>
              </w:rPr>
              <w:t>DESIGNAÇÃO DA GESTÃO E FISCALIZAÇÃO:</w:t>
            </w:r>
            <w:r w:rsidRPr="0027325B">
              <w:rPr>
                <w:rFonts w:ascii="Times New Roman" w:hAnsi="Times New Roman" w:cs="Times New Roman"/>
                <w:sz w:val="20"/>
                <w:szCs w:val="20"/>
              </w:rPr>
              <w:t xml:space="preserve"> Deverão ser formalmente designados os servidores responsáveis pela gestão da Ata de Registro de Preços e pela fiscalização das aquisições dela decorrentes, com definição clara de suas atribuições e responsabilidades. A fiscalização contratual deverá observar as condições estabelecidas no Termo de Referência, na proposta aceita, na Ata e nos instrumentos de contratação, em consonância com o art. 117 da Lei Federal nº 14.133/2021. A gestão da Ata deverá abranger, especialmente, o acompanhamento dos quantitativos registrados e dos respectivos saldos, a vigência da Ata, os preços registrados, as ocorrências relativas aos fornecedores e as demais providências administrativas necessárias ao seu regular gerenciamento. A fiscalização das aquisições deverá concentrar-se na verificação do efetivo cumprimento das obrigações de fornecimento.</w:t>
            </w:r>
          </w:p>
          <w:p w14:paraId="4799F301" w14:textId="0F2990EA" w:rsidR="0027325B" w:rsidRPr="0027325B" w:rsidRDefault="0027325B" w:rsidP="0027325B">
            <w:pPr>
              <w:spacing w:after="0" w:line="276" w:lineRule="auto"/>
              <w:ind w:firstLine="598"/>
              <w:rPr>
                <w:rFonts w:ascii="Times New Roman" w:hAnsi="Times New Roman" w:cs="Times New Roman"/>
                <w:sz w:val="20"/>
                <w:szCs w:val="20"/>
              </w:rPr>
            </w:pPr>
            <w:r>
              <w:rPr>
                <w:rFonts w:ascii="Times New Roman" w:hAnsi="Times New Roman" w:cs="Times New Roman"/>
                <w:b/>
                <w:bCs/>
                <w:sz w:val="20"/>
                <w:szCs w:val="20"/>
              </w:rPr>
              <w:t xml:space="preserve">4) </w:t>
            </w:r>
            <w:r w:rsidRPr="0027325B">
              <w:rPr>
                <w:rFonts w:ascii="Times New Roman" w:hAnsi="Times New Roman" w:cs="Times New Roman"/>
                <w:b/>
                <w:bCs/>
                <w:sz w:val="20"/>
                <w:szCs w:val="20"/>
              </w:rPr>
              <w:t>ORIENTAÇÃO E CAPACITAÇÃO DOS SERVIDORES:</w:t>
            </w:r>
            <w:r w:rsidRPr="0027325B">
              <w:rPr>
                <w:rFonts w:ascii="Times New Roman" w:hAnsi="Times New Roman" w:cs="Times New Roman"/>
                <w:sz w:val="20"/>
                <w:szCs w:val="20"/>
              </w:rPr>
              <w:t xml:space="preserve"> Os servidores responsáveis pelo recebimento e fiscalização deverão ser previamente orientados quanto às especificações dos produtos, aos documentos técnicos exigidos, às condições de garantia e assistência técnica, aos procedimentos de recebimento e às providências cabíveis em caso de desconformidade.</w:t>
            </w:r>
            <w:r>
              <w:rPr>
                <w:rFonts w:ascii="Times New Roman" w:hAnsi="Times New Roman" w:cs="Times New Roman"/>
                <w:sz w:val="20"/>
                <w:szCs w:val="20"/>
              </w:rPr>
              <w:t xml:space="preserve"> </w:t>
            </w:r>
            <w:r w:rsidRPr="0027325B">
              <w:rPr>
                <w:rFonts w:ascii="Times New Roman" w:hAnsi="Times New Roman" w:cs="Times New Roman"/>
                <w:sz w:val="20"/>
                <w:szCs w:val="20"/>
              </w:rPr>
              <w:t>Considerando a natureza técnica dos equipamentos de informática, deverá ser assegurado apoio de servidor com conhecimento suficiente para conferência das características dos produtos quando a verificação exigir análise específica de marca, modelo, configuração, capacidade, compatibilidade ou funcionamento. Não se identifica necessidade de capacitação externa específica como condição prévia à contratação, desde que os agentes designados possuam conhecimento compatível ou recebam orientação interna suficiente para o desempenho das atribuições.</w:t>
            </w:r>
          </w:p>
          <w:p w14:paraId="39DE0874" w14:textId="7057E4F0" w:rsidR="0027325B" w:rsidRPr="0027325B" w:rsidRDefault="0027325B" w:rsidP="0027325B">
            <w:pPr>
              <w:spacing w:after="0" w:line="276" w:lineRule="auto"/>
              <w:ind w:firstLine="598"/>
              <w:rPr>
                <w:rFonts w:ascii="Times New Roman" w:hAnsi="Times New Roman" w:cs="Times New Roman"/>
                <w:sz w:val="20"/>
                <w:szCs w:val="20"/>
              </w:rPr>
            </w:pPr>
            <w:r>
              <w:rPr>
                <w:rFonts w:ascii="Times New Roman" w:hAnsi="Times New Roman" w:cs="Times New Roman"/>
                <w:b/>
                <w:bCs/>
                <w:sz w:val="20"/>
                <w:szCs w:val="20"/>
              </w:rPr>
              <w:t xml:space="preserve">5) </w:t>
            </w:r>
            <w:r w:rsidRPr="0027325B">
              <w:rPr>
                <w:rFonts w:ascii="Times New Roman" w:hAnsi="Times New Roman" w:cs="Times New Roman"/>
                <w:b/>
                <w:bCs/>
                <w:sz w:val="20"/>
                <w:szCs w:val="20"/>
              </w:rPr>
              <w:t>DEFINIÇÃO DOS PROCEDIMENTOS DE VERIFICAÇÃO E RECEBIMENTO:</w:t>
            </w:r>
            <w:r w:rsidRPr="0027325B">
              <w:rPr>
                <w:rFonts w:ascii="Times New Roman" w:hAnsi="Times New Roman" w:cs="Times New Roman"/>
                <w:sz w:val="20"/>
                <w:szCs w:val="20"/>
              </w:rPr>
              <w:t xml:space="preserve"> Antes do início dos fornecimentos, deverão estar definidos os procedimentos destinados à conferência quantitativa e qualitativa dos produtos, inclusive quanto à marca, modelo, configuração, acessórios, integridade física, documentação, garantia e demais características previstas no Termo de Referência.</w:t>
            </w:r>
            <w:r>
              <w:rPr>
                <w:rFonts w:ascii="Times New Roman" w:hAnsi="Times New Roman" w:cs="Times New Roman"/>
                <w:sz w:val="20"/>
                <w:szCs w:val="20"/>
              </w:rPr>
              <w:t xml:space="preserve"> </w:t>
            </w:r>
            <w:r w:rsidRPr="0027325B">
              <w:rPr>
                <w:rFonts w:ascii="Times New Roman" w:hAnsi="Times New Roman" w:cs="Times New Roman"/>
                <w:sz w:val="20"/>
                <w:szCs w:val="20"/>
              </w:rPr>
              <w:t xml:space="preserve">Catálogos, fichas técnicas, manuais, páginas oficiais dos fabricantes e demais documentos destinados à comprovação das características do produto deverão ser analisados na fase pertinente ao julgamento da proposta. Quando permanecer dúvida objetiva quanto à conformidade do produto, será adotado o procedimento de amostragem previsto neste </w:t>
            </w:r>
            <w:r>
              <w:rPr>
                <w:rFonts w:ascii="Times New Roman" w:hAnsi="Times New Roman" w:cs="Times New Roman"/>
                <w:sz w:val="20"/>
                <w:szCs w:val="20"/>
              </w:rPr>
              <w:t xml:space="preserve">ETP. </w:t>
            </w:r>
            <w:r w:rsidRPr="0027325B">
              <w:rPr>
                <w:rFonts w:ascii="Times New Roman" w:hAnsi="Times New Roman" w:cs="Times New Roman"/>
                <w:sz w:val="20"/>
                <w:szCs w:val="20"/>
              </w:rPr>
              <w:t>Os produtos entregues em desacordo com as especificações deverão ser recusados, com registro da ocorrência e adoção das providências para substituição, sem prejuízo das demais medidas administrativas cabíveis.</w:t>
            </w:r>
          </w:p>
          <w:p w14:paraId="2DFC9D18" w14:textId="12715A0E" w:rsidR="0027325B" w:rsidRPr="0027325B" w:rsidRDefault="0027325B" w:rsidP="0027325B">
            <w:pPr>
              <w:spacing w:after="0" w:line="276" w:lineRule="auto"/>
              <w:ind w:firstLine="598"/>
              <w:rPr>
                <w:rFonts w:ascii="Times New Roman" w:hAnsi="Times New Roman" w:cs="Times New Roman"/>
                <w:sz w:val="20"/>
                <w:szCs w:val="20"/>
              </w:rPr>
            </w:pPr>
            <w:r>
              <w:rPr>
                <w:rFonts w:ascii="Times New Roman" w:hAnsi="Times New Roman" w:cs="Times New Roman"/>
                <w:b/>
                <w:bCs/>
                <w:sz w:val="20"/>
                <w:szCs w:val="20"/>
              </w:rPr>
              <w:t xml:space="preserve">6) </w:t>
            </w:r>
            <w:r w:rsidRPr="0027325B">
              <w:rPr>
                <w:rFonts w:ascii="Times New Roman" w:hAnsi="Times New Roman" w:cs="Times New Roman"/>
                <w:b/>
                <w:bCs/>
                <w:sz w:val="20"/>
                <w:szCs w:val="20"/>
              </w:rPr>
              <w:t xml:space="preserve"> DEFINIÇÃO DOS LOCAIS E DA LOGÍSTICA DE ENTREGA:</w:t>
            </w:r>
            <w:r w:rsidRPr="0027325B">
              <w:rPr>
                <w:rFonts w:ascii="Times New Roman" w:hAnsi="Times New Roman" w:cs="Times New Roman"/>
                <w:sz w:val="20"/>
                <w:szCs w:val="20"/>
              </w:rPr>
              <w:t xml:space="preserve"> Deverão ser definidos os locais e os responsáveis pelo recebimento dos materiais e equipamentos, de modo que as Ordens de Compra ou instrumentos equivalentes indiquem de forma clara o destino, o quantitativo e as condições de entrega.</w:t>
            </w:r>
            <w:r>
              <w:rPr>
                <w:rFonts w:ascii="Times New Roman" w:hAnsi="Times New Roman" w:cs="Times New Roman"/>
                <w:sz w:val="20"/>
                <w:szCs w:val="20"/>
              </w:rPr>
              <w:t xml:space="preserve"> </w:t>
            </w:r>
            <w:r w:rsidRPr="0027325B">
              <w:rPr>
                <w:rFonts w:ascii="Times New Roman" w:hAnsi="Times New Roman" w:cs="Times New Roman"/>
                <w:sz w:val="20"/>
                <w:szCs w:val="20"/>
              </w:rPr>
              <w:t>Deverá ser assegurado local adequado para recebimento, conferência e guarda temporária dos equipamentos até sua destinação ao setor requisitante, especialmente para bens de maior valor ou sujeitos a registro patrimonial.</w:t>
            </w:r>
            <w:r>
              <w:rPr>
                <w:rFonts w:ascii="Times New Roman" w:hAnsi="Times New Roman" w:cs="Times New Roman"/>
                <w:sz w:val="20"/>
                <w:szCs w:val="20"/>
              </w:rPr>
              <w:t xml:space="preserve"> </w:t>
            </w:r>
            <w:r w:rsidRPr="0027325B">
              <w:rPr>
                <w:rFonts w:ascii="Times New Roman" w:hAnsi="Times New Roman" w:cs="Times New Roman"/>
                <w:sz w:val="20"/>
                <w:szCs w:val="20"/>
              </w:rPr>
              <w:t>Quando determinado item exigir instalação, configuração inicial, teste de funcionamento ou procedimento adicional para seu recebimento, essa obrigação deverá constar expressamente do Termo de Referência e da respectiva especificação.</w:t>
            </w:r>
          </w:p>
          <w:p w14:paraId="1C56D082" w14:textId="5C9F7E60" w:rsidR="0027325B" w:rsidRPr="0027325B" w:rsidRDefault="0027325B" w:rsidP="0027325B">
            <w:pPr>
              <w:spacing w:after="0" w:line="276" w:lineRule="auto"/>
              <w:ind w:firstLine="598"/>
              <w:rPr>
                <w:rFonts w:ascii="Times New Roman" w:hAnsi="Times New Roman" w:cs="Times New Roman"/>
                <w:sz w:val="20"/>
                <w:szCs w:val="20"/>
              </w:rPr>
            </w:pPr>
            <w:r>
              <w:rPr>
                <w:rFonts w:ascii="Times New Roman" w:hAnsi="Times New Roman" w:cs="Times New Roman"/>
                <w:b/>
                <w:bCs/>
                <w:sz w:val="20"/>
                <w:szCs w:val="20"/>
              </w:rPr>
              <w:t>7)</w:t>
            </w:r>
            <w:r w:rsidRPr="0027325B">
              <w:rPr>
                <w:rFonts w:ascii="Times New Roman" w:hAnsi="Times New Roman" w:cs="Times New Roman"/>
                <w:b/>
                <w:bCs/>
                <w:sz w:val="20"/>
                <w:szCs w:val="20"/>
              </w:rPr>
              <w:t xml:space="preserve"> FORMALIZAÇÃO E PUBLICIDADE DO PROCEDIMENTO:</w:t>
            </w:r>
            <w:r w:rsidRPr="0027325B">
              <w:rPr>
                <w:rFonts w:ascii="Times New Roman" w:hAnsi="Times New Roman" w:cs="Times New Roman"/>
                <w:sz w:val="20"/>
                <w:szCs w:val="20"/>
              </w:rPr>
              <w:t xml:space="preserve"> Concluída a fase preparatória, deverão ser providenciadas a aprovação dos documentos da contratação e a divulgação do edital e de seus anexos pelos meios legalmente exigidos, inclusive no Portal Nacional de Contratações Públicas – PNCP, assegurando ampla publicidade ao procedimento. A Lei nº 14.133/2021 estabelece o PNCP como sítio eletrônico oficial destinado à divulgação centralizada dos atos exigidos pela legislação. </w:t>
            </w:r>
            <w:r>
              <w:rPr>
                <w:rFonts w:ascii="Times New Roman" w:hAnsi="Times New Roman" w:cs="Times New Roman"/>
                <w:sz w:val="20"/>
                <w:szCs w:val="20"/>
              </w:rPr>
              <w:t xml:space="preserve"> </w:t>
            </w:r>
            <w:r w:rsidRPr="0027325B">
              <w:rPr>
                <w:rFonts w:ascii="Times New Roman" w:hAnsi="Times New Roman" w:cs="Times New Roman"/>
                <w:sz w:val="20"/>
                <w:szCs w:val="20"/>
              </w:rPr>
              <w:t>A Ata de Registro de Preços e os instrumentos decorrentes deverão contemplar, conforme aplicável, as condições de fornecimento, prazos de entrega, recebimento, garantia, assistência técnica, substituição de produtos, obrigações das partes, fiscalização, sanções e demais regras necessárias à execução da contratação.</w:t>
            </w:r>
          </w:p>
          <w:p w14:paraId="5F4BC334" w14:textId="6DC002DD" w:rsidR="007E6D7D" w:rsidRPr="0027325B" w:rsidRDefault="0027325B" w:rsidP="0027325B">
            <w:pPr>
              <w:spacing w:after="0" w:line="276" w:lineRule="auto"/>
              <w:ind w:firstLine="598"/>
              <w:rPr>
                <w:rFonts w:ascii="Times New Roman" w:hAnsi="Times New Roman" w:cs="Times New Roman"/>
                <w:sz w:val="20"/>
                <w:szCs w:val="20"/>
              </w:rPr>
            </w:pPr>
            <w:r w:rsidRPr="0027325B">
              <w:rPr>
                <w:rFonts w:ascii="Times New Roman" w:hAnsi="Times New Roman" w:cs="Times New Roman"/>
                <w:sz w:val="20"/>
                <w:szCs w:val="20"/>
              </w:rPr>
              <w:t>Adotadas essas providências, não se identificam adaptações estruturais relevantes nem outras medidas materiais prévias indispensáveis à contratação, uma vez que o objeto corresponde predominantemente ao fornecimento de materiais, componentes, periféricos e equipamentos destinados à infraestrutura tecnológica já utilizada pelas Secretarias Municipais.</w:t>
            </w:r>
          </w:p>
        </w:tc>
      </w:tr>
    </w:tbl>
    <w:p w14:paraId="44EB9322" w14:textId="77777777" w:rsidR="008F76F3" w:rsidRPr="007A02DA" w:rsidRDefault="008F76F3" w:rsidP="000C5622">
      <w:pPr>
        <w:spacing w:after="0" w:line="276" w:lineRule="auto"/>
        <w:rPr>
          <w:rFonts w:ascii="Times New Roman" w:hAnsi="Times New Roman" w:cs="Times New Roman"/>
          <w:color w:val="FF0000"/>
          <w:sz w:val="20"/>
          <w:szCs w:val="20"/>
        </w:rPr>
      </w:pPr>
    </w:p>
    <w:tbl>
      <w:tblPr>
        <w:tblStyle w:val="Tabelacomgrade"/>
        <w:tblW w:w="9209" w:type="dxa"/>
        <w:tblLook w:val="04A0" w:firstRow="1" w:lastRow="0" w:firstColumn="1" w:lastColumn="0" w:noHBand="0" w:noVBand="1"/>
      </w:tblPr>
      <w:tblGrid>
        <w:gridCol w:w="9209"/>
      </w:tblGrid>
      <w:tr w:rsidR="008F76F3" w:rsidRPr="00A00198" w14:paraId="515B6EF4" w14:textId="77777777" w:rsidTr="00C3667F">
        <w:tc>
          <w:tcPr>
            <w:tcW w:w="9209" w:type="dxa"/>
          </w:tcPr>
          <w:p w14:paraId="1C78622F" w14:textId="3C8AF9F7" w:rsidR="008F76F3" w:rsidRPr="00A00198" w:rsidRDefault="008F76F3" w:rsidP="000C5622">
            <w:pPr>
              <w:shd w:val="clear" w:color="auto" w:fill="FFFFFF"/>
              <w:spacing w:after="0" w:line="276" w:lineRule="auto"/>
              <w:ind w:firstLine="0"/>
              <w:textAlignment w:val="baseline"/>
              <w:rPr>
                <w:rFonts w:ascii="Times New Roman" w:eastAsia="Times New Roman" w:hAnsi="Times New Roman" w:cs="Times New Roman"/>
                <w:b/>
                <w:bCs/>
                <w:color w:val="000000"/>
                <w:sz w:val="20"/>
                <w:szCs w:val="20"/>
                <w:lang w:eastAsia="pt-BR"/>
              </w:rPr>
            </w:pPr>
            <w:r w:rsidRPr="00A00198">
              <w:rPr>
                <w:rFonts w:ascii="Times New Roman" w:eastAsia="Times New Roman" w:hAnsi="Times New Roman" w:cs="Times New Roman"/>
                <w:b/>
                <w:bCs/>
                <w:color w:val="000000"/>
                <w:sz w:val="20"/>
                <w:szCs w:val="20"/>
                <w:lang w:eastAsia="pt-BR"/>
              </w:rPr>
              <w:t>11 – CONTRATAÇÕES CORRELATAS/INTERDEPENDENTES</w:t>
            </w:r>
            <w:r w:rsidR="00FC4923">
              <w:rPr>
                <w:rFonts w:ascii="Times New Roman" w:eastAsia="Times New Roman" w:hAnsi="Times New Roman" w:cs="Times New Roman"/>
                <w:b/>
                <w:bCs/>
                <w:color w:val="000000"/>
                <w:sz w:val="20"/>
                <w:szCs w:val="20"/>
                <w:lang w:eastAsia="pt-BR"/>
              </w:rPr>
              <w:t>:</w:t>
            </w:r>
          </w:p>
        </w:tc>
      </w:tr>
      <w:tr w:rsidR="008F76F3" w:rsidRPr="00A00198" w14:paraId="455DD9E4" w14:textId="77777777" w:rsidTr="00C3667F">
        <w:tc>
          <w:tcPr>
            <w:tcW w:w="9209" w:type="dxa"/>
            <w:shd w:val="clear" w:color="auto" w:fill="F2F2F2" w:themeFill="background1" w:themeFillShade="F2"/>
          </w:tcPr>
          <w:p w14:paraId="3BBC643A" w14:textId="77777777" w:rsidR="008F76F3" w:rsidRPr="00A00198" w:rsidRDefault="008F76F3" w:rsidP="000C5622">
            <w:pPr>
              <w:spacing w:after="0" w:line="276" w:lineRule="auto"/>
              <w:ind w:firstLine="0"/>
              <w:rPr>
                <w:rFonts w:ascii="Times New Roman" w:eastAsia="Times New Roman" w:hAnsi="Times New Roman" w:cs="Times New Roman"/>
                <w:color w:val="000000"/>
                <w:sz w:val="20"/>
                <w:szCs w:val="20"/>
                <w:lang w:eastAsia="pt-BR"/>
              </w:rPr>
            </w:pPr>
            <w:r w:rsidRPr="00A00198">
              <w:rPr>
                <w:rFonts w:ascii="Times New Roman" w:eastAsia="Times New Roman" w:hAnsi="Times New Roman" w:cs="Times New Roman"/>
                <w:bCs/>
                <w:color w:val="000000"/>
                <w:sz w:val="20"/>
                <w:szCs w:val="20"/>
                <w:lang w:eastAsia="pt-BR"/>
              </w:rPr>
              <w:t xml:space="preserve">Fundamentação: </w:t>
            </w:r>
            <w:r w:rsidRPr="00A00198">
              <w:rPr>
                <w:rFonts w:ascii="Times New Roman" w:eastAsia="Times New Roman" w:hAnsi="Times New Roman" w:cs="Times New Roman"/>
                <w:color w:val="000000"/>
                <w:sz w:val="20"/>
                <w:szCs w:val="20"/>
                <w:lang w:eastAsia="pt-BR"/>
              </w:rPr>
              <w:t>Contratações correlatas e/ou interdependentes (inciso XI do § 1° do art. 18 da Lei 14.133/21);</w:t>
            </w:r>
          </w:p>
        </w:tc>
      </w:tr>
      <w:tr w:rsidR="00E57D09" w:rsidRPr="00E57D09" w14:paraId="1A83E025" w14:textId="77777777" w:rsidTr="00C3667F">
        <w:tc>
          <w:tcPr>
            <w:tcW w:w="9209" w:type="dxa"/>
          </w:tcPr>
          <w:p w14:paraId="3A54C9F0" w14:textId="536C014F" w:rsidR="0027325B" w:rsidRPr="0027325B" w:rsidRDefault="0027325B" w:rsidP="0027325B">
            <w:pPr>
              <w:spacing w:after="0" w:line="276" w:lineRule="auto"/>
              <w:ind w:firstLine="596"/>
              <w:rPr>
                <w:rFonts w:ascii="Times New Roman" w:hAnsi="Times New Roman" w:cs="Times New Roman"/>
                <w:sz w:val="20"/>
                <w:szCs w:val="20"/>
              </w:rPr>
            </w:pPr>
            <w:r w:rsidRPr="0027325B">
              <w:rPr>
                <w:rFonts w:ascii="Times New Roman" w:hAnsi="Times New Roman" w:cs="Times New Roman"/>
                <w:sz w:val="20"/>
                <w:szCs w:val="20"/>
              </w:rPr>
              <w:t>Não foram identificadas contratações interdependentes indispensáveis à execução do objeto, uma vez que a presente solução consiste no fornecimento de materiais, componentes, periféricos e equipamentos de informática que poderão ser adquiridos, recebidos e utilizados de forma autônoma pelas Secretarias Municipais, conforme suas necessidades.</w:t>
            </w:r>
            <w:r>
              <w:rPr>
                <w:rFonts w:ascii="Times New Roman" w:hAnsi="Times New Roman" w:cs="Times New Roman"/>
                <w:sz w:val="20"/>
                <w:szCs w:val="20"/>
              </w:rPr>
              <w:t xml:space="preserve"> </w:t>
            </w:r>
            <w:r w:rsidRPr="0027325B">
              <w:rPr>
                <w:rFonts w:ascii="Times New Roman" w:hAnsi="Times New Roman" w:cs="Times New Roman"/>
                <w:sz w:val="20"/>
                <w:szCs w:val="20"/>
              </w:rPr>
              <w:t>Existem, contudo, contratações correlatas relacionadas à infraestrutura tecnológica municipal, especialmente serviços de manutenção e suporte técnico, conectividade e infraestrutura de rede, segurança da informação, licenciamento de sistemas e soluções de proteção de dados. Tais contratações possuem caráter complementar e contribuem para o adequado funcionamento do ambiente tecnológico, mas não constituem condição prévia ou requisito indispensável à presente aquisição.</w:t>
            </w:r>
          </w:p>
          <w:p w14:paraId="3C7CCAFB" w14:textId="1A94E3DB" w:rsidR="008F76F3" w:rsidRPr="00FE5E88" w:rsidRDefault="0027325B" w:rsidP="000C5622">
            <w:pPr>
              <w:spacing w:after="0" w:line="276" w:lineRule="auto"/>
              <w:ind w:firstLine="596"/>
              <w:rPr>
                <w:rFonts w:ascii="Times New Roman" w:hAnsi="Times New Roman" w:cs="Times New Roman"/>
                <w:sz w:val="20"/>
                <w:szCs w:val="20"/>
              </w:rPr>
            </w:pPr>
            <w:r w:rsidRPr="0027325B">
              <w:rPr>
                <w:rFonts w:ascii="Times New Roman" w:hAnsi="Times New Roman" w:cs="Times New Roman"/>
                <w:sz w:val="20"/>
                <w:szCs w:val="20"/>
              </w:rPr>
              <w:t>Também poderão existir aquisições específicas de insumos, acessórios ou componentes não contemplados neste processo, bem como eventuais serviços de instalação, configuração ou adequação da infraestrutura física, quando a natureza de determinado equipamento assim exigir. Essas necessidades deverão ser tratadas em procedimentos próprios, caso identificadas. Dessa forma, conclui-se que a presente contratação possui autonomia técnica e operacional, não dependendo de contratação interdependente para sua viabilidade, sem prejuízo da necessária compatibilidade dos produtos adquiridos com a infraestrutura, os sistemas e as demais soluções de tecnologia da informação já utilizadas pelo Município.</w:t>
            </w:r>
          </w:p>
        </w:tc>
      </w:tr>
    </w:tbl>
    <w:p w14:paraId="503AA091" w14:textId="77777777" w:rsidR="008F76F3" w:rsidRPr="00A00198" w:rsidRDefault="008F76F3" w:rsidP="000C5622">
      <w:pPr>
        <w:spacing w:after="0" w:line="276" w:lineRule="auto"/>
        <w:rPr>
          <w:rFonts w:ascii="Times New Roman" w:eastAsia="Times New Roman" w:hAnsi="Times New Roman" w:cs="Times New Roman"/>
          <w:color w:val="000000"/>
          <w:sz w:val="20"/>
          <w:szCs w:val="20"/>
          <w:lang w:eastAsia="pt-BR"/>
        </w:rPr>
      </w:pPr>
    </w:p>
    <w:tbl>
      <w:tblPr>
        <w:tblStyle w:val="Tabelacomgrade"/>
        <w:tblW w:w="9209" w:type="dxa"/>
        <w:tblLook w:val="04A0" w:firstRow="1" w:lastRow="0" w:firstColumn="1" w:lastColumn="0" w:noHBand="0" w:noVBand="1"/>
      </w:tblPr>
      <w:tblGrid>
        <w:gridCol w:w="9209"/>
      </w:tblGrid>
      <w:tr w:rsidR="008F76F3" w:rsidRPr="00A00198" w14:paraId="3D90EBFB" w14:textId="77777777" w:rsidTr="000F458C">
        <w:tc>
          <w:tcPr>
            <w:tcW w:w="9209" w:type="dxa"/>
          </w:tcPr>
          <w:p w14:paraId="742EAC32" w14:textId="277ABFCD" w:rsidR="008F76F3" w:rsidRPr="00A00198" w:rsidRDefault="008F76F3" w:rsidP="000C5622">
            <w:pPr>
              <w:spacing w:after="0" w:line="276" w:lineRule="auto"/>
              <w:ind w:firstLine="0"/>
              <w:rPr>
                <w:rFonts w:ascii="Times New Roman" w:eastAsia="Times New Roman" w:hAnsi="Times New Roman" w:cs="Times New Roman"/>
                <w:b/>
                <w:color w:val="000000"/>
                <w:sz w:val="20"/>
                <w:szCs w:val="20"/>
                <w:lang w:eastAsia="pt-BR"/>
              </w:rPr>
            </w:pPr>
            <w:r w:rsidRPr="00A00198">
              <w:rPr>
                <w:rFonts w:ascii="Times New Roman" w:eastAsia="Times New Roman" w:hAnsi="Times New Roman" w:cs="Times New Roman"/>
                <w:b/>
                <w:bCs/>
                <w:color w:val="000000"/>
                <w:sz w:val="20"/>
                <w:szCs w:val="20"/>
                <w:lang w:eastAsia="pt-BR"/>
              </w:rPr>
              <w:t>12 – IMPACTOS AMBIENTAIS</w:t>
            </w:r>
            <w:r w:rsidR="00FC4923">
              <w:rPr>
                <w:rFonts w:ascii="Times New Roman" w:eastAsia="Times New Roman" w:hAnsi="Times New Roman" w:cs="Times New Roman"/>
                <w:b/>
                <w:bCs/>
                <w:color w:val="000000"/>
                <w:sz w:val="20"/>
                <w:szCs w:val="20"/>
                <w:lang w:eastAsia="pt-BR"/>
              </w:rPr>
              <w:t>:</w:t>
            </w:r>
          </w:p>
        </w:tc>
      </w:tr>
      <w:tr w:rsidR="008F76F3" w:rsidRPr="00A00198" w14:paraId="22D5FB8B" w14:textId="77777777" w:rsidTr="000F458C">
        <w:tc>
          <w:tcPr>
            <w:tcW w:w="9209" w:type="dxa"/>
            <w:shd w:val="clear" w:color="auto" w:fill="F2F2F2" w:themeFill="background1" w:themeFillShade="F2"/>
          </w:tcPr>
          <w:p w14:paraId="7BB9D2B9" w14:textId="3A87AFF2" w:rsidR="008F76F3" w:rsidRPr="00A00198" w:rsidRDefault="008F76F3" w:rsidP="000C5622">
            <w:pPr>
              <w:spacing w:after="0" w:line="276" w:lineRule="auto"/>
              <w:ind w:firstLine="0"/>
              <w:rPr>
                <w:rFonts w:ascii="Times New Roman" w:eastAsia="Times New Roman" w:hAnsi="Times New Roman" w:cs="Times New Roman"/>
                <w:color w:val="000000"/>
                <w:sz w:val="20"/>
                <w:szCs w:val="20"/>
                <w:lang w:eastAsia="pt-BR"/>
              </w:rPr>
            </w:pPr>
            <w:r w:rsidRPr="00A00198">
              <w:rPr>
                <w:rFonts w:ascii="Times New Roman" w:eastAsia="Times New Roman" w:hAnsi="Times New Roman" w:cs="Times New Roman"/>
                <w:bCs/>
                <w:color w:val="000000"/>
                <w:sz w:val="20"/>
                <w:szCs w:val="20"/>
                <w:lang w:eastAsia="pt-BR"/>
              </w:rPr>
              <w:t xml:space="preserve">Fundamentação: </w:t>
            </w:r>
            <w:r w:rsidRPr="00A00198">
              <w:rPr>
                <w:rFonts w:ascii="Times New Roman" w:hAnsi="Times New Roman" w:cs="Times New Roman"/>
                <w:sz w:val="20"/>
                <w:szCs w:val="20"/>
              </w:rPr>
              <w:t>Descrição de possíveis impactos ambientais e respectivas medidas mitigadoras, incluídos requisitos de baixo consumo de energia e de outros recursos, bem como logística reversa para desfazimento e reciclagem de bens e refugos, quando aplicável (</w:t>
            </w:r>
            <w:r w:rsidRPr="00A00198">
              <w:rPr>
                <w:rFonts w:ascii="Times New Roman" w:eastAsia="Times New Roman" w:hAnsi="Times New Roman" w:cs="Times New Roman"/>
                <w:color w:val="000000"/>
                <w:sz w:val="20"/>
                <w:szCs w:val="20"/>
                <w:lang w:eastAsia="pt-BR"/>
              </w:rPr>
              <w:t>inciso XII do § 1° do art. 18 da Lei 14.133/21)</w:t>
            </w:r>
            <w:r w:rsidR="00B62DC3">
              <w:rPr>
                <w:rFonts w:ascii="Times New Roman" w:eastAsia="Times New Roman" w:hAnsi="Times New Roman" w:cs="Times New Roman"/>
                <w:color w:val="000000"/>
                <w:sz w:val="20"/>
                <w:szCs w:val="20"/>
                <w:lang w:eastAsia="pt-BR"/>
              </w:rPr>
              <w:t>:</w:t>
            </w:r>
          </w:p>
        </w:tc>
      </w:tr>
      <w:tr w:rsidR="008F76F3" w:rsidRPr="00A00198" w14:paraId="0DDD108A" w14:textId="77777777" w:rsidTr="000F458C">
        <w:tc>
          <w:tcPr>
            <w:tcW w:w="9209" w:type="dxa"/>
          </w:tcPr>
          <w:p w14:paraId="3E8E598B" w14:textId="0047530E" w:rsidR="0027325B" w:rsidRPr="0027325B" w:rsidRDefault="0027325B" w:rsidP="0027325B">
            <w:pPr>
              <w:spacing w:after="0" w:line="276" w:lineRule="auto"/>
              <w:ind w:firstLine="596"/>
              <w:rPr>
                <w:rFonts w:ascii="Times New Roman" w:hAnsi="Times New Roman" w:cs="Times New Roman"/>
                <w:sz w:val="20"/>
                <w:szCs w:val="20"/>
              </w:rPr>
            </w:pPr>
            <w:r w:rsidRPr="0027325B">
              <w:rPr>
                <w:rFonts w:ascii="Times New Roman" w:hAnsi="Times New Roman" w:cs="Times New Roman"/>
                <w:sz w:val="20"/>
                <w:szCs w:val="20"/>
              </w:rPr>
              <w:t xml:space="preserve">A contratação de materiais, componentes, periféricos e equipamentos de informática apresenta impactos ambientais ao longo de todo o ciclo de vida dos produtos, abrangendo a utilização de matérias-primas e recursos naturais em sua fabricação, o consumo de energia elétrica durante a utilização, a geração de embalagens e, especialmente, a produção de resíduos eletroeletrônicos ao término de sua vida útil. A composição desses equipamentos envolve diferentes materiais e componentes, incluindo estruturas plásticas e metálicas, placas e circuitos eletrônicos, cabos, fontes de alimentação, dispositivos de armazenamento, </w:t>
            </w:r>
            <w:r>
              <w:rPr>
                <w:rFonts w:ascii="Times New Roman" w:hAnsi="Times New Roman" w:cs="Times New Roman"/>
                <w:sz w:val="20"/>
                <w:szCs w:val="20"/>
              </w:rPr>
              <w:t xml:space="preserve">entre outros, </w:t>
            </w:r>
            <w:r w:rsidRPr="0027325B">
              <w:rPr>
                <w:rFonts w:ascii="Times New Roman" w:hAnsi="Times New Roman" w:cs="Times New Roman"/>
                <w:sz w:val="20"/>
                <w:szCs w:val="20"/>
              </w:rPr>
              <w:t>o</w:t>
            </w:r>
            <w:r>
              <w:rPr>
                <w:rFonts w:ascii="Times New Roman" w:hAnsi="Times New Roman" w:cs="Times New Roman"/>
                <w:sz w:val="20"/>
                <w:szCs w:val="20"/>
              </w:rPr>
              <w:t>s</w:t>
            </w:r>
            <w:r w:rsidRPr="0027325B">
              <w:rPr>
                <w:rFonts w:ascii="Times New Roman" w:hAnsi="Times New Roman" w:cs="Times New Roman"/>
                <w:sz w:val="20"/>
                <w:szCs w:val="20"/>
              </w:rPr>
              <w:t xml:space="preserve"> qu</w:t>
            </w:r>
            <w:r>
              <w:rPr>
                <w:rFonts w:ascii="Times New Roman" w:hAnsi="Times New Roman" w:cs="Times New Roman"/>
                <w:sz w:val="20"/>
                <w:szCs w:val="20"/>
              </w:rPr>
              <w:t>ais</w:t>
            </w:r>
            <w:r w:rsidRPr="0027325B">
              <w:rPr>
                <w:rFonts w:ascii="Times New Roman" w:hAnsi="Times New Roman" w:cs="Times New Roman"/>
                <w:sz w:val="20"/>
                <w:szCs w:val="20"/>
              </w:rPr>
              <w:t xml:space="preserve"> exige</w:t>
            </w:r>
            <w:r>
              <w:rPr>
                <w:rFonts w:ascii="Times New Roman" w:hAnsi="Times New Roman" w:cs="Times New Roman"/>
                <w:sz w:val="20"/>
                <w:szCs w:val="20"/>
              </w:rPr>
              <w:t>m</w:t>
            </w:r>
            <w:r w:rsidRPr="0027325B">
              <w:rPr>
                <w:rFonts w:ascii="Times New Roman" w:hAnsi="Times New Roman" w:cs="Times New Roman"/>
                <w:sz w:val="20"/>
                <w:szCs w:val="20"/>
              </w:rPr>
              <w:t xml:space="preserve"> cuidado específico quanto ao reaproveitamento, armazenamento e destinação final.</w:t>
            </w:r>
          </w:p>
          <w:p w14:paraId="760DF9BE" w14:textId="4B49F848" w:rsidR="0027325B" w:rsidRPr="0027325B" w:rsidRDefault="0027325B" w:rsidP="0027325B">
            <w:pPr>
              <w:spacing w:after="0" w:line="276" w:lineRule="auto"/>
              <w:ind w:firstLine="596"/>
              <w:rPr>
                <w:rFonts w:ascii="Times New Roman" w:hAnsi="Times New Roman" w:cs="Times New Roman"/>
                <w:sz w:val="20"/>
                <w:szCs w:val="20"/>
              </w:rPr>
            </w:pPr>
            <w:r w:rsidRPr="0027325B">
              <w:rPr>
                <w:rFonts w:ascii="Times New Roman" w:hAnsi="Times New Roman" w:cs="Times New Roman"/>
                <w:sz w:val="20"/>
                <w:szCs w:val="20"/>
              </w:rPr>
              <w:t xml:space="preserve">A principal medida de mitigação deverá ocorrer já na definição das especificações. Os equipamentos serão dimensionados de acordo com a necessidade efetiva da Administração, evitando-se tanto a aquisição de produtos com desempenho insuficiente e sujeitos à substituição precoce quanto a imposição de configurações excessivamente superiores à utilização pretendida. Deverão ser considerados, quando aplicáveis, requisitos relacionados à eficiência energética, menor consumo de energia, durabilidade, possibilidade de manutenção, disponibilidade de componentes de reposição e vida útil compatível com o uso institucional. </w:t>
            </w:r>
          </w:p>
          <w:p w14:paraId="1132DC79" w14:textId="77777777" w:rsidR="0027325B" w:rsidRPr="0027325B" w:rsidRDefault="0027325B" w:rsidP="0027325B">
            <w:pPr>
              <w:spacing w:after="0" w:line="276" w:lineRule="auto"/>
              <w:ind w:firstLine="596"/>
              <w:rPr>
                <w:rFonts w:ascii="Times New Roman" w:hAnsi="Times New Roman" w:cs="Times New Roman"/>
                <w:sz w:val="20"/>
                <w:szCs w:val="20"/>
              </w:rPr>
            </w:pPr>
            <w:r w:rsidRPr="0027325B">
              <w:rPr>
                <w:rFonts w:ascii="Times New Roman" w:hAnsi="Times New Roman" w:cs="Times New Roman"/>
                <w:sz w:val="20"/>
                <w:szCs w:val="20"/>
              </w:rPr>
              <w:t>A estratégia definida neste ETP de combinar a manutenção e atualização do parque existente com a aquisição seletiva de novos equipamentos também constitui medida ambiental relevante. A substituição de memória, armazenamento, fonte, monitor, periférico ou outro componente poderá prolongar a utilização de equipamento ainda tecnicamente adequado, evitando sua retirada prematura de serviço. A aquisição de equipamento completo deverá ser priorizada quando a manutenção ou atualização não se mostrar tecnicamente adequada, economicamente vantajosa ou suficiente para as necessidades do setor. Dessa forma, além da economia financeira, busca-se reduzir a geração prematura de resíduos e aproveitar integralmente a vida útil dos bens já incorporados ao patrimônio municipal.</w:t>
            </w:r>
          </w:p>
          <w:p w14:paraId="6740B78A" w14:textId="77777777" w:rsidR="0027325B" w:rsidRPr="0027325B" w:rsidRDefault="0027325B" w:rsidP="0027325B">
            <w:pPr>
              <w:spacing w:after="0" w:line="276" w:lineRule="auto"/>
              <w:ind w:firstLine="596"/>
              <w:rPr>
                <w:rFonts w:ascii="Times New Roman" w:hAnsi="Times New Roman" w:cs="Times New Roman"/>
                <w:sz w:val="20"/>
                <w:szCs w:val="20"/>
              </w:rPr>
            </w:pPr>
            <w:r w:rsidRPr="0027325B">
              <w:rPr>
                <w:rFonts w:ascii="Times New Roman" w:hAnsi="Times New Roman" w:cs="Times New Roman"/>
                <w:sz w:val="20"/>
                <w:szCs w:val="20"/>
              </w:rPr>
              <w:t>Quanto ao consumo de energia, deverão ser selecionados, sempre que compatível com a natureza do item e com as condições de mercado, equipamentos dotados de tecnologias de eficiência energética e gerenciamento de consumo, especialmente computadores, notebooks, monitores, projetores, televisores, nobreaks e equipamentos de rede que permaneçam ligados por períodos prolongados. O consumo energético deverá ser considerado juntamente com desempenho, qualidade e custo, evitando-se exigências ambientais que não apresentem relação objetiva com o produto ou que restrinjam injustificadamente a competição.</w:t>
            </w:r>
          </w:p>
          <w:p w14:paraId="38CE2211" w14:textId="77777777" w:rsidR="0027325B" w:rsidRPr="0027325B" w:rsidRDefault="0027325B" w:rsidP="0027325B">
            <w:pPr>
              <w:spacing w:after="0" w:line="276" w:lineRule="auto"/>
              <w:ind w:firstLine="596"/>
              <w:rPr>
                <w:rFonts w:ascii="Times New Roman" w:hAnsi="Times New Roman" w:cs="Times New Roman"/>
                <w:sz w:val="20"/>
                <w:szCs w:val="20"/>
              </w:rPr>
            </w:pPr>
            <w:r w:rsidRPr="0027325B">
              <w:rPr>
                <w:rFonts w:ascii="Times New Roman" w:hAnsi="Times New Roman" w:cs="Times New Roman"/>
                <w:sz w:val="20"/>
                <w:szCs w:val="20"/>
              </w:rPr>
              <w:t xml:space="preserve">Outro impacto relevante decorre do descarte de equipamentos e componentes ao final de sua vida útil. Computadores, monitores, placas, fontes, cabos, periféricos, dispositivos de armazenamento e demais componentes eletroeletrônicos </w:t>
            </w:r>
            <w:r w:rsidRPr="0027325B">
              <w:rPr>
                <w:rFonts w:ascii="Times New Roman" w:hAnsi="Times New Roman" w:cs="Times New Roman"/>
                <w:b/>
                <w:bCs/>
                <w:sz w:val="20"/>
                <w:szCs w:val="20"/>
              </w:rPr>
              <w:t>não deverão ser descartados juntamente com os resíduos comuns</w:t>
            </w:r>
            <w:r w:rsidRPr="0027325B">
              <w:rPr>
                <w:rFonts w:ascii="Times New Roman" w:hAnsi="Times New Roman" w:cs="Times New Roman"/>
                <w:sz w:val="20"/>
                <w:szCs w:val="20"/>
              </w:rPr>
              <w:t xml:space="preserve">, devendo os bens inservíveis ser previamente submetidos aos procedimentos patrimoniais de desfazimento e, posteriormente, destinados a reutilização, reaproveitamento, reciclagem ou outra forma ambientalmente adequada, conforme a natureza do material e a legislação aplicável. A Política Nacional de Resíduos Sólidos estabelece a responsabilidade compartilhada pelo ciclo de vida dos produtos e prevê sistemas de logística reversa para produtos eletroeletrônicos e seus componentes. </w:t>
            </w:r>
          </w:p>
          <w:p w14:paraId="60B36000" w14:textId="77777777" w:rsidR="0027325B" w:rsidRPr="0027325B" w:rsidRDefault="0027325B" w:rsidP="0027325B">
            <w:pPr>
              <w:spacing w:after="0" w:line="276" w:lineRule="auto"/>
              <w:ind w:firstLine="596"/>
              <w:rPr>
                <w:rFonts w:ascii="Times New Roman" w:hAnsi="Times New Roman" w:cs="Times New Roman"/>
                <w:sz w:val="20"/>
                <w:szCs w:val="20"/>
              </w:rPr>
            </w:pPr>
            <w:r w:rsidRPr="0027325B">
              <w:rPr>
                <w:rFonts w:ascii="Times New Roman" w:hAnsi="Times New Roman" w:cs="Times New Roman"/>
                <w:sz w:val="20"/>
                <w:szCs w:val="20"/>
              </w:rPr>
              <w:t xml:space="preserve">Especial atenção deverá ser conferida às pilhas e baterias presentes ou utilizadas em notebooks, nobreaks, smartphones, tablets e outros dispositivos. Esses componentes não deverão ser destinados ao lixo comum quando sujeitos a gerenciamento ambiental específico, devendo ser segregados e encaminhados aos sistemas de coleta ou destinação ambientalmente adequada correspondentes. A Resolução CONAMA nº 401/2008 estabelece limites para chumbo, cádmio e mercúrio em pilhas e baterias comercializadas no País e disciplina critérios para seu gerenciamento ambientalmente adequado. </w:t>
            </w:r>
          </w:p>
          <w:p w14:paraId="5C76D69C" w14:textId="77777777" w:rsidR="0027325B" w:rsidRPr="0027325B" w:rsidRDefault="0027325B" w:rsidP="0027325B">
            <w:pPr>
              <w:spacing w:after="0" w:line="276" w:lineRule="auto"/>
              <w:ind w:firstLine="596"/>
              <w:rPr>
                <w:rFonts w:ascii="Times New Roman" w:hAnsi="Times New Roman" w:cs="Times New Roman"/>
                <w:sz w:val="20"/>
                <w:szCs w:val="20"/>
              </w:rPr>
            </w:pPr>
            <w:r w:rsidRPr="0027325B">
              <w:rPr>
                <w:rFonts w:ascii="Times New Roman" w:hAnsi="Times New Roman" w:cs="Times New Roman"/>
                <w:sz w:val="20"/>
                <w:szCs w:val="20"/>
              </w:rPr>
              <w:t>Os equipamentos destinados ao desfazimento deverão permanecer armazenados temporariamente em condições que preservem sua integridade e evitem dispersão de componentes, quebra de telas, vazamento de baterias ou mistura indevida com resíduos comuns. Nos equipamentos que possuam dispositivos de armazenamento de dados, o procedimento de desfazimento deverá ser precedido das medidas de eliminação segura das informações institucionais, conciliando a destinação ambientalmente adequada do bem com as exigências de segurança da informação.</w:t>
            </w:r>
          </w:p>
          <w:p w14:paraId="56140D1D" w14:textId="77777777" w:rsidR="0027325B" w:rsidRPr="0027325B" w:rsidRDefault="0027325B" w:rsidP="0027325B">
            <w:pPr>
              <w:spacing w:after="0" w:line="276" w:lineRule="auto"/>
              <w:ind w:firstLine="596"/>
              <w:rPr>
                <w:rFonts w:ascii="Times New Roman" w:hAnsi="Times New Roman" w:cs="Times New Roman"/>
                <w:sz w:val="20"/>
                <w:szCs w:val="20"/>
              </w:rPr>
            </w:pPr>
            <w:r w:rsidRPr="0027325B">
              <w:rPr>
                <w:rFonts w:ascii="Times New Roman" w:hAnsi="Times New Roman" w:cs="Times New Roman"/>
                <w:sz w:val="20"/>
                <w:szCs w:val="20"/>
              </w:rPr>
              <w:t>As embalagens utilizadas no fornecimento também deverão ser objeto de racionalização. Sempre que possível e sem comprometer a proteção dos produtos durante transporte e armazenamento, deverão ser privilegiadas embalagens adequadas ao tamanho do equipamento, constituídas por materiais recicláveis ou passíveis de reaproveitamento, evitando excesso injustificado de materiais de acondicionamento. As embalagens geradas no recebimento deverão ser encaminhadas aos fluxos de coleta seletiva, reciclagem ou destinação disponíveis no Município, conforme a natureza dos materiais.</w:t>
            </w:r>
          </w:p>
          <w:p w14:paraId="061FD28D" w14:textId="37671DB1" w:rsidR="00B62DC3" w:rsidRPr="00115AD4" w:rsidRDefault="0027325B" w:rsidP="000C5622">
            <w:pPr>
              <w:spacing w:after="0" w:line="276" w:lineRule="auto"/>
              <w:ind w:firstLine="596"/>
              <w:rPr>
                <w:rFonts w:ascii="Times New Roman" w:hAnsi="Times New Roman" w:cs="Times New Roman"/>
                <w:sz w:val="20"/>
                <w:szCs w:val="20"/>
              </w:rPr>
            </w:pPr>
            <w:r w:rsidRPr="0027325B">
              <w:rPr>
                <w:rFonts w:ascii="Times New Roman" w:hAnsi="Times New Roman" w:cs="Times New Roman"/>
                <w:sz w:val="20"/>
                <w:szCs w:val="20"/>
              </w:rPr>
              <w:t xml:space="preserve">Dessa forma, as medidas ambientais da contratação estarão concentradas em três eixos: </w:t>
            </w:r>
            <w:r w:rsidRPr="0027325B">
              <w:rPr>
                <w:rFonts w:ascii="Times New Roman" w:hAnsi="Times New Roman" w:cs="Times New Roman"/>
                <w:b/>
                <w:bCs/>
                <w:sz w:val="20"/>
                <w:szCs w:val="20"/>
              </w:rPr>
              <w:t>aquisição de equipamentos eficientes e com vida útil adequada; prolongamento da utilização dos bens existentes mediante manutenção e atualização quando viáveis; e gestão ambientalmente adequada dos equipamentos, componentes, baterias e embalagens ao final de sua utilização</w:t>
            </w:r>
            <w:r w:rsidRPr="0027325B">
              <w:rPr>
                <w:rFonts w:ascii="Times New Roman" w:hAnsi="Times New Roman" w:cs="Times New Roman"/>
                <w:sz w:val="20"/>
                <w:szCs w:val="20"/>
              </w:rPr>
              <w:t>. A adoção dessas medidas permite reduzir consumo de energia, descarte prematuro e geração de resíduos eletroeletrônicos, conciliando a modernização da infraestrutura tecnológica com o uso racional dos recursos públicos e a responsabilidade ambiental.</w:t>
            </w:r>
          </w:p>
        </w:tc>
      </w:tr>
    </w:tbl>
    <w:p w14:paraId="74D04324" w14:textId="77777777" w:rsidR="008F76F3" w:rsidRPr="00A00198" w:rsidRDefault="008F76F3" w:rsidP="000C5622">
      <w:pPr>
        <w:spacing w:after="0" w:line="276" w:lineRule="auto"/>
        <w:rPr>
          <w:rFonts w:ascii="Times New Roman" w:eastAsia="Times New Roman" w:hAnsi="Times New Roman" w:cs="Times New Roman"/>
          <w:color w:val="000000"/>
          <w:sz w:val="20"/>
          <w:szCs w:val="20"/>
          <w:lang w:eastAsia="pt-BR"/>
        </w:rPr>
      </w:pPr>
    </w:p>
    <w:tbl>
      <w:tblPr>
        <w:tblStyle w:val="Tabelacomgrade"/>
        <w:tblW w:w="9209" w:type="dxa"/>
        <w:tblLook w:val="04A0" w:firstRow="1" w:lastRow="0" w:firstColumn="1" w:lastColumn="0" w:noHBand="0" w:noVBand="1"/>
      </w:tblPr>
      <w:tblGrid>
        <w:gridCol w:w="9209"/>
      </w:tblGrid>
      <w:tr w:rsidR="008F76F3" w:rsidRPr="00A00198" w14:paraId="1DAC76C7" w14:textId="77777777" w:rsidTr="000F458C">
        <w:tc>
          <w:tcPr>
            <w:tcW w:w="9209" w:type="dxa"/>
          </w:tcPr>
          <w:p w14:paraId="74ACA114" w14:textId="630CFBDB" w:rsidR="008F76F3" w:rsidRPr="00A00198" w:rsidRDefault="008F76F3" w:rsidP="000C5622">
            <w:pPr>
              <w:spacing w:after="0" w:line="276" w:lineRule="auto"/>
              <w:ind w:firstLine="0"/>
              <w:rPr>
                <w:rFonts w:ascii="Times New Roman" w:hAnsi="Times New Roman" w:cs="Times New Roman"/>
                <w:b/>
                <w:sz w:val="20"/>
                <w:szCs w:val="20"/>
              </w:rPr>
            </w:pPr>
            <w:r w:rsidRPr="00A00198">
              <w:rPr>
                <w:rFonts w:ascii="Times New Roman" w:eastAsia="Times New Roman" w:hAnsi="Times New Roman" w:cs="Times New Roman"/>
                <w:b/>
                <w:bCs/>
                <w:color w:val="000000"/>
                <w:sz w:val="20"/>
                <w:szCs w:val="20"/>
                <w:lang w:eastAsia="pt-BR"/>
              </w:rPr>
              <w:t>13 – VIABILIDADE DA CONTRATAÇÃO</w:t>
            </w:r>
            <w:r w:rsidR="00FC4923">
              <w:rPr>
                <w:rFonts w:ascii="Times New Roman" w:eastAsia="Times New Roman" w:hAnsi="Times New Roman" w:cs="Times New Roman"/>
                <w:b/>
                <w:bCs/>
                <w:color w:val="000000"/>
                <w:sz w:val="20"/>
                <w:szCs w:val="20"/>
                <w:lang w:eastAsia="pt-BR"/>
              </w:rPr>
              <w:t>:</w:t>
            </w:r>
          </w:p>
        </w:tc>
      </w:tr>
      <w:tr w:rsidR="008F76F3" w:rsidRPr="00A00198" w14:paraId="72CA4F45" w14:textId="77777777" w:rsidTr="000F458C">
        <w:tc>
          <w:tcPr>
            <w:tcW w:w="9209" w:type="dxa"/>
            <w:shd w:val="clear" w:color="auto" w:fill="F2F2F2" w:themeFill="background1" w:themeFillShade="F2"/>
          </w:tcPr>
          <w:p w14:paraId="7C55632A" w14:textId="77777777" w:rsidR="008F76F3" w:rsidRPr="00A00198" w:rsidRDefault="008F76F3" w:rsidP="000C5622">
            <w:pPr>
              <w:spacing w:after="0" w:line="276" w:lineRule="auto"/>
              <w:ind w:firstLine="0"/>
              <w:rPr>
                <w:rFonts w:ascii="Times New Roman" w:eastAsia="Times New Roman" w:hAnsi="Times New Roman" w:cs="Times New Roman"/>
                <w:color w:val="000000"/>
                <w:sz w:val="20"/>
                <w:szCs w:val="20"/>
                <w:lang w:eastAsia="pt-BR"/>
              </w:rPr>
            </w:pPr>
            <w:r w:rsidRPr="00A00198">
              <w:rPr>
                <w:rFonts w:ascii="Times New Roman" w:eastAsia="Times New Roman" w:hAnsi="Times New Roman" w:cs="Times New Roman"/>
                <w:bCs/>
                <w:color w:val="000000"/>
                <w:sz w:val="20"/>
                <w:szCs w:val="20"/>
                <w:lang w:eastAsia="pt-BR"/>
              </w:rPr>
              <w:t xml:space="preserve">Fundamentação: </w:t>
            </w:r>
            <w:r w:rsidRPr="00A00198">
              <w:rPr>
                <w:rFonts w:ascii="Times New Roman" w:hAnsi="Times New Roman" w:cs="Times New Roman"/>
                <w:sz w:val="20"/>
                <w:szCs w:val="20"/>
              </w:rPr>
              <w:t>Posicionamento conclusivo sobre a adequação da contratação para o atendimento da necessidade a que se destina</w:t>
            </w:r>
            <w:r w:rsidRPr="00A00198">
              <w:rPr>
                <w:rFonts w:ascii="Times New Roman" w:eastAsia="Times New Roman" w:hAnsi="Times New Roman" w:cs="Times New Roman"/>
                <w:color w:val="000000"/>
                <w:sz w:val="20"/>
                <w:szCs w:val="20"/>
                <w:lang w:eastAsia="pt-BR"/>
              </w:rPr>
              <w:t xml:space="preserve"> (inciso XIII do § 1° do art. 18 da Lei 14.133/21); </w:t>
            </w:r>
          </w:p>
        </w:tc>
      </w:tr>
      <w:tr w:rsidR="008F76F3" w:rsidRPr="00A00198" w14:paraId="56CC54A4" w14:textId="77777777" w:rsidTr="000F458C">
        <w:tc>
          <w:tcPr>
            <w:tcW w:w="9209" w:type="dxa"/>
          </w:tcPr>
          <w:p w14:paraId="4D7475FB" w14:textId="77777777" w:rsidR="0027325B" w:rsidRPr="0027325B" w:rsidRDefault="0027325B" w:rsidP="0027325B">
            <w:pPr>
              <w:spacing w:after="0" w:line="276" w:lineRule="auto"/>
              <w:ind w:firstLine="594"/>
              <w:rPr>
                <w:rFonts w:ascii="Times New Roman" w:hAnsi="Times New Roman" w:cs="Times New Roman"/>
                <w:sz w:val="20"/>
                <w:szCs w:val="20"/>
              </w:rPr>
            </w:pPr>
            <w:r w:rsidRPr="0027325B">
              <w:rPr>
                <w:rFonts w:ascii="Times New Roman" w:hAnsi="Times New Roman" w:cs="Times New Roman"/>
                <w:sz w:val="20"/>
                <w:szCs w:val="20"/>
              </w:rPr>
              <w:t xml:space="preserve">Com base nas análises desenvolvidas neste Estudo Técnico Preliminar, conclui-se que a contratação é </w:t>
            </w:r>
            <w:r w:rsidRPr="0027325B">
              <w:rPr>
                <w:rFonts w:ascii="Times New Roman" w:hAnsi="Times New Roman" w:cs="Times New Roman"/>
                <w:b/>
                <w:bCs/>
                <w:sz w:val="20"/>
                <w:szCs w:val="20"/>
              </w:rPr>
              <w:t>técnica, operacional e economicamente viável</w:t>
            </w:r>
            <w:r w:rsidRPr="0027325B">
              <w:rPr>
                <w:rFonts w:ascii="Times New Roman" w:hAnsi="Times New Roman" w:cs="Times New Roman"/>
                <w:sz w:val="20"/>
                <w:szCs w:val="20"/>
              </w:rPr>
              <w:t>, mostrando-se adequada para atender às necessidades de manutenção, reposição, atualização e ampliação da infraestrutura de informática das Secretarias Municipais de Paverama.</w:t>
            </w:r>
          </w:p>
          <w:p w14:paraId="07DF0E48" w14:textId="77777777" w:rsidR="0027325B" w:rsidRPr="0027325B" w:rsidRDefault="0027325B" w:rsidP="0027325B">
            <w:pPr>
              <w:spacing w:after="0" w:line="276" w:lineRule="auto"/>
              <w:ind w:firstLine="594"/>
              <w:rPr>
                <w:rFonts w:ascii="Times New Roman" w:hAnsi="Times New Roman" w:cs="Times New Roman"/>
                <w:sz w:val="20"/>
                <w:szCs w:val="20"/>
              </w:rPr>
            </w:pPr>
            <w:r w:rsidRPr="0027325B">
              <w:rPr>
                <w:rFonts w:ascii="Times New Roman" w:hAnsi="Times New Roman" w:cs="Times New Roman"/>
                <w:sz w:val="20"/>
                <w:szCs w:val="20"/>
              </w:rPr>
              <w:t>A solução definida permite conciliar o aproveitamento dos equipamentos ainda tecnicamente utilizáveis com a aquisição de novos materiais, componentes, periféricos e equipamentos quando necessária a substituição, modernização ou ampliação do parque tecnológico. Esse modelo evita substituições prematuras, favorece o prolongamento da vida útil dos bens existentes e possibilita direcionar os recursos públicos às necessidades efetivamente identificadas.</w:t>
            </w:r>
          </w:p>
          <w:p w14:paraId="13338972" w14:textId="77777777" w:rsidR="0027325B" w:rsidRPr="0027325B" w:rsidRDefault="0027325B" w:rsidP="0027325B">
            <w:pPr>
              <w:spacing w:after="0" w:line="276" w:lineRule="auto"/>
              <w:ind w:firstLine="594"/>
              <w:rPr>
                <w:rFonts w:ascii="Times New Roman" w:hAnsi="Times New Roman" w:cs="Times New Roman"/>
                <w:sz w:val="20"/>
                <w:szCs w:val="20"/>
              </w:rPr>
            </w:pPr>
            <w:r w:rsidRPr="0027325B">
              <w:rPr>
                <w:rFonts w:ascii="Times New Roman" w:hAnsi="Times New Roman" w:cs="Times New Roman"/>
                <w:sz w:val="20"/>
                <w:szCs w:val="20"/>
              </w:rPr>
              <w:t xml:space="preserve">A adoção do </w:t>
            </w:r>
            <w:r w:rsidRPr="0027325B">
              <w:rPr>
                <w:rFonts w:ascii="Times New Roman" w:hAnsi="Times New Roman" w:cs="Times New Roman"/>
                <w:b/>
                <w:bCs/>
                <w:sz w:val="20"/>
                <w:szCs w:val="20"/>
              </w:rPr>
              <w:t>Pregão Eletrônico, mediante Sistema de Registro de Preços e adjudicação por item</w:t>
            </w:r>
            <w:r w:rsidRPr="0027325B">
              <w:rPr>
                <w:rFonts w:ascii="Times New Roman" w:hAnsi="Times New Roman" w:cs="Times New Roman"/>
                <w:sz w:val="20"/>
                <w:szCs w:val="20"/>
              </w:rPr>
              <w:t>, mostra-se compatível com a natureza comum dos bens e com o caráter futuro, variável e parcelado da demanda. O modelo amplia a competitividade, permite a participação de fornecedores especializados, evita a formação excessiva de estoques e possibilita que as aquisições ocorram conforme a necessidade concreta das Secretarias, sem obrigação de utilização integral dos quantitativos registrados.</w:t>
            </w:r>
          </w:p>
          <w:p w14:paraId="3B2C911D" w14:textId="77777777" w:rsidR="0027325B" w:rsidRPr="0027325B" w:rsidRDefault="0027325B" w:rsidP="0027325B">
            <w:pPr>
              <w:spacing w:after="0" w:line="276" w:lineRule="auto"/>
              <w:ind w:firstLine="594"/>
              <w:rPr>
                <w:rFonts w:ascii="Times New Roman" w:hAnsi="Times New Roman" w:cs="Times New Roman"/>
                <w:sz w:val="20"/>
                <w:szCs w:val="20"/>
              </w:rPr>
            </w:pPr>
            <w:r w:rsidRPr="0027325B">
              <w:rPr>
                <w:rFonts w:ascii="Times New Roman" w:hAnsi="Times New Roman" w:cs="Times New Roman"/>
                <w:sz w:val="20"/>
                <w:szCs w:val="20"/>
              </w:rPr>
              <w:t>A viabilidade da solução também é reforçada pela definição de requisitos técnicos de qualidade, compatibilidade, garantia, assistência técnica e verificação de conformidade dos produtos, reduzindo o risco de aquisição de equipamentos inadequados, de baixa durabilidade ou sem suporte suficiente. As medidas ambientais previstas, especialmente o aproveitamento dos equipamentos existentes, a eficiência energética e a destinação adequada dos resíduos eletroeletrônicos, complementam a solução sob a perspectiva do ciclo de vida dos bens.</w:t>
            </w:r>
          </w:p>
          <w:p w14:paraId="37C7CFF1" w14:textId="77777777" w:rsidR="0027325B" w:rsidRPr="0027325B" w:rsidRDefault="0027325B" w:rsidP="0027325B">
            <w:pPr>
              <w:spacing w:after="0" w:line="276" w:lineRule="auto"/>
              <w:ind w:firstLine="594"/>
              <w:rPr>
                <w:rFonts w:ascii="Times New Roman" w:hAnsi="Times New Roman" w:cs="Times New Roman"/>
                <w:sz w:val="20"/>
                <w:szCs w:val="20"/>
              </w:rPr>
            </w:pPr>
            <w:r w:rsidRPr="0027325B">
              <w:rPr>
                <w:rFonts w:ascii="Times New Roman" w:hAnsi="Times New Roman" w:cs="Times New Roman"/>
                <w:sz w:val="20"/>
                <w:szCs w:val="20"/>
              </w:rPr>
              <w:t>Não foram identificados impedimentos técnicos, operacionais ou administrativos que inviabilizem a contratação, nem dependência de outras contratações indispensáveis à sua execução. Os requisitos estabelecidos mostram-se proporcionais à natureza do objeto e compatíveis com as condições usuais do mercado.</w:t>
            </w:r>
          </w:p>
          <w:p w14:paraId="56500493" w14:textId="503E6410" w:rsidR="00BD7104" w:rsidRPr="00A00198" w:rsidRDefault="0027325B" w:rsidP="000C5622">
            <w:pPr>
              <w:spacing w:after="0" w:line="276" w:lineRule="auto"/>
              <w:ind w:firstLine="594"/>
              <w:rPr>
                <w:rFonts w:ascii="Times New Roman" w:hAnsi="Times New Roman" w:cs="Times New Roman"/>
                <w:sz w:val="20"/>
                <w:szCs w:val="20"/>
              </w:rPr>
            </w:pPr>
            <w:r w:rsidRPr="0027325B">
              <w:rPr>
                <w:rFonts w:ascii="Times New Roman" w:hAnsi="Times New Roman" w:cs="Times New Roman"/>
                <w:sz w:val="20"/>
                <w:szCs w:val="20"/>
              </w:rPr>
              <w:t xml:space="preserve">Diante disso, </w:t>
            </w:r>
            <w:r w:rsidRPr="0027325B">
              <w:rPr>
                <w:rFonts w:ascii="Times New Roman" w:hAnsi="Times New Roman" w:cs="Times New Roman"/>
                <w:b/>
                <w:bCs/>
                <w:sz w:val="20"/>
                <w:szCs w:val="20"/>
              </w:rPr>
              <w:t>declara-se viável e recomendável o prosseguimento da contratação</w:t>
            </w:r>
            <w:r w:rsidRPr="0027325B">
              <w:rPr>
                <w:rFonts w:ascii="Times New Roman" w:hAnsi="Times New Roman" w:cs="Times New Roman"/>
                <w:sz w:val="20"/>
                <w:szCs w:val="20"/>
              </w:rPr>
              <w:t>, mediante Pregão Eletrônico para Sistema de Registro de Preços, por se tratar da solução que apresenta melhor adequação à necessidade identificada, permitindo atendimento planejado, parcelado e eficiente das demandas de tecnologia da informação do Município de Paverama.</w:t>
            </w:r>
          </w:p>
        </w:tc>
      </w:tr>
    </w:tbl>
    <w:p w14:paraId="012F751C" w14:textId="77777777" w:rsidR="00EB1CDF" w:rsidRDefault="00EB1CDF" w:rsidP="00EB1CDF">
      <w:pPr>
        <w:spacing w:after="0" w:line="276" w:lineRule="auto"/>
        <w:rPr>
          <w:rFonts w:ascii="Times New Roman" w:hAnsi="Times New Roman" w:cs="Times New Roman"/>
          <w:b/>
          <w:sz w:val="20"/>
          <w:szCs w:val="20"/>
        </w:rPr>
      </w:pPr>
    </w:p>
    <w:p w14:paraId="1E204C84" w14:textId="4C62B10F" w:rsidR="00EB1CDF" w:rsidRDefault="00EB1CDF" w:rsidP="00EB1CDF">
      <w:pPr>
        <w:spacing w:after="0" w:line="276" w:lineRule="auto"/>
        <w:rPr>
          <w:rFonts w:ascii="Times New Roman" w:hAnsi="Times New Roman" w:cs="Times New Roman"/>
          <w:b/>
          <w:sz w:val="20"/>
          <w:szCs w:val="20"/>
        </w:rPr>
      </w:pPr>
      <w:r w:rsidRPr="000C5622">
        <w:rPr>
          <w:rFonts w:ascii="Times New Roman" w:hAnsi="Times New Roman" w:cs="Times New Roman"/>
          <w:b/>
          <w:sz w:val="20"/>
          <w:szCs w:val="20"/>
        </w:rPr>
        <w:t xml:space="preserve">Servidor(es) responsável pela elaboração: </w:t>
      </w:r>
    </w:p>
    <w:p w14:paraId="3CB68188" w14:textId="58241F5F" w:rsidR="000F458C" w:rsidRDefault="00EB1CDF" w:rsidP="00EB1CDF">
      <w:pPr>
        <w:spacing w:after="0" w:line="276" w:lineRule="auto"/>
        <w:jc w:val="center"/>
        <w:rPr>
          <w:rFonts w:ascii="Times New Roman" w:hAnsi="Times New Roman" w:cs="Times New Roman"/>
          <w:sz w:val="20"/>
          <w:szCs w:val="20"/>
        </w:rPr>
      </w:pPr>
      <w:r w:rsidRPr="000C5622">
        <w:rPr>
          <w:rFonts w:ascii="Times New Roman" w:hAnsi="Times New Roman" w:cs="Times New Roman"/>
          <w:bCs/>
          <w:sz w:val="20"/>
          <w:szCs w:val="20"/>
        </w:rPr>
        <w:t>- Frederico da Silva Pacheco, Assessor do Departamento de Administração, Fazenda e Planejamento.</w:t>
      </w:r>
    </w:p>
    <w:p w14:paraId="331034A4" w14:textId="77777777" w:rsidR="000F458C" w:rsidRDefault="000F458C" w:rsidP="000C5622">
      <w:pPr>
        <w:spacing w:after="0" w:line="276" w:lineRule="auto"/>
        <w:jc w:val="center"/>
        <w:rPr>
          <w:rFonts w:ascii="Times New Roman" w:hAnsi="Times New Roman" w:cs="Times New Roman"/>
          <w:sz w:val="20"/>
          <w:szCs w:val="20"/>
        </w:rPr>
      </w:pPr>
    </w:p>
    <w:p w14:paraId="3440F16E" w14:textId="7FC21F3B" w:rsidR="008F76F3" w:rsidRDefault="00117BBF" w:rsidP="000C5622">
      <w:pPr>
        <w:spacing w:after="0" w:line="276" w:lineRule="auto"/>
        <w:jc w:val="center"/>
        <w:rPr>
          <w:rFonts w:ascii="Times New Roman" w:hAnsi="Times New Roman" w:cs="Times New Roman"/>
          <w:sz w:val="20"/>
          <w:szCs w:val="20"/>
        </w:rPr>
      </w:pPr>
      <w:r w:rsidRPr="00A00198">
        <w:rPr>
          <w:rFonts w:ascii="Times New Roman" w:hAnsi="Times New Roman" w:cs="Times New Roman"/>
          <w:sz w:val="20"/>
          <w:szCs w:val="20"/>
        </w:rPr>
        <w:t>Paverama/RS</w:t>
      </w:r>
      <w:r w:rsidR="008F76F3" w:rsidRPr="00A00198">
        <w:rPr>
          <w:rFonts w:ascii="Times New Roman" w:hAnsi="Times New Roman" w:cs="Times New Roman"/>
          <w:sz w:val="20"/>
          <w:szCs w:val="20"/>
        </w:rPr>
        <w:t xml:space="preserve">, </w:t>
      </w:r>
      <w:r w:rsidR="00EB1CDF">
        <w:rPr>
          <w:rFonts w:ascii="Times New Roman" w:hAnsi="Times New Roman" w:cs="Times New Roman"/>
          <w:sz w:val="20"/>
          <w:szCs w:val="20"/>
        </w:rPr>
        <w:t>10 de agosto</w:t>
      </w:r>
      <w:r w:rsidR="00A92FB1">
        <w:rPr>
          <w:rFonts w:ascii="Times New Roman" w:hAnsi="Times New Roman" w:cs="Times New Roman"/>
          <w:sz w:val="20"/>
          <w:szCs w:val="20"/>
        </w:rPr>
        <w:t xml:space="preserve"> </w:t>
      </w:r>
      <w:r w:rsidR="008F76F3" w:rsidRPr="00A00198">
        <w:rPr>
          <w:rFonts w:ascii="Times New Roman" w:hAnsi="Times New Roman" w:cs="Times New Roman"/>
          <w:sz w:val="20"/>
          <w:szCs w:val="20"/>
        </w:rPr>
        <w:t>de 202</w:t>
      </w:r>
      <w:r w:rsidR="00E15B29">
        <w:rPr>
          <w:rFonts w:ascii="Times New Roman" w:hAnsi="Times New Roman" w:cs="Times New Roman"/>
          <w:sz w:val="20"/>
          <w:szCs w:val="20"/>
        </w:rPr>
        <w:t>6</w:t>
      </w:r>
      <w:r w:rsidR="008F76F3" w:rsidRPr="00A00198">
        <w:rPr>
          <w:rFonts w:ascii="Times New Roman" w:hAnsi="Times New Roman" w:cs="Times New Roman"/>
          <w:sz w:val="20"/>
          <w:szCs w:val="20"/>
        </w:rPr>
        <w:t>.</w:t>
      </w:r>
    </w:p>
    <w:p w14:paraId="3B8F28D2" w14:textId="1F77EAB3" w:rsidR="000F458C" w:rsidRDefault="000F458C" w:rsidP="000C5622">
      <w:pPr>
        <w:spacing w:after="0" w:line="276" w:lineRule="auto"/>
        <w:jc w:val="center"/>
        <w:rPr>
          <w:rFonts w:ascii="Times New Roman" w:hAnsi="Times New Roman" w:cs="Times New Roman"/>
          <w:sz w:val="20"/>
          <w:szCs w:val="20"/>
        </w:rPr>
      </w:pPr>
    </w:p>
    <w:p w14:paraId="51008C6A" w14:textId="77777777" w:rsidR="00624E30" w:rsidRDefault="00624E30" w:rsidP="000C5622">
      <w:pPr>
        <w:spacing w:after="0" w:line="276" w:lineRule="auto"/>
        <w:jc w:val="center"/>
        <w:rPr>
          <w:rFonts w:ascii="Times New Roman" w:hAnsi="Times New Roman" w:cs="Times New Roman"/>
          <w:sz w:val="20"/>
          <w:szCs w:val="20"/>
        </w:rPr>
      </w:pPr>
    </w:p>
    <w:p w14:paraId="5DB00726" w14:textId="77777777" w:rsidR="00EB1CDF" w:rsidRDefault="00EB1CDF" w:rsidP="000C5622">
      <w:pPr>
        <w:spacing w:after="0" w:line="276" w:lineRule="auto"/>
        <w:jc w:val="center"/>
        <w:rPr>
          <w:rFonts w:ascii="Times New Roman" w:hAnsi="Times New Roman" w:cs="Times New Roman"/>
          <w:b/>
          <w:sz w:val="20"/>
          <w:szCs w:val="20"/>
        </w:rPr>
      </w:pPr>
    </w:p>
    <w:p w14:paraId="6CCE1A81" w14:textId="0E4911E8" w:rsidR="00EB1CDF" w:rsidRPr="00EB1CDF" w:rsidRDefault="00EB1CDF" w:rsidP="00EB1CDF">
      <w:pPr>
        <w:spacing w:after="0" w:line="276" w:lineRule="auto"/>
        <w:jc w:val="center"/>
        <w:rPr>
          <w:rFonts w:ascii="Times New Roman" w:hAnsi="Times New Roman" w:cs="Times New Roman"/>
          <w:b/>
          <w:sz w:val="20"/>
          <w:szCs w:val="20"/>
        </w:rPr>
      </w:pPr>
      <w:r w:rsidRPr="00EB1CDF">
        <w:rPr>
          <w:rFonts w:ascii="Times New Roman" w:hAnsi="Times New Roman" w:cs="Times New Roman"/>
          <w:b/>
          <w:sz w:val="20"/>
          <w:szCs w:val="20"/>
        </w:rPr>
        <w:t>FREDERICO DA SILVA PACHECO</w:t>
      </w:r>
    </w:p>
    <w:p w14:paraId="3A90CDFF" w14:textId="450F27E1" w:rsidR="00810D15" w:rsidRDefault="00EB1CDF" w:rsidP="00EB1CDF">
      <w:pPr>
        <w:spacing w:after="0" w:line="276" w:lineRule="auto"/>
        <w:jc w:val="center"/>
        <w:rPr>
          <w:rFonts w:ascii="Times New Roman" w:hAnsi="Times New Roman" w:cs="Times New Roman"/>
          <w:b/>
          <w:sz w:val="20"/>
          <w:szCs w:val="20"/>
        </w:rPr>
      </w:pPr>
      <w:r w:rsidRPr="00EB1CDF">
        <w:rPr>
          <w:rFonts w:ascii="Times New Roman" w:hAnsi="Times New Roman" w:cs="Times New Roman"/>
          <w:b/>
          <w:sz w:val="20"/>
          <w:szCs w:val="20"/>
        </w:rPr>
        <w:t>Assessor do Departamento de Administração, Fazenda e Planejamento</w:t>
      </w:r>
    </w:p>
    <w:p w14:paraId="63C34846" w14:textId="77777777" w:rsidR="00EB1CDF" w:rsidRPr="00EB1CDF" w:rsidRDefault="00EB1CDF" w:rsidP="00EB1CDF">
      <w:pPr>
        <w:spacing w:after="0" w:line="276" w:lineRule="auto"/>
        <w:jc w:val="center"/>
        <w:rPr>
          <w:rFonts w:ascii="Times New Roman" w:hAnsi="Times New Roman" w:cs="Times New Roman"/>
          <w:b/>
          <w:sz w:val="20"/>
          <w:szCs w:val="20"/>
        </w:rPr>
      </w:pPr>
    </w:p>
    <w:p w14:paraId="1CA3EE89" w14:textId="3066ECD4" w:rsidR="00430906" w:rsidRPr="004C117C" w:rsidRDefault="00430906" w:rsidP="000C5622">
      <w:pPr>
        <w:spacing w:line="276" w:lineRule="auto"/>
        <w:rPr>
          <w:rFonts w:ascii="Times New Roman" w:hAnsi="Times New Roman" w:cs="Times New Roman"/>
          <w:sz w:val="20"/>
          <w:szCs w:val="20"/>
        </w:rPr>
      </w:pPr>
      <w:r w:rsidRPr="004C117C">
        <w:rPr>
          <w:rFonts w:ascii="Times New Roman" w:hAnsi="Times New Roman" w:cs="Times New Roman"/>
          <w:sz w:val="20"/>
          <w:szCs w:val="20"/>
        </w:rPr>
        <w:t>Realizadas as tarefas pertinentes ao ETP, encaminho o documento solicitando ciência e aprovação para posterior elaboração do Termo de Referência e/ou Projeto Básico.</w:t>
      </w:r>
    </w:p>
    <w:p w14:paraId="77984902" w14:textId="77777777" w:rsidR="00430906" w:rsidRPr="00430906" w:rsidRDefault="00430906" w:rsidP="000C5622">
      <w:pPr>
        <w:spacing w:line="276" w:lineRule="auto"/>
        <w:rPr>
          <w:rFonts w:ascii="Times New Roman" w:hAnsi="Times New Roman" w:cs="Times New Roman"/>
          <w:b/>
          <w:sz w:val="20"/>
          <w:szCs w:val="20"/>
        </w:rPr>
      </w:pPr>
    </w:p>
    <w:tbl>
      <w:tblPr>
        <w:tblStyle w:val="Tabelacomgrade"/>
        <w:tblW w:w="9209" w:type="dxa"/>
        <w:tblLook w:val="04A0" w:firstRow="1" w:lastRow="0" w:firstColumn="1" w:lastColumn="0" w:noHBand="0" w:noVBand="1"/>
      </w:tblPr>
      <w:tblGrid>
        <w:gridCol w:w="9209"/>
      </w:tblGrid>
      <w:tr w:rsidR="00430906" w14:paraId="54B2663D" w14:textId="77777777" w:rsidTr="00883842">
        <w:tc>
          <w:tcPr>
            <w:tcW w:w="9209" w:type="dxa"/>
          </w:tcPr>
          <w:p w14:paraId="74677CE4" w14:textId="77777777" w:rsidR="00430906" w:rsidRPr="00EB1CDF" w:rsidRDefault="00430906" w:rsidP="00EB1CDF">
            <w:pPr>
              <w:spacing w:after="0" w:line="360" w:lineRule="auto"/>
              <w:ind w:firstLine="0"/>
              <w:jc w:val="center"/>
              <w:rPr>
                <w:rFonts w:ascii="Times New Roman" w:hAnsi="Times New Roman" w:cs="Times New Roman"/>
                <w:b/>
                <w:sz w:val="20"/>
                <w:szCs w:val="20"/>
              </w:rPr>
            </w:pPr>
          </w:p>
          <w:p w14:paraId="412F304A" w14:textId="212E7534" w:rsidR="00430906" w:rsidRPr="00EB1CDF" w:rsidRDefault="004C117C" w:rsidP="00EB1CDF">
            <w:pPr>
              <w:spacing w:after="0" w:line="360" w:lineRule="auto"/>
              <w:ind w:firstLine="0"/>
              <w:jc w:val="center"/>
              <w:rPr>
                <w:rFonts w:ascii="Times New Roman" w:hAnsi="Times New Roman" w:cs="Times New Roman"/>
                <w:b/>
                <w:sz w:val="20"/>
                <w:szCs w:val="20"/>
              </w:rPr>
            </w:pPr>
            <w:r w:rsidRPr="00EB1CDF">
              <w:rPr>
                <w:rFonts w:ascii="Times New Roman" w:hAnsi="Times New Roman" w:cs="Times New Roman"/>
                <w:b/>
                <w:sz w:val="20"/>
                <w:szCs w:val="20"/>
              </w:rPr>
              <w:t xml:space="preserve">SECRETARIA MUNICIPAL DE </w:t>
            </w:r>
            <w:r w:rsidR="00D25F29" w:rsidRPr="00EB1CDF">
              <w:rPr>
                <w:rFonts w:ascii="Times New Roman" w:hAnsi="Times New Roman" w:cs="Times New Roman"/>
                <w:b/>
                <w:sz w:val="20"/>
                <w:szCs w:val="20"/>
              </w:rPr>
              <w:t>ADMINISTRAÇÃO, FAZENDA E PLANEJAMENTO</w:t>
            </w:r>
            <w:r w:rsidRPr="00EB1CDF">
              <w:rPr>
                <w:rFonts w:ascii="Times New Roman" w:hAnsi="Times New Roman" w:cs="Times New Roman"/>
                <w:b/>
                <w:sz w:val="20"/>
                <w:szCs w:val="20"/>
              </w:rPr>
              <w:t>:</w:t>
            </w:r>
          </w:p>
          <w:p w14:paraId="4A5C4B4B" w14:textId="77777777" w:rsidR="00430906" w:rsidRPr="00EB1CDF" w:rsidRDefault="00430906" w:rsidP="00EB1CDF">
            <w:pPr>
              <w:spacing w:after="0" w:line="360" w:lineRule="auto"/>
              <w:ind w:firstLine="314"/>
              <w:rPr>
                <w:rFonts w:ascii="Times New Roman" w:hAnsi="Times New Roman" w:cs="Times New Roman"/>
                <w:bCs/>
                <w:sz w:val="20"/>
                <w:szCs w:val="20"/>
              </w:rPr>
            </w:pPr>
            <w:r w:rsidRPr="00EB1CDF">
              <w:rPr>
                <w:rFonts w:ascii="Times New Roman" w:hAnsi="Times New Roman" w:cs="Times New Roman"/>
                <w:bCs/>
                <w:sz w:val="20"/>
                <w:szCs w:val="20"/>
              </w:rPr>
              <w:t>Parecer conclusivo de ciência e aprovação:</w:t>
            </w:r>
          </w:p>
          <w:p w14:paraId="2E93DEE6" w14:textId="4CC310F9" w:rsidR="00883842" w:rsidRPr="00EB1CDF" w:rsidRDefault="00430906" w:rsidP="00EB1CDF">
            <w:pPr>
              <w:spacing w:after="0" w:line="360" w:lineRule="auto"/>
              <w:ind w:firstLine="314"/>
              <w:rPr>
                <w:rFonts w:ascii="Times New Roman" w:hAnsi="Times New Roman" w:cs="Times New Roman"/>
                <w:bCs/>
                <w:sz w:val="20"/>
                <w:szCs w:val="20"/>
              </w:rPr>
            </w:pPr>
            <w:r w:rsidRPr="00EB1CDF">
              <w:rPr>
                <w:rFonts w:ascii="Times New Roman" w:hAnsi="Times New Roman" w:cs="Times New Roman"/>
                <w:bCs/>
                <w:sz w:val="20"/>
                <w:szCs w:val="20"/>
              </w:rPr>
              <w:t>(</w:t>
            </w:r>
            <w:r w:rsidR="0023278A" w:rsidRPr="00EB1CDF">
              <w:rPr>
                <w:rFonts w:ascii="Times New Roman" w:hAnsi="Times New Roman" w:cs="Times New Roman"/>
                <w:bCs/>
                <w:sz w:val="20"/>
                <w:szCs w:val="20"/>
              </w:rPr>
              <w:t>X</w:t>
            </w:r>
            <w:r w:rsidRPr="00EB1CDF">
              <w:rPr>
                <w:rFonts w:ascii="Times New Roman" w:hAnsi="Times New Roman" w:cs="Times New Roman"/>
                <w:bCs/>
                <w:sz w:val="20"/>
                <w:szCs w:val="20"/>
              </w:rPr>
              <w:t>) Defiro</w:t>
            </w:r>
            <w:r w:rsidR="00267657" w:rsidRPr="00EB1CDF">
              <w:rPr>
                <w:rFonts w:ascii="Times New Roman" w:hAnsi="Times New Roman" w:cs="Times New Roman"/>
                <w:bCs/>
                <w:sz w:val="20"/>
                <w:szCs w:val="20"/>
              </w:rPr>
              <w:t>. Aprovo o Estudo Técnico Preliminar (ETP), por seus próprios fundamentos</w:t>
            </w:r>
            <w:r w:rsidRPr="00EB1CDF">
              <w:rPr>
                <w:rFonts w:ascii="Times New Roman" w:hAnsi="Times New Roman" w:cs="Times New Roman"/>
                <w:bCs/>
                <w:sz w:val="20"/>
                <w:szCs w:val="20"/>
              </w:rPr>
              <w:t>; ou</w:t>
            </w:r>
          </w:p>
          <w:p w14:paraId="0021C667" w14:textId="726EF4D3" w:rsidR="00430906" w:rsidRPr="00EB1CDF" w:rsidRDefault="00430906" w:rsidP="00EB1CDF">
            <w:pPr>
              <w:spacing w:after="0" w:line="360" w:lineRule="auto"/>
              <w:ind w:firstLine="314"/>
              <w:rPr>
                <w:rFonts w:ascii="Times New Roman" w:hAnsi="Times New Roman" w:cs="Times New Roman"/>
                <w:bCs/>
                <w:sz w:val="20"/>
                <w:szCs w:val="20"/>
              </w:rPr>
            </w:pPr>
            <w:proofErr w:type="gramStart"/>
            <w:r w:rsidRPr="00EB1CDF">
              <w:rPr>
                <w:rFonts w:ascii="Times New Roman" w:hAnsi="Times New Roman" w:cs="Times New Roman"/>
                <w:bCs/>
                <w:sz w:val="20"/>
                <w:szCs w:val="20"/>
              </w:rPr>
              <w:t xml:space="preserve">(  </w:t>
            </w:r>
            <w:proofErr w:type="gramEnd"/>
            <w:r w:rsidRPr="00EB1CDF">
              <w:rPr>
                <w:rFonts w:ascii="Times New Roman" w:hAnsi="Times New Roman" w:cs="Times New Roman"/>
                <w:bCs/>
                <w:sz w:val="20"/>
                <w:szCs w:val="20"/>
              </w:rPr>
              <w:t xml:space="preserve"> )</w:t>
            </w:r>
            <w:r w:rsidR="00267657" w:rsidRPr="00EB1CDF">
              <w:rPr>
                <w:rFonts w:ascii="Times New Roman" w:hAnsi="Times New Roman" w:cs="Times New Roman"/>
                <w:bCs/>
                <w:sz w:val="20"/>
                <w:szCs w:val="20"/>
              </w:rPr>
              <w:t xml:space="preserve"> </w:t>
            </w:r>
            <w:r w:rsidRPr="00EB1CDF">
              <w:rPr>
                <w:rFonts w:ascii="Times New Roman" w:hAnsi="Times New Roman" w:cs="Times New Roman"/>
                <w:bCs/>
                <w:sz w:val="20"/>
                <w:szCs w:val="20"/>
              </w:rPr>
              <w:t xml:space="preserve"> Indefiro</w:t>
            </w:r>
            <w:r w:rsidR="00267657" w:rsidRPr="00EB1CDF">
              <w:rPr>
                <w:rFonts w:ascii="Times New Roman" w:hAnsi="Times New Roman" w:cs="Times New Roman"/>
                <w:bCs/>
                <w:sz w:val="20"/>
                <w:szCs w:val="20"/>
              </w:rPr>
              <w:t>:</w:t>
            </w:r>
            <w:r w:rsidR="00455F0C" w:rsidRPr="00EB1CDF">
              <w:rPr>
                <w:rFonts w:ascii="Times New Roman" w:hAnsi="Times New Roman" w:cs="Times New Roman"/>
                <w:bCs/>
                <w:sz w:val="20"/>
                <w:szCs w:val="20"/>
              </w:rPr>
              <w:t xml:space="preserve"> </w:t>
            </w:r>
            <w:r w:rsidR="00267657" w:rsidRPr="00EB1CDF">
              <w:rPr>
                <w:rFonts w:ascii="Times New Roman" w:hAnsi="Times New Roman" w:cs="Times New Roman"/>
                <w:bCs/>
                <w:sz w:val="20"/>
                <w:szCs w:val="20"/>
              </w:rPr>
              <w:t>___________________________________________________________</w:t>
            </w:r>
            <w:r w:rsidR="00D73A89" w:rsidRPr="00EB1CDF">
              <w:rPr>
                <w:rFonts w:ascii="Times New Roman" w:hAnsi="Times New Roman" w:cs="Times New Roman"/>
                <w:bCs/>
                <w:sz w:val="20"/>
                <w:szCs w:val="20"/>
              </w:rPr>
              <w:t>___________</w:t>
            </w:r>
            <w:r w:rsidR="00267657" w:rsidRPr="00EB1CDF">
              <w:rPr>
                <w:rFonts w:ascii="Times New Roman" w:hAnsi="Times New Roman" w:cs="Times New Roman"/>
                <w:bCs/>
                <w:sz w:val="20"/>
                <w:szCs w:val="20"/>
              </w:rPr>
              <w:t>_</w:t>
            </w:r>
            <w:r w:rsidRPr="00EB1CDF">
              <w:rPr>
                <w:rFonts w:ascii="Times New Roman" w:hAnsi="Times New Roman" w:cs="Times New Roman"/>
                <w:bCs/>
                <w:sz w:val="20"/>
                <w:szCs w:val="20"/>
              </w:rPr>
              <w:t xml:space="preserve">. </w:t>
            </w:r>
          </w:p>
          <w:p w14:paraId="6A847925" w14:textId="4BF994DF" w:rsidR="00D73A89" w:rsidRPr="00EB1CDF" w:rsidRDefault="00430906" w:rsidP="00EB1CDF">
            <w:pPr>
              <w:spacing w:after="0" w:line="360" w:lineRule="auto"/>
              <w:ind w:firstLine="0"/>
              <w:jc w:val="center"/>
              <w:rPr>
                <w:rFonts w:ascii="Times New Roman" w:hAnsi="Times New Roman" w:cs="Times New Roman"/>
                <w:bCs/>
                <w:sz w:val="20"/>
                <w:szCs w:val="20"/>
              </w:rPr>
            </w:pPr>
            <w:r w:rsidRPr="00EB1CDF">
              <w:rPr>
                <w:rFonts w:ascii="Times New Roman" w:hAnsi="Times New Roman" w:cs="Times New Roman"/>
                <w:bCs/>
                <w:sz w:val="20"/>
                <w:szCs w:val="20"/>
              </w:rPr>
              <w:t xml:space="preserve">Paverama/RS, </w:t>
            </w:r>
            <w:r w:rsidR="00EB1CDF" w:rsidRPr="00EB1CDF">
              <w:rPr>
                <w:rFonts w:ascii="Times New Roman" w:hAnsi="Times New Roman" w:cs="Times New Roman"/>
                <w:sz w:val="20"/>
                <w:szCs w:val="20"/>
              </w:rPr>
              <w:t>10 de agosto de 2026</w:t>
            </w:r>
            <w:r w:rsidR="00883842" w:rsidRPr="00EB1CDF">
              <w:rPr>
                <w:rFonts w:ascii="Times New Roman" w:hAnsi="Times New Roman" w:cs="Times New Roman"/>
                <w:bCs/>
                <w:sz w:val="20"/>
                <w:szCs w:val="20"/>
              </w:rPr>
              <w:t>.</w:t>
            </w:r>
          </w:p>
          <w:p w14:paraId="5FE7EB46" w14:textId="4E02CBD6" w:rsidR="000F458C" w:rsidRDefault="000F458C" w:rsidP="00EB1CDF">
            <w:pPr>
              <w:spacing w:after="0" w:line="360" w:lineRule="auto"/>
              <w:ind w:firstLine="0"/>
              <w:jc w:val="center"/>
              <w:rPr>
                <w:rFonts w:ascii="Times New Roman" w:hAnsi="Times New Roman" w:cs="Times New Roman"/>
                <w:b/>
                <w:sz w:val="20"/>
                <w:szCs w:val="20"/>
              </w:rPr>
            </w:pPr>
          </w:p>
          <w:p w14:paraId="304D0DD9" w14:textId="37EA7BF4" w:rsidR="00EB1CDF" w:rsidRPr="00EB1CDF" w:rsidRDefault="00EB1CDF" w:rsidP="00EB1CDF">
            <w:pPr>
              <w:spacing w:after="0" w:line="360" w:lineRule="auto"/>
              <w:ind w:firstLine="0"/>
              <w:jc w:val="center"/>
              <w:rPr>
                <w:rFonts w:ascii="Times New Roman" w:hAnsi="Times New Roman" w:cs="Times New Roman"/>
                <w:b/>
                <w:sz w:val="20"/>
                <w:szCs w:val="20"/>
              </w:rPr>
            </w:pPr>
          </w:p>
          <w:p w14:paraId="7694D546" w14:textId="4BBF9B5D" w:rsidR="00D73A89" w:rsidRPr="00EB1CDF" w:rsidRDefault="00883842" w:rsidP="00EB1CDF">
            <w:pPr>
              <w:spacing w:after="0" w:line="360" w:lineRule="auto"/>
              <w:ind w:firstLine="0"/>
              <w:jc w:val="center"/>
              <w:rPr>
                <w:rFonts w:ascii="Times New Roman" w:hAnsi="Times New Roman" w:cs="Times New Roman"/>
                <w:b/>
                <w:sz w:val="20"/>
                <w:szCs w:val="20"/>
              </w:rPr>
            </w:pPr>
            <w:r w:rsidRPr="00EB1CDF">
              <w:rPr>
                <w:rFonts w:ascii="Times New Roman" w:hAnsi="Times New Roman" w:cs="Times New Roman"/>
                <w:b/>
                <w:sz w:val="20"/>
                <w:szCs w:val="20"/>
              </w:rPr>
              <w:t>ALEXANDRE LUÍS KLEBER</w:t>
            </w:r>
          </w:p>
          <w:p w14:paraId="3E4769CB" w14:textId="60370F5D" w:rsidR="00430906" w:rsidRDefault="00430906" w:rsidP="00624E30">
            <w:pPr>
              <w:spacing w:after="0" w:line="360" w:lineRule="auto"/>
              <w:ind w:firstLine="0"/>
              <w:jc w:val="center"/>
              <w:rPr>
                <w:rFonts w:ascii="Times New Roman" w:hAnsi="Times New Roman" w:cs="Times New Roman"/>
                <w:b/>
                <w:sz w:val="20"/>
                <w:szCs w:val="20"/>
              </w:rPr>
            </w:pPr>
            <w:r w:rsidRPr="00EB1CDF">
              <w:rPr>
                <w:rFonts w:ascii="Times New Roman" w:hAnsi="Times New Roman" w:cs="Times New Roman"/>
                <w:b/>
                <w:sz w:val="20"/>
                <w:szCs w:val="20"/>
              </w:rPr>
              <w:t>Secretário</w:t>
            </w:r>
            <w:r w:rsidR="00155FED" w:rsidRPr="00EB1CDF">
              <w:rPr>
                <w:rFonts w:ascii="Times New Roman" w:hAnsi="Times New Roman" w:cs="Times New Roman"/>
                <w:b/>
                <w:sz w:val="20"/>
                <w:szCs w:val="20"/>
              </w:rPr>
              <w:t xml:space="preserve"> </w:t>
            </w:r>
            <w:r w:rsidR="0023278A" w:rsidRPr="00EB1CDF">
              <w:rPr>
                <w:rFonts w:ascii="Times New Roman" w:hAnsi="Times New Roman" w:cs="Times New Roman"/>
                <w:b/>
                <w:sz w:val="20"/>
                <w:szCs w:val="20"/>
              </w:rPr>
              <w:t xml:space="preserve">Municipal </w:t>
            </w:r>
            <w:r w:rsidR="00155FED" w:rsidRPr="00EB1CDF">
              <w:rPr>
                <w:rFonts w:ascii="Times New Roman" w:hAnsi="Times New Roman" w:cs="Times New Roman"/>
                <w:b/>
                <w:sz w:val="20"/>
                <w:szCs w:val="20"/>
              </w:rPr>
              <w:t>de Administração, Fazenda e Planejamento</w:t>
            </w:r>
          </w:p>
        </w:tc>
      </w:tr>
    </w:tbl>
    <w:p w14:paraId="19528256" w14:textId="77777777" w:rsidR="00117BBF" w:rsidRPr="00A00198" w:rsidRDefault="00117BBF" w:rsidP="000C5622">
      <w:pPr>
        <w:spacing w:after="0" w:line="276" w:lineRule="auto"/>
        <w:ind w:firstLine="0"/>
        <w:rPr>
          <w:rFonts w:ascii="Times New Roman" w:hAnsi="Times New Roman" w:cs="Times New Roman"/>
          <w:b/>
          <w:sz w:val="20"/>
          <w:szCs w:val="20"/>
        </w:rPr>
      </w:pPr>
    </w:p>
    <w:sectPr w:rsidR="00117BBF" w:rsidRPr="00A00198" w:rsidSect="00963035">
      <w:headerReference w:type="default" r:id="rId13"/>
      <w:footerReference w:type="default" r:id="rId14"/>
      <w:headerReference w:type="first" r:id="rId15"/>
      <w:footerReference w:type="first" r:id="rId16"/>
      <w:pgSz w:w="11906" w:h="16838" w:code="9"/>
      <w:pgMar w:top="1843" w:right="1416" w:bottom="1134" w:left="1701" w:header="113"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4ED2B" w14:textId="77777777" w:rsidR="0006385E" w:rsidRDefault="0006385E" w:rsidP="009F2D5E">
      <w:pPr>
        <w:spacing w:after="0"/>
      </w:pPr>
      <w:r>
        <w:separator/>
      </w:r>
    </w:p>
  </w:endnote>
  <w:endnote w:type="continuationSeparator" w:id="0">
    <w:p w14:paraId="3FE98E13" w14:textId="77777777" w:rsidR="0006385E" w:rsidRDefault="0006385E" w:rsidP="009F2D5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auto"/>
    <w:pitch w:val="default"/>
  </w:font>
  <w:font w:name="ArialMT">
    <w:altName w:val="Arial"/>
    <w:charset w:val="00"/>
    <w:family w:val="auto"/>
    <w:pitch w:val="default"/>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4"/>
        <w:szCs w:val="14"/>
      </w:rPr>
      <w:id w:val="442349205"/>
      <w:docPartObj>
        <w:docPartGallery w:val="Page Numbers (Bottom of Page)"/>
        <w:docPartUnique/>
      </w:docPartObj>
    </w:sdtPr>
    <w:sdtEndPr/>
    <w:sdtContent>
      <w:sdt>
        <w:sdtPr>
          <w:rPr>
            <w:sz w:val="14"/>
            <w:szCs w:val="14"/>
          </w:rPr>
          <w:id w:val="-582686688"/>
          <w:docPartObj>
            <w:docPartGallery w:val="Page Numbers (Top of Page)"/>
            <w:docPartUnique/>
          </w:docPartObj>
        </w:sdtPr>
        <w:sdtEndPr/>
        <w:sdtContent>
          <w:p w14:paraId="4952FB71" w14:textId="79BFB997" w:rsidR="00D31344" w:rsidRPr="002E46A9" w:rsidRDefault="004655AD">
            <w:pPr>
              <w:pStyle w:val="Rodap"/>
              <w:jc w:val="right"/>
              <w:rPr>
                <w:sz w:val="14"/>
                <w:szCs w:val="14"/>
              </w:rPr>
            </w:pPr>
            <w:r>
              <w:rPr>
                <w:noProof/>
                <w:sz w:val="14"/>
                <w:szCs w:val="14"/>
              </w:rPr>
              <w:drawing>
                <wp:anchor distT="0" distB="0" distL="114300" distR="114300" simplePos="0" relativeHeight="251664384" behindDoc="1" locked="0" layoutInCell="1" allowOverlap="1" wp14:anchorId="7C5B6F92" wp14:editId="3B64D677">
                  <wp:simplePos x="0" y="0"/>
                  <wp:positionH relativeFrom="column">
                    <wp:posOffset>925849</wp:posOffset>
                  </wp:positionH>
                  <wp:positionV relativeFrom="paragraph">
                    <wp:posOffset>-303388</wp:posOffset>
                  </wp:positionV>
                  <wp:extent cx="3930555" cy="651210"/>
                  <wp:effectExtent l="0" t="0" r="0" b="0"/>
                  <wp:wrapNone/>
                  <wp:docPr id="20360488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30555" cy="651210"/>
                          </a:xfrm>
                          <a:prstGeom prst="rect">
                            <a:avLst/>
                          </a:prstGeom>
                          <a:noFill/>
                        </pic:spPr>
                      </pic:pic>
                    </a:graphicData>
                  </a:graphic>
                  <wp14:sizeRelH relativeFrom="page">
                    <wp14:pctWidth>0</wp14:pctWidth>
                  </wp14:sizeRelH>
                  <wp14:sizeRelV relativeFrom="page">
                    <wp14:pctHeight>0</wp14:pctHeight>
                  </wp14:sizeRelV>
                </wp:anchor>
              </w:drawing>
            </w:r>
            <w:r w:rsidR="00D31344" w:rsidRPr="002E46A9">
              <w:rPr>
                <w:sz w:val="14"/>
                <w:szCs w:val="14"/>
              </w:rPr>
              <w:t xml:space="preserve">Página </w:t>
            </w:r>
            <w:r w:rsidR="00D31344" w:rsidRPr="002E46A9">
              <w:rPr>
                <w:b/>
                <w:bCs/>
                <w:sz w:val="14"/>
                <w:szCs w:val="14"/>
              </w:rPr>
              <w:fldChar w:fldCharType="begin"/>
            </w:r>
            <w:r w:rsidR="00D31344" w:rsidRPr="002E46A9">
              <w:rPr>
                <w:b/>
                <w:bCs/>
                <w:sz w:val="14"/>
                <w:szCs w:val="14"/>
              </w:rPr>
              <w:instrText>PAGE</w:instrText>
            </w:r>
            <w:r w:rsidR="00D31344" w:rsidRPr="002E46A9">
              <w:rPr>
                <w:b/>
                <w:bCs/>
                <w:sz w:val="14"/>
                <w:szCs w:val="14"/>
              </w:rPr>
              <w:fldChar w:fldCharType="separate"/>
            </w:r>
            <w:r w:rsidR="007F6824">
              <w:rPr>
                <w:b/>
                <w:bCs/>
                <w:noProof/>
                <w:sz w:val="14"/>
                <w:szCs w:val="14"/>
              </w:rPr>
              <w:t>10</w:t>
            </w:r>
            <w:r w:rsidR="00D31344" w:rsidRPr="002E46A9">
              <w:rPr>
                <w:b/>
                <w:bCs/>
                <w:sz w:val="14"/>
                <w:szCs w:val="14"/>
              </w:rPr>
              <w:fldChar w:fldCharType="end"/>
            </w:r>
            <w:r w:rsidR="00D31344" w:rsidRPr="002E46A9">
              <w:rPr>
                <w:sz w:val="14"/>
                <w:szCs w:val="14"/>
              </w:rPr>
              <w:t xml:space="preserve"> de </w:t>
            </w:r>
            <w:r w:rsidR="00D31344" w:rsidRPr="002E46A9">
              <w:rPr>
                <w:b/>
                <w:bCs/>
                <w:sz w:val="14"/>
                <w:szCs w:val="14"/>
              </w:rPr>
              <w:fldChar w:fldCharType="begin"/>
            </w:r>
            <w:r w:rsidR="00D31344" w:rsidRPr="002E46A9">
              <w:rPr>
                <w:b/>
                <w:bCs/>
                <w:sz w:val="14"/>
                <w:szCs w:val="14"/>
              </w:rPr>
              <w:instrText>NUMPAGES</w:instrText>
            </w:r>
            <w:r w:rsidR="00D31344" w:rsidRPr="002E46A9">
              <w:rPr>
                <w:b/>
                <w:bCs/>
                <w:sz w:val="14"/>
                <w:szCs w:val="14"/>
              </w:rPr>
              <w:fldChar w:fldCharType="separate"/>
            </w:r>
            <w:r w:rsidR="007F6824">
              <w:rPr>
                <w:b/>
                <w:bCs/>
                <w:noProof/>
                <w:sz w:val="14"/>
                <w:szCs w:val="14"/>
              </w:rPr>
              <w:t>10</w:t>
            </w:r>
            <w:r w:rsidR="00D31344" w:rsidRPr="002E46A9">
              <w:rPr>
                <w:b/>
                <w:bCs/>
                <w:sz w:val="14"/>
                <w:szCs w:val="14"/>
              </w:rPr>
              <w:fldChar w:fldCharType="end"/>
            </w:r>
          </w:p>
        </w:sdtContent>
      </w:sdt>
    </w:sdtContent>
  </w:sdt>
  <w:p w14:paraId="3D15040F" w14:textId="77777777" w:rsidR="00D31344" w:rsidRPr="00EC4156" w:rsidRDefault="00D31344" w:rsidP="00EC4156">
    <w:pPr>
      <w:pStyle w:val="Rodap"/>
      <w:ind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4"/>
        <w:szCs w:val="14"/>
      </w:rPr>
      <w:id w:val="-2026235190"/>
      <w:docPartObj>
        <w:docPartGallery w:val="Page Numbers (Top of Page)"/>
        <w:docPartUnique/>
      </w:docPartObj>
    </w:sdtPr>
    <w:sdtEndPr/>
    <w:sdtContent>
      <w:p w14:paraId="3F8E410B" w14:textId="769940CB" w:rsidR="00D31344" w:rsidRDefault="006F0DA2" w:rsidP="007B19F6">
        <w:pPr>
          <w:pStyle w:val="Rodap"/>
          <w:jc w:val="right"/>
          <w:rPr>
            <w:sz w:val="14"/>
            <w:szCs w:val="14"/>
          </w:rPr>
        </w:pPr>
        <w:r>
          <w:rPr>
            <w:noProof/>
            <w:sz w:val="14"/>
            <w:szCs w:val="14"/>
          </w:rPr>
          <w:drawing>
            <wp:anchor distT="0" distB="0" distL="114300" distR="114300" simplePos="0" relativeHeight="251665408" behindDoc="1" locked="0" layoutInCell="1" allowOverlap="1" wp14:anchorId="44B5F94F" wp14:editId="0145C669">
              <wp:simplePos x="0" y="0"/>
              <wp:positionH relativeFrom="page">
                <wp:posOffset>1804987</wp:posOffset>
              </wp:positionH>
              <wp:positionV relativeFrom="paragraph">
                <wp:posOffset>-440373</wp:posOffset>
              </wp:positionV>
              <wp:extent cx="4257675" cy="712570"/>
              <wp:effectExtent l="0" t="0" r="0" b="0"/>
              <wp:wrapNone/>
              <wp:docPr id="166468687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57675" cy="712570"/>
                      </a:xfrm>
                      <a:prstGeom prst="rect">
                        <a:avLst/>
                      </a:prstGeom>
                      <a:noFill/>
                    </pic:spPr>
                  </pic:pic>
                </a:graphicData>
              </a:graphic>
              <wp14:sizeRelH relativeFrom="page">
                <wp14:pctWidth>0</wp14:pctWidth>
              </wp14:sizeRelH>
              <wp14:sizeRelV relativeFrom="page">
                <wp14:pctHeight>0</wp14:pctHeight>
              </wp14:sizeRelV>
            </wp:anchor>
          </w:drawing>
        </w:r>
        <w:r w:rsidR="00D31344" w:rsidRPr="002E46A9">
          <w:rPr>
            <w:sz w:val="14"/>
            <w:szCs w:val="14"/>
          </w:rPr>
          <w:t xml:space="preserve">Página </w:t>
        </w:r>
        <w:r w:rsidR="00D31344" w:rsidRPr="002E46A9">
          <w:rPr>
            <w:b/>
            <w:bCs/>
            <w:sz w:val="14"/>
            <w:szCs w:val="14"/>
          </w:rPr>
          <w:fldChar w:fldCharType="begin"/>
        </w:r>
        <w:r w:rsidR="00D31344" w:rsidRPr="002E46A9">
          <w:rPr>
            <w:b/>
            <w:bCs/>
            <w:sz w:val="14"/>
            <w:szCs w:val="14"/>
          </w:rPr>
          <w:instrText>PAGE</w:instrText>
        </w:r>
        <w:r w:rsidR="00D31344" w:rsidRPr="002E46A9">
          <w:rPr>
            <w:b/>
            <w:bCs/>
            <w:sz w:val="14"/>
            <w:szCs w:val="14"/>
          </w:rPr>
          <w:fldChar w:fldCharType="separate"/>
        </w:r>
        <w:r w:rsidR="007F6824">
          <w:rPr>
            <w:b/>
            <w:bCs/>
            <w:noProof/>
            <w:sz w:val="14"/>
            <w:szCs w:val="14"/>
          </w:rPr>
          <w:t>1</w:t>
        </w:r>
        <w:r w:rsidR="00D31344" w:rsidRPr="002E46A9">
          <w:rPr>
            <w:b/>
            <w:bCs/>
            <w:sz w:val="14"/>
            <w:szCs w:val="14"/>
          </w:rPr>
          <w:fldChar w:fldCharType="end"/>
        </w:r>
        <w:r w:rsidR="00D31344" w:rsidRPr="002E46A9">
          <w:rPr>
            <w:sz w:val="14"/>
            <w:szCs w:val="14"/>
          </w:rPr>
          <w:t xml:space="preserve"> de </w:t>
        </w:r>
        <w:r w:rsidR="00D31344" w:rsidRPr="002E46A9">
          <w:rPr>
            <w:b/>
            <w:bCs/>
            <w:sz w:val="14"/>
            <w:szCs w:val="14"/>
          </w:rPr>
          <w:fldChar w:fldCharType="begin"/>
        </w:r>
        <w:r w:rsidR="00D31344" w:rsidRPr="002E46A9">
          <w:rPr>
            <w:b/>
            <w:bCs/>
            <w:sz w:val="14"/>
            <w:szCs w:val="14"/>
          </w:rPr>
          <w:instrText>NUMPAGES</w:instrText>
        </w:r>
        <w:r w:rsidR="00D31344" w:rsidRPr="002E46A9">
          <w:rPr>
            <w:b/>
            <w:bCs/>
            <w:sz w:val="14"/>
            <w:szCs w:val="14"/>
          </w:rPr>
          <w:fldChar w:fldCharType="separate"/>
        </w:r>
        <w:r w:rsidR="007F6824">
          <w:rPr>
            <w:b/>
            <w:bCs/>
            <w:noProof/>
            <w:sz w:val="14"/>
            <w:szCs w:val="14"/>
          </w:rPr>
          <w:t>10</w:t>
        </w:r>
        <w:r w:rsidR="00D31344" w:rsidRPr="002E46A9">
          <w:rPr>
            <w:b/>
            <w:bCs/>
            <w:sz w:val="14"/>
            <w:szCs w:val="14"/>
          </w:rPr>
          <w:fldChar w:fldCharType="end"/>
        </w:r>
      </w:p>
    </w:sdtContent>
  </w:sdt>
  <w:p w14:paraId="756ECB14" w14:textId="338FE7CF" w:rsidR="00D31344" w:rsidRDefault="00D3134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DC546" w14:textId="77777777" w:rsidR="0006385E" w:rsidRDefault="0006385E" w:rsidP="009F2D5E">
      <w:pPr>
        <w:spacing w:after="0"/>
      </w:pPr>
      <w:r>
        <w:separator/>
      </w:r>
    </w:p>
  </w:footnote>
  <w:footnote w:type="continuationSeparator" w:id="0">
    <w:p w14:paraId="3938EF21" w14:textId="77777777" w:rsidR="0006385E" w:rsidRDefault="0006385E" w:rsidP="009F2D5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3404D" w14:textId="77777777" w:rsidR="00D31344" w:rsidRDefault="00D31344">
    <w:pPr>
      <w:pStyle w:val="Cabealho"/>
    </w:pPr>
  </w:p>
  <w:tbl>
    <w:tblPr>
      <w:tblStyle w:val="Tabelacomgrade"/>
      <w:tblW w:w="1020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38"/>
      <w:gridCol w:w="4961"/>
      <w:gridCol w:w="3402"/>
    </w:tblGrid>
    <w:tr w:rsidR="00D31344" w14:paraId="0013C613" w14:textId="77777777" w:rsidTr="005A641F">
      <w:trPr>
        <w:trHeight w:val="930"/>
      </w:trPr>
      <w:tc>
        <w:tcPr>
          <w:tcW w:w="1838" w:type="dxa"/>
          <w:vAlign w:val="center"/>
        </w:tcPr>
        <w:p w14:paraId="5656840B" w14:textId="7DA9D9AE" w:rsidR="00D31344" w:rsidRDefault="00D31344" w:rsidP="00D15024">
          <w:pPr>
            <w:pStyle w:val="Cabealho"/>
            <w:ind w:firstLine="0"/>
            <w:jc w:val="center"/>
          </w:pPr>
        </w:p>
      </w:tc>
      <w:tc>
        <w:tcPr>
          <w:tcW w:w="4961" w:type="dxa"/>
          <w:vAlign w:val="center"/>
        </w:tcPr>
        <w:p w14:paraId="62003A3B" w14:textId="474EC1E4" w:rsidR="00D31344" w:rsidRDefault="00D31344" w:rsidP="00D15024">
          <w:pPr>
            <w:pStyle w:val="Cabealho"/>
            <w:ind w:firstLine="0"/>
          </w:pPr>
          <w:r>
            <w:rPr>
              <w:noProof/>
              <w:lang w:eastAsia="pt-BR"/>
            </w:rPr>
            <w:drawing>
              <wp:anchor distT="0" distB="0" distL="114300" distR="114300" simplePos="0" relativeHeight="251663360" behindDoc="1" locked="0" layoutInCell="1" allowOverlap="1" wp14:anchorId="337114DB" wp14:editId="6C2678D9">
                <wp:simplePos x="0" y="0"/>
                <wp:positionH relativeFrom="column">
                  <wp:posOffset>-438150</wp:posOffset>
                </wp:positionH>
                <wp:positionV relativeFrom="paragraph">
                  <wp:posOffset>-78105</wp:posOffset>
                </wp:positionV>
                <wp:extent cx="4377055" cy="981710"/>
                <wp:effectExtent l="0" t="0" r="4445" b="8890"/>
                <wp:wrapNone/>
                <wp:docPr id="972399583" name="Imagem 972399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77055" cy="981710"/>
                        </a:xfrm>
                        <a:prstGeom prst="rect">
                          <a:avLst/>
                        </a:prstGeom>
                        <a:noFill/>
                      </pic:spPr>
                    </pic:pic>
                  </a:graphicData>
                </a:graphic>
                <wp14:sizeRelH relativeFrom="page">
                  <wp14:pctWidth>0</wp14:pctWidth>
                </wp14:sizeRelH>
                <wp14:sizeRelV relativeFrom="page">
                  <wp14:pctHeight>0</wp14:pctHeight>
                </wp14:sizeRelV>
              </wp:anchor>
            </w:drawing>
          </w:r>
        </w:p>
      </w:tc>
      <w:tc>
        <w:tcPr>
          <w:tcW w:w="3402" w:type="dxa"/>
          <w:vAlign w:val="center"/>
        </w:tcPr>
        <w:p w14:paraId="03E418B2" w14:textId="6BAB5066" w:rsidR="00D31344" w:rsidRDefault="00D31344" w:rsidP="005A641F">
          <w:pPr>
            <w:pStyle w:val="Cabealho"/>
            <w:ind w:firstLine="0"/>
            <w:jc w:val="center"/>
          </w:pPr>
        </w:p>
      </w:tc>
    </w:tr>
  </w:tbl>
  <w:p w14:paraId="0AD627A5" w14:textId="62B23590" w:rsidR="00D31344" w:rsidRDefault="00D31344" w:rsidP="00C47D4F">
    <w:pPr>
      <w:pStyle w:val="Cabealho"/>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C3721" w14:textId="08FC45AB" w:rsidR="00D31344" w:rsidRDefault="00D31344">
    <w:pPr>
      <w:pStyle w:val="Cabealho"/>
    </w:pPr>
    <w:r>
      <w:rPr>
        <w:noProof/>
        <w:lang w:eastAsia="pt-BR"/>
      </w:rPr>
      <w:drawing>
        <wp:anchor distT="0" distB="0" distL="114300" distR="114300" simplePos="0" relativeHeight="251658240" behindDoc="1" locked="0" layoutInCell="1" allowOverlap="1" wp14:anchorId="6EBFB506" wp14:editId="797C4B29">
          <wp:simplePos x="0" y="0"/>
          <wp:positionH relativeFrom="column">
            <wp:posOffset>993140</wp:posOffset>
          </wp:positionH>
          <wp:positionV relativeFrom="paragraph">
            <wp:posOffset>4445</wp:posOffset>
          </wp:positionV>
          <wp:extent cx="4377055" cy="981710"/>
          <wp:effectExtent l="0" t="0" r="4445" b="8890"/>
          <wp:wrapNone/>
          <wp:docPr id="989989463" name="Imagem 989989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77055" cy="9817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72176"/>
    <w:multiLevelType w:val="hybridMultilevel"/>
    <w:tmpl w:val="8130B570"/>
    <w:lvl w:ilvl="0" w:tplc="BF0CDFFC">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 w15:restartNumberingAfterBreak="0">
    <w:nsid w:val="142A31D8"/>
    <w:multiLevelType w:val="hybridMultilevel"/>
    <w:tmpl w:val="4254DA86"/>
    <w:lvl w:ilvl="0" w:tplc="034CDD24">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 w15:restartNumberingAfterBreak="0">
    <w:nsid w:val="1A7650E2"/>
    <w:multiLevelType w:val="hybridMultilevel"/>
    <w:tmpl w:val="1A0E134C"/>
    <w:lvl w:ilvl="0" w:tplc="1FF42894">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15:restartNumberingAfterBreak="0">
    <w:nsid w:val="1B443C24"/>
    <w:multiLevelType w:val="multilevel"/>
    <w:tmpl w:val="BEAEC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CA029D"/>
    <w:multiLevelType w:val="hybridMultilevel"/>
    <w:tmpl w:val="404612D6"/>
    <w:lvl w:ilvl="0" w:tplc="D12AE7E8">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5" w15:restartNumberingAfterBreak="0">
    <w:nsid w:val="225E3ADB"/>
    <w:multiLevelType w:val="hybridMultilevel"/>
    <w:tmpl w:val="58169AC2"/>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6" w15:restartNumberingAfterBreak="0">
    <w:nsid w:val="249C308B"/>
    <w:multiLevelType w:val="hybridMultilevel"/>
    <w:tmpl w:val="28CA4066"/>
    <w:lvl w:ilvl="0" w:tplc="FFFFFFFF">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7" w15:restartNumberingAfterBreak="0">
    <w:nsid w:val="25642A1F"/>
    <w:multiLevelType w:val="hybridMultilevel"/>
    <w:tmpl w:val="06E031FA"/>
    <w:lvl w:ilvl="0" w:tplc="1D1E5902">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8" w15:restartNumberingAfterBreak="0">
    <w:nsid w:val="28DB1DD5"/>
    <w:multiLevelType w:val="hybridMultilevel"/>
    <w:tmpl w:val="7D661FE0"/>
    <w:lvl w:ilvl="0" w:tplc="585C26A2">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9" w15:restartNumberingAfterBreak="0">
    <w:nsid w:val="2DF00769"/>
    <w:multiLevelType w:val="hybridMultilevel"/>
    <w:tmpl w:val="0474491C"/>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10" w15:restartNumberingAfterBreak="0">
    <w:nsid w:val="2ED554C0"/>
    <w:multiLevelType w:val="multilevel"/>
    <w:tmpl w:val="5BE49278"/>
    <w:lvl w:ilvl="0">
      <w:start w:val="1"/>
      <w:numFmt w:val="decimal"/>
      <w:pStyle w:val="Ttulo1"/>
      <w:lvlText w:val="%1"/>
      <w:lvlJc w:val="left"/>
      <w:pPr>
        <w:ind w:left="432" w:hanging="432"/>
      </w:pPr>
      <w:rPr>
        <w:u w:val="words"/>
      </w:rPr>
    </w:lvl>
    <w:lvl w:ilvl="1">
      <w:start w:val="1"/>
      <w:numFmt w:val="decimal"/>
      <w:pStyle w:val="Ttulo2"/>
      <w:lvlText w:val="%1.%2"/>
      <w:lvlJc w:val="left"/>
      <w:pPr>
        <w:ind w:left="5822" w:hanging="576"/>
      </w:pPr>
      <w:rPr>
        <w:u w:val="words"/>
      </w:rPr>
    </w:lvl>
    <w:lvl w:ilvl="2">
      <w:start w:val="1"/>
      <w:numFmt w:val="decimal"/>
      <w:pStyle w:val="Ttulo3"/>
      <w:lvlText w:val="%1.%2.%3"/>
      <w:lvlJc w:val="left"/>
      <w:pPr>
        <w:ind w:left="720" w:hanging="720"/>
      </w:pPr>
    </w:lvl>
    <w:lvl w:ilvl="3">
      <w:start w:val="1"/>
      <w:numFmt w:val="decimal"/>
      <w:pStyle w:val="Ttulo4"/>
      <w:lvlText w:val="%1.%2.%3.%4"/>
      <w:lvlJc w:val="left"/>
      <w:pPr>
        <w:ind w:left="3275"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1" w15:restartNumberingAfterBreak="0">
    <w:nsid w:val="33A56ECB"/>
    <w:multiLevelType w:val="hybridMultilevel"/>
    <w:tmpl w:val="C674F95C"/>
    <w:lvl w:ilvl="0" w:tplc="5C3A9850">
      <w:start w:val="1"/>
      <w:numFmt w:val="decimal"/>
      <w:lvlText w:val="%1)"/>
      <w:lvlJc w:val="left"/>
      <w:pPr>
        <w:ind w:left="956" w:hanging="360"/>
      </w:pPr>
      <w:rPr>
        <w:rFonts w:hint="default"/>
      </w:rPr>
    </w:lvl>
    <w:lvl w:ilvl="1" w:tplc="04160019" w:tentative="1">
      <w:start w:val="1"/>
      <w:numFmt w:val="lowerLetter"/>
      <w:lvlText w:val="%2."/>
      <w:lvlJc w:val="left"/>
      <w:pPr>
        <w:ind w:left="1676" w:hanging="360"/>
      </w:pPr>
    </w:lvl>
    <w:lvl w:ilvl="2" w:tplc="0416001B" w:tentative="1">
      <w:start w:val="1"/>
      <w:numFmt w:val="lowerRoman"/>
      <w:lvlText w:val="%3."/>
      <w:lvlJc w:val="right"/>
      <w:pPr>
        <w:ind w:left="2396" w:hanging="180"/>
      </w:pPr>
    </w:lvl>
    <w:lvl w:ilvl="3" w:tplc="0416000F" w:tentative="1">
      <w:start w:val="1"/>
      <w:numFmt w:val="decimal"/>
      <w:lvlText w:val="%4."/>
      <w:lvlJc w:val="left"/>
      <w:pPr>
        <w:ind w:left="3116" w:hanging="360"/>
      </w:pPr>
    </w:lvl>
    <w:lvl w:ilvl="4" w:tplc="04160019" w:tentative="1">
      <w:start w:val="1"/>
      <w:numFmt w:val="lowerLetter"/>
      <w:lvlText w:val="%5."/>
      <w:lvlJc w:val="left"/>
      <w:pPr>
        <w:ind w:left="3836" w:hanging="360"/>
      </w:pPr>
    </w:lvl>
    <w:lvl w:ilvl="5" w:tplc="0416001B" w:tentative="1">
      <w:start w:val="1"/>
      <w:numFmt w:val="lowerRoman"/>
      <w:lvlText w:val="%6."/>
      <w:lvlJc w:val="right"/>
      <w:pPr>
        <w:ind w:left="4556" w:hanging="180"/>
      </w:pPr>
    </w:lvl>
    <w:lvl w:ilvl="6" w:tplc="0416000F" w:tentative="1">
      <w:start w:val="1"/>
      <w:numFmt w:val="decimal"/>
      <w:lvlText w:val="%7."/>
      <w:lvlJc w:val="left"/>
      <w:pPr>
        <w:ind w:left="5276" w:hanging="360"/>
      </w:pPr>
    </w:lvl>
    <w:lvl w:ilvl="7" w:tplc="04160019" w:tentative="1">
      <w:start w:val="1"/>
      <w:numFmt w:val="lowerLetter"/>
      <w:lvlText w:val="%8."/>
      <w:lvlJc w:val="left"/>
      <w:pPr>
        <w:ind w:left="5996" w:hanging="360"/>
      </w:pPr>
    </w:lvl>
    <w:lvl w:ilvl="8" w:tplc="0416001B" w:tentative="1">
      <w:start w:val="1"/>
      <w:numFmt w:val="lowerRoman"/>
      <w:lvlText w:val="%9."/>
      <w:lvlJc w:val="right"/>
      <w:pPr>
        <w:ind w:left="6716" w:hanging="180"/>
      </w:pPr>
    </w:lvl>
  </w:abstractNum>
  <w:abstractNum w:abstractNumId="12" w15:restartNumberingAfterBreak="0">
    <w:nsid w:val="38181E4F"/>
    <w:multiLevelType w:val="hybridMultilevel"/>
    <w:tmpl w:val="F73A229E"/>
    <w:lvl w:ilvl="0" w:tplc="BAA6EB4A">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3" w15:restartNumberingAfterBreak="0">
    <w:nsid w:val="38AA15B3"/>
    <w:multiLevelType w:val="hybridMultilevel"/>
    <w:tmpl w:val="82B86ED6"/>
    <w:lvl w:ilvl="0" w:tplc="0CC4376C">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4" w15:restartNumberingAfterBreak="0">
    <w:nsid w:val="48034EAF"/>
    <w:multiLevelType w:val="hybridMultilevel"/>
    <w:tmpl w:val="404612D6"/>
    <w:lvl w:ilvl="0" w:tplc="D12AE7E8">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5" w15:restartNumberingAfterBreak="0">
    <w:nsid w:val="4AB82F8E"/>
    <w:multiLevelType w:val="hybridMultilevel"/>
    <w:tmpl w:val="ED709282"/>
    <w:lvl w:ilvl="0" w:tplc="2638A3DE">
      <w:start w:val="1"/>
      <w:numFmt w:val="lowerLetter"/>
      <w:lvlText w:val="%1)"/>
      <w:lvlJc w:val="left"/>
      <w:pPr>
        <w:ind w:left="2628" w:hanging="36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16" w15:restartNumberingAfterBreak="0">
    <w:nsid w:val="4C371A58"/>
    <w:multiLevelType w:val="hybridMultilevel"/>
    <w:tmpl w:val="ED8CB8EE"/>
    <w:lvl w:ilvl="0" w:tplc="BBD0AF98">
      <w:start w:val="1"/>
      <w:numFmt w:val="decimal"/>
      <w:lvlText w:val="%1)"/>
      <w:lvlJc w:val="left"/>
      <w:pPr>
        <w:ind w:left="956" w:hanging="360"/>
      </w:pPr>
      <w:rPr>
        <w:rFonts w:hint="default"/>
      </w:rPr>
    </w:lvl>
    <w:lvl w:ilvl="1" w:tplc="04160019" w:tentative="1">
      <w:start w:val="1"/>
      <w:numFmt w:val="lowerLetter"/>
      <w:lvlText w:val="%2."/>
      <w:lvlJc w:val="left"/>
      <w:pPr>
        <w:ind w:left="1676" w:hanging="360"/>
      </w:pPr>
    </w:lvl>
    <w:lvl w:ilvl="2" w:tplc="0416001B" w:tentative="1">
      <w:start w:val="1"/>
      <w:numFmt w:val="lowerRoman"/>
      <w:lvlText w:val="%3."/>
      <w:lvlJc w:val="right"/>
      <w:pPr>
        <w:ind w:left="2396" w:hanging="180"/>
      </w:pPr>
    </w:lvl>
    <w:lvl w:ilvl="3" w:tplc="0416000F" w:tentative="1">
      <w:start w:val="1"/>
      <w:numFmt w:val="decimal"/>
      <w:lvlText w:val="%4."/>
      <w:lvlJc w:val="left"/>
      <w:pPr>
        <w:ind w:left="3116" w:hanging="360"/>
      </w:pPr>
    </w:lvl>
    <w:lvl w:ilvl="4" w:tplc="04160019" w:tentative="1">
      <w:start w:val="1"/>
      <w:numFmt w:val="lowerLetter"/>
      <w:lvlText w:val="%5."/>
      <w:lvlJc w:val="left"/>
      <w:pPr>
        <w:ind w:left="3836" w:hanging="360"/>
      </w:pPr>
    </w:lvl>
    <w:lvl w:ilvl="5" w:tplc="0416001B" w:tentative="1">
      <w:start w:val="1"/>
      <w:numFmt w:val="lowerRoman"/>
      <w:lvlText w:val="%6."/>
      <w:lvlJc w:val="right"/>
      <w:pPr>
        <w:ind w:left="4556" w:hanging="180"/>
      </w:pPr>
    </w:lvl>
    <w:lvl w:ilvl="6" w:tplc="0416000F" w:tentative="1">
      <w:start w:val="1"/>
      <w:numFmt w:val="decimal"/>
      <w:lvlText w:val="%7."/>
      <w:lvlJc w:val="left"/>
      <w:pPr>
        <w:ind w:left="5276" w:hanging="360"/>
      </w:pPr>
    </w:lvl>
    <w:lvl w:ilvl="7" w:tplc="04160019" w:tentative="1">
      <w:start w:val="1"/>
      <w:numFmt w:val="lowerLetter"/>
      <w:lvlText w:val="%8."/>
      <w:lvlJc w:val="left"/>
      <w:pPr>
        <w:ind w:left="5996" w:hanging="360"/>
      </w:pPr>
    </w:lvl>
    <w:lvl w:ilvl="8" w:tplc="0416001B" w:tentative="1">
      <w:start w:val="1"/>
      <w:numFmt w:val="lowerRoman"/>
      <w:lvlText w:val="%9."/>
      <w:lvlJc w:val="right"/>
      <w:pPr>
        <w:ind w:left="6716" w:hanging="180"/>
      </w:pPr>
    </w:lvl>
  </w:abstractNum>
  <w:abstractNum w:abstractNumId="17" w15:restartNumberingAfterBreak="0">
    <w:nsid w:val="4FFF2EF0"/>
    <w:multiLevelType w:val="hybridMultilevel"/>
    <w:tmpl w:val="E5523772"/>
    <w:lvl w:ilvl="0" w:tplc="04160017">
      <w:start w:val="1"/>
      <w:numFmt w:val="lowerLetter"/>
      <w:lvlText w:val="%1)"/>
      <w:lvlJc w:val="left"/>
      <w:pPr>
        <w:ind w:left="2160" w:hanging="360"/>
      </w:p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18" w15:restartNumberingAfterBreak="0">
    <w:nsid w:val="528862DD"/>
    <w:multiLevelType w:val="hybridMultilevel"/>
    <w:tmpl w:val="E1E80AA0"/>
    <w:lvl w:ilvl="0" w:tplc="E3640958">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9" w15:restartNumberingAfterBreak="0">
    <w:nsid w:val="61890C5C"/>
    <w:multiLevelType w:val="hybridMultilevel"/>
    <w:tmpl w:val="28CA4066"/>
    <w:lvl w:ilvl="0" w:tplc="2946F038">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0" w15:restartNumberingAfterBreak="0">
    <w:nsid w:val="63E52047"/>
    <w:multiLevelType w:val="multilevel"/>
    <w:tmpl w:val="E312E3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2F724F"/>
    <w:multiLevelType w:val="hybridMultilevel"/>
    <w:tmpl w:val="BA78461C"/>
    <w:lvl w:ilvl="0" w:tplc="34CA7E10">
      <w:start w:val="1"/>
      <w:numFmt w:val="upperRoman"/>
      <w:lvlText w:val="%1)"/>
      <w:lvlJc w:val="left"/>
      <w:pPr>
        <w:ind w:left="1316" w:hanging="720"/>
      </w:pPr>
      <w:rPr>
        <w:rFonts w:hint="default"/>
      </w:rPr>
    </w:lvl>
    <w:lvl w:ilvl="1" w:tplc="04160019" w:tentative="1">
      <w:start w:val="1"/>
      <w:numFmt w:val="lowerLetter"/>
      <w:lvlText w:val="%2."/>
      <w:lvlJc w:val="left"/>
      <w:pPr>
        <w:ind w:left="1676" w:hanging="360"/>
      </w:pPr>
    </w:lvl>
    <w:lvl w:ilvl="2" w:tplc="0416001B" w:tentative="1">
      <w:start w:val="1"/>
      <w:numFmt w:val="lowerRoman"/>
      <w:lvlText w:val="%3."/>
      <w:lvlJc w:val="right"/>
      <w:pPr>
        <w:ind w:left="2396" w:hanging="180"/>
      </w:pPr>
    </w:lvl>
    <w:lvl w:ilvl="3" w:tplc="0416000F" w:tentative="1">
      <w:start w:val="1"/>
      <w:numFmt w:val="decimal"/>
      <w:lvlText w:val="%4."/>
      <w:lvlJc w:val="left"/>
      <w:pPr>
        <w:ind w:left="3116" w:hanging="360"/>
      </w:pPr>
    </w:lvl>
    <w:lvl w:ilvl="4" w:tplc="04160019" w:tentative="1">
      <w:start w:val="1"/>
      <w:numFmt w:val="lowerLetter"/>
      <w:lvlText w:val="%5."/>
      <w:lvlJc w:val="left"/>
      <w:pPr>
        <w:ind w:left="3836" w:hanging="360"/>
      </w:pPr>
    </w:lvl>
    <w:lvl w:ilvl="5" w:tplc="0416001B" w:tentative="1">
      <w:start w:val="1"/>
      <w:numFmt w:val="lowerRoman"/>
      <w:lvlText w:val="%6."/>
      <w:lvlJc w:val="right"/>
      <w:pPr>
        <w:ind w:left="4556" w:hanging="180"/>
      </w:pPr>
    </w:lvl>
    <w:lvl w:ilvl="6" w:tplc="0416000F" w:tentative="1">
      <w:start w:val="1"/>
      <w:numFmt w:val="decimal"/>
      <w:lvlText w:val="%7."/>
      <w:lvlJc w:val="left"/>
      <w:pPr>
        <w:ind w:left="5276" w:hanging="360"/>
      </w:pPr>
    </w:lvl>
    <w:lvl w:ilvl="7" w:tplc="04160019" w:tentative="1">
      <w:start w:val="1"/>
      <w:numFmt w:val="lowerLetter"/>
      <w:lvlText w:val="%8."/>
      <w:lvlJc w:val="left"/>
      <w:pPr>
        <w:ind w:left="5996" w:hanging="360"/>
      </w:pPr>
    </w:lvl>
    <w:lvl w:ilvl="8" w:tplc="0416001B" w:tentative="1">
      <w:start w:val="1"/>
      <w:numFmt w:val="lowerRoman"/>
      <w:lvlText w:val="%9."/>
      <w:lvlJc w:val="right"/>
      <w:pPr>
        <w:ind w:left="6716" w:hanging="180"/>
      </w:pPr>
    </w:lvl>
  </w:abstractNum>
  <w:abstractNum w:abstractNumId="22" w15:restartNumberingAfterBreak="0">
    <w:nsid w:val="716D30AC"/>
    <w:multiLevelType w:val="hybridMultilevel"/>
    <w:tmpl w:val="ED709282"/>
    <w:lvl w:ilvl="0" w:tplc="FFFFFFFF">
      <w:start w:val="1"/>
      <w:numFmt w:val="lowerLetter"/>
      <w:lvlText w:val="%1)"/>
      <w:lvlJc w:val="left"/>
      <w:pPr>
        <w:ind w:left="2628" w:hanging="360"/>
      </w:pPr>
      <w:rPr>
        <w:rFonts w:hint="default"/>
      </w:rPr>
    </w:lvl>
    <w:lvl w:ilvl="1" w:tplc="FFFFFFFF" w:tentative="1">
      <w:start w:val="1"/>
      <w:numFmt w:val="lowerLetter"/>
      <w:lvlText w:val="%2."/>
      <w:lvlJc w:val="left"/>
      <w:pPr>
        <w:ind w:left="3348" w:hanging="360"/>
      </w:pPr>
    </w:lvl>
    <w:lvl w:ilvl="2" w:tplc="FFFFFFFF" w:tentative="1">
      <w:start w:val="1"/>
      <w:numFmt w:val="lowerRoman"/>
      <w:lvlText w:val="%3."/>
      <w:lvlJc w:val="right"/>
      <w:pPr>
        <w:ind w:left="4068" w:hanging="180"/>
      </w:pPr>
    </w:lvl>
    <w:lvl w:ilvl="3" w:tplc="FFFFFFFF" w:tentative="1">
      <w:start w:val="1"/>
      <w:numFmt w:val="decimal"/>
      <w:lvlText w:val="%4."/>
      <w:lvlJc w:val="left"/>
      <w:pPr>
        <w:ind w:left="4788" w:hanging="360"/>
      </w:pPr>
    </w:lvl>
    <w:lvl w:ilvl="4" w:tplc="FFFFFFFF" w:tentative="1">
      <w:start w:val="1"/>
      <w:numFmt w:val="lowerLetter"/>
      <w:lvlText w:val="%5."/>
      <w:lvlJc w:val="left"/>
      <w:pPr>
        <w:ind w:left="5508" w:hanging="360"/>
      </w:pPr>
    </w:lvl>
    <w:lvl w:ilvl="5" w:tplc="FFFFFFFF" w:tentative="1">
      <w:start w:val="1"/>
      <w:numFmt w:val="lowerRoman"/>
      <w:lvlText w:val="%6."/>
      <w:lvlJc w:val="right"/>
      <w:pPr>
        <w:ind w:left="6228" w:hanging="180"/>
      </w:pPr>
    </w:lvl>
    <w:lvl w:ilvl="6" w:tplc="FFFFFFFF" w:tentative="1">
      <w:start w:val="1"/>
      <w:numFmt w:val="decimal"/>
      <w:lvlText w:val="%7."/>
      <w:lvlJc w:val="left"/>
      <w:pPr>
        <w:ind w:left="6948" w:hanging="360"/>
      </w:pPr>
    </w:lvl>
    <w:lvl w:ilvl="7" w:tplc="FFFFFFFF" w:tentative="1">
      <w:start w:val="1"/>
      <w:numFmt w:val="lowerLetter"/>
      <w:lvlText w:val="%8."/>
      <w:lvlJc w:val="left"/>
      <w:pPr>
        <w:ind w:left="7668" w:hanging="360"/>
      </w:pPr>
    </w:lvl>
    <w:lvl w:ilvl="8" w:tplc="FFFFFFFF" w:tentative="1">
      <w:start w:val="1"/>
      <w:numFmt w:val="lowerRoman"/>
      <w:lvlText w:val="%9."/>
      <w:lvlJc w:val="right"/>
      <w:pPr>
        <w:ind w:left="8388" w:hanging="180"/>
      </w:pPr>
    </w:lvl>
  </w:abstractNum>
  <w:abstractNum w:abstractNumId="23" w15:restartNumberingAfterBreak="0">
    <w:nsid w:val="7C407DAA"/>
    <w:multiLevelType w:val="hybridMultilevel"/>
    <w:tmpl w:val="72A4856C"/>
    <w:lvl w:ilvl="0" w:tplc="04160001">
      <w:start w:val="1"/>
      <w:numFmt w:val="bullet"/>
      <w:lvlText w:val=""/>
      <w:lvlJc w:val="left"/>
      <w:pPr>
        <w:ind w:left="1724" w:hanging="360"/>
      </w:pPr>
      <w:rPr>
        <w:rFonts w:ascii="Symbol" w:hAnsi="Symbol" w:cs="Symbol" w:hint="default"/>
      </w:rPr>
    </w:lvl>
    <w:lvl w:ilvl="1" w:tplc="04160003">
      <w:start w:val="1"/>
      <w:numFmt w:val="bullet"/>
      <w:lvlText w:val="o"/>
      <w:lvlJc w:val="left"/>
      <w:pPr>
        <w:ind w:left="2444" w:hanging="360"/>
      </w:pPr>
      <w:rPr>
        <w:rFonts w:ascii="Courier New" w:hAnsi="Courier New" w:cs="Courier New" w:hint="default"/>
      </w:rPr>
    </w:lvl>
    <w:lvl w:ilvl="2" w:tplc="04160005">
      <w:start w:val="1"/>
      <w:numFmt w:val="bullet"/>
      <w:lvlText w:val=""/>
      <w:lvlJc w:val="left"/>
      <w:pPr>
        <w:ind w:left="3164" w:hanging="360"/>
      </w:pPr>
      <w:rPr>
        <w:rFonts w:ascii="Wingdings" w:hAnsi="Wingdings" w:cs="Wingdings" w:hint="default"/>
      </w:rPr>
    </w:lvl>
    <w:lvl w:ilvl="3" w:tplc="04160001">
      <w:start w:val="1"/>
      <w:numFmt w:val="bullet"/>
      <w:lvlText w:val=""/>
      <w:lvlJc w:val="left"/>
      <w:pPr>
        <w:ind w:left="3884" w:hanging="360"/>
      </w:pPr>
      <w:rPr>
        <w:rFonts w:ascii="Symbol" w:hAnsi="Symbol" w:cs="Symbol" w:hint="default"/>
      </w:rPr>
    </w:lvl>
    <w:lvl w:ilvl="4" w:tplc="04160003">
      <w:start w:val="1"/>
      <w:numFmt w:val="bullet"/>
      <w:lvlText w:val="o"/>
      <w:lvlJc w:val="left"/>
      <w:pPr>
        <w:ind w:left="4604" w:hanging="360"/>
      </w:pPr>
      <w:rPr>
        <w:rFonts w:ascii="Courier New" w:hAnsi="Courier New" w:cs="Courier New" w:hint="default"/>
      </w:rPr>
    </w:lvl>
    <w:lvl w:ilvl="5" w:tplc="04160005">
      <w:start w:val="1"/>
      <w:numFmt w:val="bullet"/>
      <w:lvlText w:val=""/>
      <w:lvlJc w:val="left"/>
      <w:pPr>
        <w:ind w:left="5324" w:hanging="360"/>
      </w:pPr>
      <w:rPr>
        <w:rFonts w:ascii="Wingdings" w:hAnsi="Wingdings" w:cs="Wingdings" w:hint="default"/>
      </w:rPr>
    </w:lvl>
    <w:lvl w:ilvl="6" w:tplc="04160001">
      <w:start w:val="1"/>
      <w:numFmt w:val="bullet"/>
      <w:lvlText w:val=""/>
      <w:lvlJc w:val="left"/>
      <w:pPr>
        <w:ind w:left="6044" w:hanging="360"/>
      </w:pPr>
      <w:rPr>
        <w:rFonts w:ascii="Symbol" w:hAnsi="Symbol" w:cs="Symbol" w:hint="default"/>
      </w:rPr>
    </w:lvl>
    <w:lvl w:ilvl="7" w:tplc="04160003">
      <w:start w:val="1"/>
      <w:numFmt w:val="bullet"/>
      <w:lvlText w:val="o"/>
      <w:lvlJc w:val="left"/>
      <w:pPr>
        <w:ind w:left="6764" w:hanging="360"/>
      </w:pPr>
      <w:rPr>
        <w:rFonts w:ascii="Courier New" w:hAnsi="Courier New" w:cs="Courier New" w:hint="default"/>
      </w:rPr>
    </w:lvl>
    <w:lvl w:ilvl="8" w:tplc="04160005">
      <w:start w:val="1"/>
      <w:numFmt w:val="bullet"/>
      <w:lvlText w:val=""/>
      <w:lvlJc w:val="left"/>
      <w:pPr>
        <w:ind w:left="7484" w:hanging="360"/>
      </w:pPr>
      <w:rPr>
        <w:rFonts w:ascii="Wingdings" w:hAnsi="Wingdings" w:cs="Wingdings" w:hint="default"/>
      </w:rPr>
    </w:lvl>
  </w:abstractNum>
  <w:num w:numId="1" w16cid:durableId="1291938829">
    <w:abstractNumId w:val="8"/>
  </w:num>
  <w:num w:numId="2" w16cid:durableId="771899462">
    <w:abstractNumId w:val="10"/>
  </w:num>
  <w:num w:numId="3" w16cid:durableId="885021356">
    <w:abstractNumId w:val="9"/>
  </w:num>
  <w:num w:numId="4" w16cid:durableId="1845822957">
    <w:abstractNumId w:val="2"/>
  </w:num>
  <w:num w:numId="5" w16cid:durableId="2095734889">
    <w:abstractNumId w:val="0"/>
  </w:num>
  <w:num w:numId="6" w16cid:durableId="803157944">
    <w:abstractNumId w:val="15"/>
  </w:num>
  <w:num w:numId="7" w16cid:durableId="755058220">
    <w:abstractNumId w:val="22"/>
  </w:num>
  <w:num w:numId="8" w16cid:durableId="1906141444">
    <w:abstractNumId w:val="17"/>
  </w:num>
  <w:num w:numId="9" w16cid:durableId="1097142117">
    <w:abstractNumId w:val="23"/>
  </w:num>
  <w:num w:numId="10" w16cid:durableId="2010281219">
    <w:abstractNumId w:val="13"/>
  </w:num>
  <w:num w:numId="11" w16cid:durableId="1941572181">
    <w:abstractNumId w:val="19"/>
  </w:num>
  <w:num w:numId="12" w16cid:durableId="1387100345">
    <w:abstractNumId w:val="6"/>
  </w:num>
  <w:num w:numId="13" w16cid:durableId="1782724690">
    <w:abstractNumId w:val="4"/>
  </w:num>
  <w:num w:numId="14" w16cid:durableId="1853105721">
    <w:abstractNumId w:val="18"/>
  </w:num>
  <w:num w:numId="15" w16cid:durableId="1085570688">
    <w:abstractNumId w:val="14"/>
  </w:num>
  <w:num w:numId="16" w16cid:durableId="1432314663">
    <w:abstractNumId w:val="5"/>
  </w:num>
  <w:num w:numId="17" w16cid:durableId="1502740854">
    <w:abstractNumId w:val="7"/>
  </w:num>
  <w:num w:numId="18" w16cid:durableId="1481119037">
    <w:abstractNumId w:val="12"/>
  </w:num>
  <w:num w:numId="19" w16cid:durableId="1688676040">
    <w:abstractNumId w:val="1"/>
  </w:num>
  <w:num w:numId="20" w16cid:durableId="131559257">
    <w:abstractNumId w:val="16"/>
  </w:num>
  <w:num w:numId="21" w16cid:durableId="1912347079">
    <w:abstractNumId w:val="11"/>
  </w:num>
  <w:num w:numId="22" w16cid:durableId="1459378613">
    <w:abstractNumId w:val="3"/>
  </w:num>
  <w:num w:numId="23" w16cid:durableId="1301958747">
    <w:abstractNumId w:val="20"/>
  </w:num>
  <w:num w:numId="24" w16cid:durableId="1924798555">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D5E"/>
    <w:rsid w:val="00000A4F"/>
    <w:rsid w:val="00000FCC"/>
    <w:rsid w:val="00001EF4"/>
    <w:rsid w:val="000020B2"/>
    <w:rsid w:val="00002791"/>
    <w:rsid w:val="000034ED"/>
    <w:rsid w:val="00003B3B"/>
    <w:rsid w:val="00004973"/>
    <w:rsid w:val="00005DA8"/>
    <w:rsid w:val="00006300"/>
    <w:rsid w:val="0000702D"/>
    <w:rsid w:val="00011497"/>
    <w:rsid w:val="000126DA"/>
    <w:rsid w:val="000137E9"/>
    <w:rsid w:val="00014D34"/>
    <w:rsid w:val="000169A1"/>
    <w:rsid w:val="00020DE0"/>
    <w:rsid w:val="000212AF"/>
    <w:rsid w:val="0002143C"/>
    <w:rsid w:val="000219E1"/>
    <w:rsid w:val="00021C16"/>
    <w:rsid w:val="00021EB3"/>
    <w:rsid w:val="00023291"/>
    <w:rsid w:val="0002484E"/>
    <w:rsid w:val="00025308"/>
    <w:rsid w:val="000263A4"/>
    <w:rsid w:val="00026991"/>
    <w:rsid w:val="00027CAC"/>
    <w:rsid w:val="0003344D"/>
    <w:rsid w:val="00033BD0"/>
    <w:rsid w:val="00037DA5"/>
    <w:rsid w:val="00037F83"/>
    <w:rsid w:val="000424DD"/>
    <w:rsid w:val="000453CF"/>
    <w:rsid w:val="000468D8"/>
    <w:rsid w:val="000477DA"/>
    <w:rsid w:val="00047C7B"/>
    <w:rsid w:val="00053AEE"/>
    <w:rsid w:val="00055ACC"/>
    <w:rsid w:val="00056B79"/>
    <w:rsid w:val="0005728A"/>
    <w:rsid w:val="000607E0"/>
    <w:rsid w:val="000627AB"/>
    <w:rsid w:val="0006385E"/>
    <w:rsid w:val="00064F48"/>
    <w:rsid w:val="000652E0"/>
    <w:rsid w:val="000665D5"/>
    <w:rsid w:val="00066A34"/>
    <w:rsid w:val="000670F3"/>
    <w:rsid w:val="00070C9B"/>
    <w:rsid w:val="00070EE3"/>
    <w:rsid w:val="00071A93"/>
    <w:rsid w:val="00072DA4"/>
    <w:rsid w:val="0007381D"/>
    <w:rsid w:val="00083A8D"/>
    <w:rsid w:val="000853A7"/>
    <w:rsid w:val="00087E7E"/>
    <w:rsid w:val="00090831"/>
    <w:rsid w:val="00090F2D"/>
    <w:rsid w:val="0009253A"/>
    <w:rsid w:val="00093581"/>
    <w:rsid w:val="00094376"/>
    <w:rsid w:val="00096D63"/>
    <w:rsid w:val="00097B9A"/>
    <w:rsid w:val="00097B9E"/>
    <w:rsid w:val="00097C59"/>
    <w:rsid w:val="000A1A79"/>
    <w:rsid w:val="000A1BB9"/>
    <w:rsid w:val="000A1C6C"/>
    <w:rsid w:val="000A2CA1"/>
    <w:rsid w:val="000A35A5"/>
    <w:rsid w:val="000A3FD5"/>
    <w:rsid w:val="000A7503"/>
    <w:rsid w:val="000B0DA9"/>
    <w:rsid w:val="000B1148"/>
    <w:rsid w:val="000B1A1B"/>
    <w:rsid w:val="000B1C67"/>
    <w:rsid w:val="000B2D3D"/>
    <w:rsid w:val="000B392C"/>
    <w:rsid w:val="000B4579"/>
    <w:rsid w:val="000B50A7"/>
    <w:rsid w:val="000B59B9"/>
    <w:rsid w:val="000B6DFC"/>
    <w:rsid w:val="000B71A7"/>
    <w:rsid w:val="000C0A86"/>
    <w:rsid w:val="000C3EBA"/>
    <w:rsid w:val="000C44C7"/>
    <w:rsid w:val="000C4B43"/>
    <w:rsid w:val="000C5622"/>
    <w:rsid w:val="000C706D"/>
    <w:rsid w:val="000C7951"/>
    <w:rsid w:val="000C7DBC"/>
    <w:rsid w:val="000D0DAF"/>
    <w:rsid w:val="000D1B60"/>
    <w:rsid w:val="000D231A"/>
    <w:rsid w:val="000D3B27"/>
    <w:rsid w:val="000D478B"/>
    <w:rsid w:val="000D512C"/>
    <w:rsid w:val="000E3599"/>
    <w:rsid w:val="000E4804"/>
    <w:rsid w:val="000E6B10"/>
    <w:rsid w:val="000E7C5C"/>
    <w:rsid w:val="000F0BE7"/>
    <w:rsid w:val="000F3F04"/>
    <w:rsid w:val="000F458C"/>
    <w:rsid w:val="000F498F"/>
    <w:rsid w:val="000F7797"/>
    <w:rsid w:val="00100262"/>
    <w:rsid w:val="0010036D"/>
    <w:rsid w:val="00100AEC"/>
    <w:rsid w:val="00102299"/>
    <w:rsid w:val="001023D8"/>
    <w:rsid w:val="0010404D"/>
    <w:rsid w:val="00106483"/>
    <w:rsid w:val="0010773D"/>
    <w:rsid w:val="001116DA"/>
    <w:rsid w:val="0011171F"/>
    <w:rsid w:val="00112764"/>
    <w:rsid w:val="00114696"/>
    <w:rsid w:val="00114881"/>
    <w:rsid w:val="00115AD4"/>
    <w:rsid w:val="001162A0"/>
    <w:rsid w:val="00116958"/>
    <w:rsid w:val="0011777B"/>
    <w:rsid w:val="00117BBF"/>
    <w:rsid w:val="00117EB9"/>
    <w:rsid w:val="00117EC2"/>
    <w:rsid w:val="00117F7E"/>
    <w:rsid w:val="00121005"/>
    <w:rsid w:val="00121CC2"/>
    <w:rsid w:val="00121F6B"/>
    <w:rsid w:val="001229E9"/>
    <w:rsid w:val="00127BF5"/>
    <w:rsid w:val="00130D04"/>
    <w:rsid w:val="0013457B"/>
    <w:rsid w:val="00135A72"/>
    <w:rsid w:val="00136A50"/>
    <w:rsid w:val="0013700E"/>
    <w:rsid w:val="0014054A"/>
    <w:rsid w:val="00140CAD"/>
    <w:rsid w:val="001412DF"/>
    <w:rsid w:val="00143919"/>
    <w:rsid w:val="00145761"/>
    <w:rsid w:val="00146176"/>
    <w:rsid w:val="00146509"/>
    <w:rsid w:val="001467FB"/>
    <w:rsid w:val="00147A26"/>
    <w:rsid w:val="00150968"/>
    <w:rsid w:val="00150D3C"/>
    <w:rsid w:val="001510D9"/>
    <w:rsid w:val="00152B20"/>
    <w:rsid w:val="00154C9D"/>
    <w:rsid w:val="001557BF"/>
    <w:rsid w:val="00155C57"/>
    <w:rsid w:val="00155FED"/>
    <w:rsid w:val="001627A9"/>
    <w:rsid w:val="00163DCB"/>
    <w:rsid w:val="00165058"/>
    <w:rsid w:val="00167607"/>
    <w:rsid w:val="001676AE"/>
    <w:rsid w:val="00172BED"/>
    <w:rsid w:val="00174ADB"/>
    <w:rsid w:val="00175CAE"/>
    <w:rsid w:val="001767AE"/>
    <w:rsid w:val="001768AF"/>
    <w:rsid w:val="00177F99"/>
    <w:rsid w:val="00180744"/>
    <w:rsid w:val="001812AB"/>
    <w:rsid w:val="0018195C"/>
    <w:rsid w:val="001821B2"/>
    <w:rsid w:val="00183158"/>
    <w:rsid w:val="00183F98"/>
    <w:rsid w:val="00184172"/>
    <w:rsid w:val="001841C5"/>
    <w:rsid w:val="0018610C"/>
    <w:rsid w:val="00191391"/>
    <w:rsid w:val="001915BB"/>
    <w:rsid w:val="00192130"/>
    <w:rsid w:val="0019273D"/>
    <w:rsid w:val="0019540B"/>
    <w:rsid w:val="00195CAA"/>
    <w:rsid w:val="001963AA"/>
    <w:rsid w:val="001A1AA9"/>
    <w:rsid w:val="001A3388"/>
    <w:rsid w:val="001A3AD1"/>
    <w:rsid w:val="001A4894"/>
    <w:rsid w:val="001A6FC7"/>
    <w:rsid w:val="001B01A3"/>
    <w:rsid w:val="001B03B7"/>
    <w:rsid w:val="001B2D5B"/>
    <w:rsid w:val="001B537B"/>
    <w:rsid w:val="001B6582"/>
    <w:rsid w:val="001C0C32"/>
    <w:rsid w:val="001C2428"/>
    <w:rsid w:val="001C4B1F"/>
    <w:rsid w:val="001C6615"/>
    <w:rsid w:val="001D4CC4"/>
    <w:rsid w:val="001D6147"/>
    <w:rsid w:val="001E1D78"/>
    <w:rsid w:val="001E3068"/>
    <w:rsid w:val="001E384F"/>
    <w:rsid w:val="001E38E7"/>
    <w:rsid w:val="001E422E"/>
    <w:rsid w:val="001E4876"/>
    <w:rsid w:val="001E48AB"/>
    <w:rsid w:val="001E6A8D"/>
    <w:rsid w:val="001E72AC"/>
    <w:rsid w:val="001E73E4"/>
    <w:rsid w:val="001F0503"/>
    <w:rsid w:val="001F10CC"/>
    <w:rsid w:val="001F2A7D"/>
    <w:rsid w:val="001F2BF2"/>
    <w:rsid w:val="001F2E9E"/>
    <w:rsid w:val="001F3188"/>
    <w:rsid w:val="001F583D"/>
    <w:rsid w:val="001F63CE"/>
    <w:rsid w:val="00200ABF"/>
    <w:rsid w:val="002025A0"/>
    <w:rsid w:val="0020306A"/>
    <w:rsid w:val="00204028"/>
    <w:rsid w:val="0020554E"/>
    <w:rsid w:val="0021018F"/>
    <w:rsid w:val="00211FE4"/>
    <w:rsid w:val="00213AD4"/>
    <w:rsid w:val="00213C72"/>
    <w:rsid w:val="00214C5A"/>
    <w:rsid w:val="00216CDE"/>
    <w:rsid w:val="00216D17"/>
    <w:rsid w:val="00231E3A"/>
    <w:rsid w:val="0023278A"/>
    <w:rsid w:val="002338BA"/>
    <w:rsid w:val="00233B50"/>
    <w:rsid w:val="00233FB0"/>
    <w:rsid w:val="002344C9"/>
    <w:rsid w:val="00234917"/>
    <w:rsid w:val="0024509A"/>
    <w:rsid w:val="002474FB"/>
    <w:rsid w:val="00251212"/>
    <w:rsid w:val="00253093"/>
    <w:rsid w:val="00253FF3"/>
    <w:rsid w:val="00254CC1"/>
    <w:rsid w:val="002551EF"/>
    <w:rsid w:val="002607FE"/>
    <w:rsid w:val="00262A51"/>
    <w:rsid w:val="00263C53"/>
    <w:rsid w:val="002652F8"/>
    <w:rsid w:val="00266B88"/>
    <w:rsid w:val="00267657"/>
    <w:rsid w:val="00267E42"/>
    <w:rsid w:val="0027155B"/>
    <w:rsid w:val="002718D9"/>
    <w:rsid w:val="0027325B"/>
    <w:rsid w:val="00273F4D"/>
    <w:rsid w:val="00274806"/>
    <w:rsid w:val="00275845"/>
    <w:rsid w:val="002772E1"/>
    <w:rsid w:val="00282158"/>
    <w:rsid w:val="00283D04"/>
    <w:rsid w:val="00283DCC"/>
    <w:rsid w:val="0028585B"/>
    <w:rsid w:val="002876CF"/>
    <w:rsid w:val="00290373"/>
    <w:rsid w:val="00290CEA"/>
    <w:rsid w:val="00290DAA"/>
    <w:rsid w:val="00292E4A"/>
    <w:rsid w:val="0029480D"/>
    <w:rsid w:val="002A07F4"/>
    <w:rsid w:val="002A1878"/>
    <w:rsid w:val="002A26CD"/>
    <w:rsid w:val="002A2777"/>
    <w:rsid w:val="002A5ACF"/>
    <w:rsid w:val="002A6CFB"/>
    <w:rsid w:val="002A6FFB"/>
    <w:rsid w:val="002A7366"/>
    <w:rsid w:val="002B042F"/>
    <w:rsid w:val="002B0FEB"/>
    <w:rsid w:val="002B25B6"/>
    <w:rsid w:val="002B2931"/>
    <w:rsid w:val="002B2B80"/>
    <w:rsid w:val="002B35FB"/>
    <w:rsid w:val="002B594D"/>
    <w:rsid w:val="002B6D52"/>
    <w:rsid w:val="002B771D"/>
    <w:rsid w:val="002C0976"/>
    <w:rsid w:val="002C236C"/>
    <w:rsid w:val="002C2790"/>
    <w:rsid w:val="002C3A18"/>
    <w:rsid w:val="002C65DB"/>
    <w:rsid w:val="002D0BBB"/>
    <w:rsid w:val="002D16B7"/>
    <w:rsid w:val="002D29C3"/>
    <w:rsid w:val="002D41EE"/>
    <w:rsid w:val="002D52D3"/>
    <w:rsid w:val="002D65CF"/>
    <w:rsid w:val="002D66F5"/>
    <w:rsid w:val="002D7EDA"/>
    <w:rsid w:val="002E13EA"/>
    <w:rsid w:val="002E3A79"/>
    <w:rsid w:val="002E46A9"/>
    <w:rsid w:val="002E7D38"/>
    <w:rsid w:val="002F07DB"/>
    <w:rsid w:val="002F2904"/>
    <w:rsid w:val="002F2C20"/>
    <w:rsid w:val="002F4322"/>
    <w:rsid w:val="002F4949"/>
    <w:rsid w:val="002F65C1"/>
    <w:rsid w:val="002F7AFA"/>
    <w:rsid w:val="002F7FC3"/>
    <w:rsid w:val="0030166E"/>
    <w:rsid w:val="00303043"/>
    <w:rsid w:val="00304062"/>
    <w:rsid w:val="00307B5B"/>
    <w:rsid w:val="003107C3"/>
    <w:rsid w:val="003109B3"/>
    <w:rsid w:val="00313D8C"/>
    <w:rsid w:val="003142B3"/>
    <w:rsid w:val="00317F81"/>
    <w:rsid w:val="003203F1"/>
    <w:rsid w:val="00320C8F"/>
    <w:rsid w:val="00321645"/>
    <w:rsid w:val="00321992"/>
    <w:rsid w:val="00322A43"/>
    <w:rsid w:val="003237AB"/>
    <w:rsid w:val="003237D0"/>
    <w:rsid w:val="00323F13"/>
    <w:rsid w:val="00325C26"/>
    <w:rsid w:val="00326CFC"/>
    <w:rsid w:val="0033136D"/>
    <w:rsid w:val="00332733"/>
    <w:rsid w:val="00332C0A"/>
    <w:rsid w:val="00337C40"/>
    <w:rsid w:val="00341D11"/>
    <w:rsid w:val="003430F4"/>
    <w:rsid w:val="00343734"/>
    <w:rsid w:val="00344386"/>
    <w:rsid w:val="00345BDE"/>
    <w:rsid w:val="0034679C"/>
    <w:rsid w:val="00347140"/>
    <w:rsid w:val="00347888"/>
    <w:rsid w:val="00347D92"/>
    <w:rsid w:val="0035022B"/>
    <w:rsid w:val="003526C6"/>
    <w:rsid w:val="00352A88"/>
    <w:rsid w:val="0035321E"/>
    <w:rsid w:val="00353C51"/>
    <w:rsid w:val="00354772"/>
    <w:rsid w:val="00356C3D"/>
    <w:rsid w:val="00357DE1"/>
    <w:rsid w:val="0036597A"/>
    <w:rsid w:val="00367FAD"/>
    <w:rsid w:val="0037060B"/>
    <w:rsid w:val="00371634"/>
    <w:rsid w:val="003722EF"/>
    <w:rsid w:val="00376212"/>
    <w:rsid w:val="00377F0E"/>
    <w:rsid w:val="00380601"/>
    <w:rsid w:val="00381119"/>
    <w:rsid w:val="00386B80"/>
    <w:rsid w:val="00387366"/>
    <w:rsid w:val="003901F2"/>
    <w:rsid w:val="00391297"/>
    <w:rsid w:val="00391F9D"/>
    <w:rsid w:val="00396F87"/>
    <w:rsid w:val="003971C8"/>
    <w:rsid w:val="003A1B17"/>
    <w:rsid w:val="003A42DB"/>
    <w:rsid w:val="003A43EC"/>
    <w:rsid w:val="003A6E91"/>
    <w:rsid w:val="003A772A"/>
    <w:rsid w:val="003B0BD9"/>
    <w:rsid w:val="003B1FDE"/>
    <w:rsid w:val="003B2296"/>
    <w:rsid w:val="003B2AA9"/>
    <w:rsid w:val="003B2DD1"/>
    <w:rsid w:val="003B2E21"/>
    <w:rsid w:val="003C00E8"/>
    <w:rsid w:val="003C0D48"/>
    <w:rsid w:val="003C320E"/>
    <w:rsid w:val="003C713D"/>
    <w:rsid w:val="003C790D"/>
    <w:rsid w:val="003D15E2"/>
    <w:rsid w:val="003D379D"/>
    <w:rsid w:val="003D4F2F"/>
    <w:rsid w:val="003D50B6"/>
    <w:rsid w:val="003E1137"/>
    <w:rsid w:val="003E383E"/>
    <w:rsid w:val="003E6632"/>
    <w:rsid w:val="003E6FF8"/>
    <w:rsid w:val="003F143E"/>
    <w:rsid w:val="003F1787"/>
    <w:rsid w:val="003F30DF"/>
    <w:rsid w:val="003F6F7A"/>
    <w:rsid w:val="0040046A"/>
    <w:rsid w:val="00403D8E"/>
    <w:rsid w:val="00404EA3"/>
    <w:rsid w:val="00405B94"/>
    <w:rsid w:val="00410CC6"/>
    <w:rsid w:val="00411249"/>
    <w:rsid w:val="00411945"/>
    <w:rsid w:val="004121C1"/>
    <w:rsid w:val="00413565"/>
    <w:rsid w:val="00414EE5"/>
    <w:rsid w:val="0041537C"/>
    <w:rsid w:val="00416E47"/>
    <w:rsid w:val="004176D6"/>
    <w:rsid w:val="00420D38"/>
    <w:rsid w:val="00422230"/>
    <w:rsid w:val="00422FE7"/>
    <w:rsid w:val="00425AF3"/>
    <w:rsid w:val="00427AD4"/>
    <w:rsid w:val="0043009B"/>
    <w:rsid w:val="00430906"/>
    <w:rsid w:val="004318CF"/>
    <w:rsid w:val="004323D8"/>
    <w:rsid w:val="004328CE"/>
    <w:rsid w:val="004337BE"/>
    <w:rsid w:val="0043464E"/>
    <w:rsid w:val="004372CE"/>
    <w:rsid w:val="00440376"/>
    <w:rsid w:val="004404B3"/>
    <w:rsid w:val="00440F1C"/>
    <w:rsid w:val="00441D8F"/>
    <w:rsid w:val="0044349E"/>
    <w:rsid w:val="0044382F"/>
    <w:rsid w:val="004471D1"/>
    <w:rsid w:val="00447230"/>
    <w:rsid w:val="00451CF6"/>
    <w:rsid w:val="00452663"/>
    <w:rsid w:val="00452B4F"/>
    <w:rsid w:val="00454337"/>
    <w:rsid w:val="00455501"/>
    <w:rsid w:val="004556F1"/>
    <w:rsid w:val="00455F0C"/>
    <w:rsid w:val="00457140"/>
    <w:rsid w:val="0046099A"/>
    <w:rsid w:val="00463066"/>
    <w:rsid w:val="00464441"/>
    <w:rsid w:val="004655AD"/>
    <w:rsid w:val="00466149"/>
    <w:rsid w:val="004661FE"/>
    <w:rsid w:val="004669B9"/>
    <w:rsid w:val="00470BB5"/>
    <w:rsid w:val="00471358"/>
    <w:rsid w:val="00472B7B"/>
    <w:rsid w:val="00472CA3"/>
    <w:rsid w:val="0047365C"/>
    <w:rsid w:val="00473ED2"/>
    <w:rsid w:val="0047405F"/>
    <w:rsid w:val="00475BE8"/>
    <w:rsid w:val="004768A6"/>
    <w:rsid w:val="00476A12"/>
    <w:rsid w:val="00476EA7"/>
    <w:rsid w:val="00481226"/>
    <w:rsid w:val="004832BE"/>
    <w:rsid w:val="00483D8A"/>
    <w:rsid w:val="00484570"/>
    <w:rsid w:val="004847CA"/>
    <w:rsid w:val="00485348"/>
    <w:rsid w:val="00485A20"/>
    <w:rsid w:val="00491E8D"/>
    <w:rsid w:val="0049620C"/>
    <w:rsid w:val="004A073E"/>
    <w:rsid w:val="004A2859"/>
    <w:rsid w:val="004A353F"/>
    <w:rsid w:val="004A5675"/>
    <w:rsid w:val="004A69A9"/>
    <w:rsid w:val="004B06CD"/>
    <w:rsid w:val="004B486C"/>
    <w:rsid w:val="004B639C"/>
    <w:rsid w:val="004B74C3"/>
    <w:rsid w:val="004C117C"/>
    <w:rsid w:val="004C1182"/>
    <w:rsid w:val="004C482F"/>
    <w:rsid w:val="004C76C6"/>
    <w:rsid w:val="004D26E5"/>
    <w:rsid w:val="004D3D32"/>
    <w:rsid w:val="004D4B49"/>
    <w:rsid w:val="004D754B"/>
    <w:rsid w:val="004D7D7A"/>
    <w:rsid w:val="004E0CA0"/>
    <w:rsid w:val="004E2EDE"/>
    <w:rsid w:val="004E3BB1"/>
    <w:rsid w:val="004E61BC"/>
    <w:rsid w:val="004E6CC2"/>
    <w:rsid w:val="004F1A8F"/>
    <w:rsid w:val="004F232A"/>
    <w:rsid w:val="004F304F"/>
    <w:rsid w:val="004F47D4"/>
    <w:rsid w:val="004F494E"/>
    <w:rsid w:val="004F4E09"/>
    <w:rsid w:val="004F7059"/>
    <w:rsid w:val="004F70F8"/>
    <w:rsid w:val="004F7D0A"/>
    <w:rsid w:val="00501F34"/>
    <w:rsid w:val="005036FE"/>
    <w:rsid w:val="0050534E"/>
    <w:rsid w:val="00511015"/>
    <w:rsid w:val="00511694"/>
    <w:rsid w:val="0051220D"/>
    <w:rsid w:val="00512AE5"/>
    <w:rsid w:val="005166DE"/>
    <w:rsid w:val="00517880"/>
    <w:rsid w:val="005179A6"/>
    <w:rsid w:val="00517A23"/>
    <w:rsid w:val="00520175"/>
    <w:rsid w:val="00522A62"/>
    <w:rsid w:val="00523620"/>
    <w:rsid w:val="0052418A"/>
    <w:rsid w:val="005250A5"/>
    <w:rsid w:val="005255FA"/>
    <w:rsid w:val="00525DB7"/>
    <w:rsid w:val="0052646A"/>
    <w:rsid w:val="0052701A"/>
    <w:rsid w:val="00530232"/>
    <w:rsid w:val="0053168A"/>
    <w:rsid w:val="005318D9"/>
    <w:rsid w:val="00533E63"/>
    <w:rsid w:val="00534E75"/>
    <w:rsid w:val="00536EA9"/>
    <w:rsid w:val="00537ED8"/>
    <w:rsid w:val="005402D8"/>
    <w:rsid w:val="00540C45"/>
    <w:rsid w:val="00540CCB"/>
    <w:rsid w:val="00541B12"/>
    <w:rsid w:val="005423A5"/>
    <w:rsid w:val="005428F2"/>
    <w:rsid w:val="00542B15"/>
    <w:rsid w:val="00543C5C"/>
    <w:rsid w:val="00544B6D"/>
    <w:rsid w:val="005457E7"/>
    <w:rsid w:val="005507F4"/>
    <w:rsid w:val="005521E7"/>
    <w:rsid w:val="005552DE"/>
    <w:rsid w:val="00555EAD"/>
    <w:rsid w:val="005560EB"/>
    <w:rsid w:val="005573C4"/>
    <w:rsid w:val="00561178"/>
    <w:rsid w:val="00561EB6"/>
    <w:rsid w:val="00562E6B"/>
    <w:rsid w:val="005660ED"/>
    <w:rsid w:val="005668B3"/>
    <w:rsid w:val="00571780"/>
    <w:rsid w:val="00573102"/>
    <w:rsid w:val="00573197"/>
    <w:rsid w:val="00573CD8"/>
    <w:rsid w:val="00573DE4"/>
    <w:rsid w:val="00575321"/>
    <w:rsid w:val="00577DB7"/>
    <w:rsid w:val="00577F57"/>
    <w:rsid w:val="005803CA"/>
    <w:rsid w:val="00581B73"/>
    <w:rsid w:val="00583D79"/>
    <w:rsid w:val="005840BE"/>
    <w:rsid w:val="005842A8"/>
    <w:rsid w:val="00586579"/>
    <w:rsid w:val="005879A8"/>
    <w:rsid w:val="00592834"/>
    <w:rsid w:val="00592EB3"/>
    <w:rsid w:val="0059315D"/>
    <w:rsid w:val="00593340"/>
    <w:rsid w:val="005956F5"/>
    <w:rsid w:val="005A17CE"/>
    <w:rsid w:val="005A3B9B"/>
    <w:rsid w:val="005A3BF8"/>
    <w:rsid w:val="005A641F"/>
    <w:rsid w:val="005A6D1E"/>
    <w:rsid w:val="005B05C6"/>
    <w:rsid w:val="005B0F19"/>
    <w:rsid w:val="005B1FB3"/>
    <w:rsid w:val="005B25E4"/>
    <w:rsid w:val="005B3CB3"/>
    <w:rsid w:val="005C04C7"/>
    <w:rsid w:val="005C11A4"/>
    <w:rsid w:val="005C2703"/>
    <w:rsid w:val="005C43E8"/>
    <w:rsid w:val="005C481E"/>
    <w:rsid w:val="005C4D5B"/>
    <w:rsid w:val="005C5387"/>
    <w:rsid w:val="005D0942"/>
    <w:rsid w:val="005D22AB"/>
    <w:rsid w:val="005D23E4"/>
    <w:rsid w:val="005D3B87"/>
    <w:rsid w:val="005D4D7F"/>
    <w:rsid w:val="005E6FA5"/>
    <w:rsid w:val="005E715C"/>
    <w:rsid w:val="005E7D3A"/>
    <w:rsid w:val="005F08FC"/>
    <w:rsid w:val="005F2ABD"/>
    <w:rsid w:val="005F362B"/>
    <w:rsid w:val="005F3B43"/>
    <w:rsid w:val="005F52E3"/>
    <w:rsid w:val="005F5E39"/>
    <w:rsid w:val="005F65B8"/>
    <w:rsid w:val="005F7239"/>
    <w:rsid w:val="006020BC"/>
    <w:rsid w:val="00605EAB"/>
    <w:rsid w:val="00610026"/>
    <w:rsid w:val="00611D04"/>
    <w:rsid w:val="00614923"/>
    <w:rsid w:val="00615FF7"/>
    <w:rsid w:val="00616AE8"/>
    <w:rsid w:val="006173BA"/>
    <w:rsid w:val="00617D2C"/>
    <w:rsid w:val="006208B3"/>
    <w:rsid w:val="0062225F"/>
    <w:rsid w:val="00622C59"/>
    <w:rsid w:val="00624E30"/>
    <w:rsid w:val="006254B1"/>
    <w:rsid w:val="00626220"/>
    <w:rsid w:val="00626D9A"/>
    <w:rsid w:val="006270F6"/>
    <w:rsid w:val="00627578"/>
    <w:rsid w:val="0063080A"/>
    <w:rsid w:val="0063089D"/>
    <w:rsid w:val="00630959"/>
    <w:rsid w:val="00632B6B"/>
    <w:rsid w:val="00635E92"/>
    <w:rsid w:val="00635F6C"/>
    <w:rsid w:val="006366A0"/>
    <w:rsid w:val="00637080"/>
    <w:rsid w:val="00641214"/>
    <w:rsid w:val="006417F2"/>
    <w:rsid w:val="0064267B"/>
    <w:rsid w:val="00643950"/>
    <w:rsid w:val="00643C10"/>
    <w:rsid w:val="00650843"/>
    <w:rsid w:val="00650973"/>
    <w:rsid w:val="006525CE"/>
    <w:rsid w:val="00653EF0"/>
    <w:rsid w:val="00654068"/>
    <w:rsid w:val="0065448B"/>
    <w:rsid w:val="006554ED"/>
    <w:rsid w:val="00657AA9"/>
    <w:rsid w:val="006611A8"/>
    <w:rsid w:val="00661AAC"/>
    <w:rsid w:val="006623C1"/>
    <w:rsid w:val="00662A60"/>
    <w:rsid w:val="00662D3F"/>
    <w:rsid w:val="00662E99"/>
    <w:rsid w:val="00665AC0"/>
    <w:rsid w:val="00665D73"/>
    <w:rsid w:val="006675A8"/>
    <w:rsid w:val="0067348D"/>
    <w:rsid w:val="00675D7D"/>
    <w:rsid w:val="00682663"/>
    <w:rsid w:val="00690058"/>
    <w:rsid w:val="00690134"/>
    <w:rsid w:val="00692556"/>
    <w:rsid w:val="00692A0D"/>
    <w:rsid w:val="006934A3"/>
    <w:rsid w:val="00694964"/>
    <w:rsid w:val="00694C39"/>
    <w:rsid w:val="006A05D7"/>
    <w:rsid w:val="006A15E4"/>
    <w:rsid w:val="006A1732"/>
    <w:rsid w:val="006A36D9"/>
    <w:rsid w:val="006A36F8"/>
    <w:rsid w:val="006A52D4"/>
    <w:rsid w:val="006B1672"/>
    <w:rsid w:val="006B267E"/>
    <w:rsid w:val="006B4015"/>
    <w:rsid w:val="006B4921"/>
    <w:rsid w:val="006B6B06"/>
    <w:rsid w:val="006B6F35"/>
    <w:rsid w:val="006C0B33"/>
    <w:rsid w:val="006C1D6F"/>
    <w:rsid w:val="006C22F0"/>
    <w:rsid w:val="006C2884"/>
    <w:rsid w:val="006C2E1F"/>
    <w:rsid w:val="006C469D"/>
    <w:rsid w:val="006C6532"/>
    <w:rsid w:val="006D15C9"/>
    <w:rsid w:val="006D1BBD"/>
    <w:rsid w:val="006D467C"/>
    <w:rsid w:val="006D5EFE"/>
    <w:rsid w:val="006D714F"/>
    <w:rsid w:val="006D71F2"/>
    <w:rsid w:val="006D7B63"/>
    <w:rsid w:val="006D7DF9"/>
    <w:rsid w:val="006E2FA8"/>
    <w:rsid w:val="006E31A5"/>
    <w:rsid w:val="006E58FA"/>
    <w:rsid w:val="006E5FBE"/>
    <w:rsid w:val="006F06C8"/>
    <w:rsid w:val="006F0DA2"/>
    <w:rsid w:val="006F1329"/>
    <w:rsid w:val="006F17D3"/>
    <w:rsid w:val="006F18C6"/>
    <w:rsid w:val="006F260B"/>
    <w:rsid w:val="006F299E"/>
    <w:rsid w:val="006F46B5"/>
    <w:rsid w:val="006F4972"/>
    <w:rsid w:val="006F5EAB"/>
    <w:rsid w:val="00701A97"/>
    <w:rsid w:val="00702AC5"/>
    <w:rsid w:val="00703827"/>
    <w:rsid w:val="007069E7"/>
    <w:rsid w:val="00706C4B"/>
    <w:rsid w:val="00707DC4"/>
    <w:rsid w:val="00710F63"/>
    <w:rsid w:val="0071579A"/>
    <w:rsid w:val="00715DCA"/>
    <w:rsid w:val="00716FDA"/>
    <w:rsid w:val="007173A3"/>
    <w:rsid w:val="00717950"/>
    <w:rsid w:val="00720A59"/>
    <w:rsid w:val="00722943"/>
    <w:rsid w:val="00722AEB"/>
    <w:rsid w:val="00723FD7"/>
    <w:rsid w:val="00724DF3"/>
    <w:rsid w:val="007259F3"/>
    <w:rsid w:val="00733662"/>
    <w:rsid w:val="0073372A"/>
    <w:rsid w:val="0073587A"/>
    <w:rsid w:val="007413BD"/>
    <w:rsid w:val="00745815"/>
    <w:rsid w:val="00746871"/>
    <w:rsid w:val="00746B76"/>
    <w:rsid w:val="0074707F"/>
    <w:rsid w:val="00747F86"/>
    <w:rsid w:val="007551DA"/>
    <w:rsid w:val="0075526F"/>
    <w:rsid w:val="00755400"/>
    <w:rsid w:val="00760AAF"/>
    <w:rsid w:val="00760B68"/>
    <w:rsid w:val="007613EF"/>
    <w:rsid w:val="00763737"/>
    <w:rsid w:val="00765B88"/>
    <w:rsid w:val="00765CFC"/>
    <w:rsid w:val="00767193"/>
    <w:rsid w:val="007679F9"/>
    <w:rsid w:val="0077017B"/>
    <w:rsid w:val="007706A4"/>
    <w:rsid w:val="007711F7"/>
    <w:rsid w:val="007725AD"/>
    <w:rsid w:val="00772AA5"/>
    <w:rsid w:val="00775924"/>
    <w:rsid w:val="00775FE0"/>
    <w:rsid w:val="00776351"/>
    <w:rsid w:val="00776F77"/>
    <w:rsid w:val="00780200"/>
    <w:rsid w:val="00780785"/>
    <w:rsid w:val="00783806"/>
    <w:rsid w:val="007841B8"/>
    <w:rsid w:val="007855CE"/>
    <w:rsid w:val="00786BC9"/>
    <w:rsid w:val="00787247"/>
    <w:rsid w:val="00790725"/>
    <w:rsid w:val="00792CF3"/>
    <w:rsid w:val="00792E88"/>
    <w:rsid w:val="007954CE"/>
    <w:rsid w:val="00796B79"/>
    <w:rsid w:val="007A02DA"/>
    <w:rsid w:val="007A063B"/>
    <w:rsid w:val="007A0AEE"/>
    <w:rsid w:val="007A4FDD"/>
    <w:rsid w:val="007A7286"/>
    <w:rsid w:val="007A7890"/>
    <w:rsid w:val="007B040F"/>
    <w:rsid w:val="007B0580"/>
    <w:rsid w:val="007B1104"/>
    <w:rsid w:val="007B13FC"/>
    <w:rsid w:val="007B19F6"/>
    <w:rsid w:val="007B435F"/>
    <w:rsid w:val="007B48CD"/>
    <w:rsid w:val="007B630E"/>
    <w:rsid w:val="007B669C"/>
    <w:rsid w:val="007C0FE1"/>
    <w:rsid w:val="007C10FC"/>
    <w:rsid w:val="007C1F98"/>
    <w:rsid w:val="007C209C"/>
    <w:rsid w:val="007C2309"/>
    <w:rsid w:val="007C2BFE"/>
    <w:rsid w:val="007C4709"/>
    <w:rsid w:val="007C68AE"/>
    <w:rsid w:val="007D02A6"/>
    <w:rsid w:val="007D099E"/>
    <w:rsid w:val="007D39FB"/>
    <w:rsid w:val="007D638E"/>
    <w:rsid w:val="007D6998"/>
    <w:rsid w:val="007D6D34"/>
    <w:rsid w:val="007D76BE"/>
    <w:rsid w:val="007E0900"/>
    <w:rsid w:val="007E16A2"/>
    <w:rsid w:val="007E1F0E"/>
    <w:rsid w:val="007E37FA"/>
    <w:rsid w:val="007E4364"/>
    <w:rsid w:val="007E4E1D"/>
    <w:rsid w:val="007E6723"/>
    <w:rsid w:val="007E6D7D"/>
    <w:rsid w:val="007E6F7E"/>
    <w:rsid w:val="007F02C4"/>
    <w:rsid w:val="007F0FED"/>
    <w:rsid w:val="007F304F"/>
    <w:rsid w:val="007F485F"/>
    <w:rsid w:val="007F4C03"/>
    <w:rsid w:val="007F6824"/>
    <w:rsid w:val="008009E4"/>
    <w:rsid w:val="00805CD6"/>
    <w:rsid w:val="008104AE"/>
    <w:rsid w:val="00810D15"/>
    <w:rsid w:val="00811C7D"/>
    <w:rsid w:val="00811E0F"/>
    <w:rsid w:val="00811F2E"/>
    <w:rsid w:val="0081363B"/>
    <w:rsid w:val="0081475A"/>
    <w:rsid w:val="00816082"/>
    <w:rsid w:val="00816BCA"/>
    <w:rsid w:val="00816EDC"/>
    <w:rsid w:val="00817388"/>
    <w:rsid w:val="00821325"/>
    <w:rsid w:val="00825817"/>
    <w:rsid w:val="008258E8"/>
    <w:rsid w:val="008260AC"/>
    <w:rsid w:val="00826AD6"/>
    <w:rsid w:val="008276E9"/>
    <w:rsid w:val="00827D22"/>
    <w:rsid w:val="00830160"/>
    <w:rsid w:val="00830722"/>
    <w:rsid w:val="00830BFC"/>
    <w:rsid w:val="00830E11"/>
    <w:rsid w:val="008408AE"/>
    <w:rsid w:val="008425F2"/>
    <w:rsid w:val="00843508"/>
    <w:rsid w:val="008501F0"/>
    <w:rsid w:val="00850B14"/>
    <w:rsid w:val="00850D2A"/>
    <w:rsid w:val="008512D1"/>
    <w:rsid w:val="00855EF6"/>
    <w:rsid w:val="00856455"/>
    <w:rsid w:val="00857403"/>
    <w:rsid w:val="00857DB5"/>
    <w:rsid w:val="00861394"/>
    <w:rsid w:val="00862C5F"/>
    <w:rsid w:val="008637AB"/>
    <w:rsid w:val="00864499"/>
    <w:rsid w:val="00864F24"/>
    <w:rsid w:val="00865CB9"/>
    <w:rsid w:val="00867E2C"/>
    <w:rsid w:val="0087017E"/>
    <w:rsid w:val="008704A6"/>
    <w:rsid w:val="008704BC"/>
    <w:rsid w:val="0087359C"/>
    <w:rsid w:val="00874393"/>
    <w:rsid w:val="008748CD"/>
    <w:rsid w:val="00875CE0"/>
    <w:rsid w:val="00880443"/>
    <w:rsid w:val="00881063"/>
    <w:rsid w:val="00881BBA"/>
    <w:rsid w:val="00881CEF"/>
    <w:rsid w:val="0088247B"/>
    <w:rsid w:val="0088284A"/>
    <w:rsid w:val="00883842"/>
    <w:rsid w:val="0088606A"/>
    <w:rsid w:val="008865A6"/>
    <w:rsid w:val="008918D7"/>
    <w:rsid w:val="00891AC9"/>
    <w:rsid w:val="008935CC"/>
    <w:rsid w:val="008970F0"/>
    <w:rsid w:val="0089765C"/>
    <w:rsid w:val="008A032D"/>
    <w:rsid w:val="008A0337"/>
    <w:rsid w:val="008A0E5B"/>
    <w:rsid w:val="008A1CFE"/>
    <w:rsid w:val="008A260E"/>
    <w:rsid w:val="008A27C7"/>
    <w:rsid w:val="008A2D9D"/>
    <w:rsid w:val="008A4C80"/>
    <w:rsid w:val="008B08F2"/>
    <w:rsid w:val="008B0EBB"/>
    <w:rsid w:val="008B133E"/>
    <w:rsid w:val="008B1A9F"/>
    <w:rsid w:val="008B2C70"/>
    <w:rsid w:val="008B3920"/>
    <w:rsid w:val="008B3D32"/>
    <w:rsid w:val="008B4A94"/>
    <w:rsid w:val="008B4FE2"/>
    <w:rsid w:val="008B7C09"/>
    <w:rsid w:val="008C2A4E"/>
    <w:rsid w:val="008C32CC"/>
    <w:rsid w:val="008C34D8"/>
    <w:rsid w:val="008C72D3"/>
    <w:rsid w:val="008C7A9C"/>
    <w:rsid w:val="008D0DB6"/>
    <w:rsid w:val="008D1DA7"/>
    <w:rsid w:val="008D52C7"/>
    <w:rsid w:val="008D5999"/>
    <w:rsid w:val="008D672E"/>
    <w:rsid w:val="008D7C87"/>
    <w:rsid w:val="008E013C"/>
    <w:rsid w:val="008E0403"/>
    <w:rsid w:val="008E1684"/>
    <w:rsid w:val="008E3C14"/>
    <w:rsid w:val="008E5709"/>
    <w:rsid w:val="008E5A60"/>
    <w:rsid w:val="008F35F5"/>
    <w:rsid w:val="008F428D"/>
    <w:rsid w:val="008F4F2D"/>
    <w:rsid w:val="008F707C"/>
    <w:rsid w:val="008F76F3"/>
    <w:rsid w:val="00900B6A"/>
    <w:rsid w:val="00901AF5"/>
    <w:rsid w:val="009050B5"/>
    <w:rsid w:val="00906BC9"/>
    <w:rsid w:val="009131F5"/>
    <w:rsid w:val="009136DE"/>
    <w:rsid w:val="009141EF"/>
    <w:rsid w:val="0091421F"/>
    <w:rsid w:val="00914331"/>
    <w:rsid w:val="0091455C"/>
    <w:rsid w:val="009149E9"/>
    <w:rsid w:val="00914BFA"/>
    <w:rsid w:val="009166CC"/>
    <w:rsid w:val="00916BE8"/>
    <w:rsid w:val="00916F60"/>
    <w:rsid w:val="0091776D"/>
    <w:rsid w:val="009209B3"/>
    <w:rsid w:val="00920B28"/>
    <w:rsid w:val="0092159C"/>
    <w:rsid w:val="00921BB5"/>
    <w:rsid w:val="009300CA"/>
    <w:rsid w:val="009310B3"/>
    <w:rsid w:val="009314AF"/>
    <w:rsid w:val="00933DC2"/>
    <w:rsid w:val="009345B7"/>
    <w:rsid w:val="009345D7"/>
    <w:rsid w:val="009358B1"/>
    <w:rsid w:val="0093743A"/>
    <w:rsid w:val="00937EB0"/>
    <w:rsid w:val="00940DAD"/>
    <w:rsid w:val="00941E0D"/>
    <w:rsid w:val="009427CA"/>
    <w:rsid w:val="00943A6B"/>
    <w:rsid w:val="00943AC3"/>
    <w:rsid w:val="0094489A"/>
    <w:rsid w:val="00950169"/>
    <w:rsid w:val="009530DA"/>
    <w:rsid w:val="00954363"/>
    <w:rsid w:val="00954A82"/>
    <w:rsid w:val="00954C83"/>
    <w:rsid w:val="00955A25"/>
    <w:rsid w:val="00963035"/>
    <w:rsid w:val="009633AE"/>
    <w:rsid w:val="00963657"/>
    <w:rsid w:val="00964A37"/>
    <w:rsid w:val="0096612E"/>
    <w:rsid w:val="009669AA"/>
    <w:rsid w:val="00966FD9"/>
    <w:rsid w:val="0097177B"/>
    <w:rsid w:val="009731F6"/>
    <w:rsid w:val="00974F33"/>
    <w:rsid w:val="009753CF"/>
    <w:rsid w:val="0097575B"/>
    <w:rsid w:val="009777D9"/>
    <w:rsid w:val="00977ECA"/>
    <w:rsid w:val="009822E6"/>
    <w:rsid w:val="0098255B"/>
    <w:rsid w:val="00983197"/>
    <w:rsid w:val="0098465A"/>
    <w:rsid w:val="00986D05"/>
    <w:rsid w:val="0098711E"/>
    <w:rsid w:val="0099130C"/>
    <w:rsid w:val="009953EA"/>
    <w:rsid w:val="00995960"/>
    <w:rsid w:val="0099737C"/>
    <w:rsid w:val="009A04AB"/>
    <w:rsid w:val="009A229A"/>
    <w:rsid w:val="009A30D2"/>
    <w:rsid w:val="009A5D98"/>
    <w:rsid w:val="009A7AEA"/>
    <w:rsid w:val="009B2A0E"/>
    <w:rsid w:val="009B2BE9"/>
    <w:rsid w:val="009B3582"/>
    <w:rsid w:val="009B427E"/>
    <w:rsid w:val="009B483B"/>
    <w:rsid w:val="009B48D9"/>
    <w:rsid w:val="009B65B4"/>
    <w:rsid w:val="009C1DBC"/>
    <w:rsid w:val="009C45B1"/>
    <w:rsid w:val="009C6206"/>
    <w:rsid w:val="009C673E"/>
    <w:rsid w:val="009C7E12"/>
    <w:rsid w:val="009D120B"/>
    <w:rsid w:val="009D20D5"/>
    <w:rsid w:val="009D43DC"/>
    <w:rsid w:val="009D46D1"/>
    <w:rsid w:val="009D4998"/>
    <w:rsid w:val="009D5B95"/>
    <w:rsid w:val="009D65F7"/>
    <w:rsid w:val="009D67C4"/>
    <w:rsid w:val="009D6B58"/>
    <w:rsid w:val="009D725C"/>
    <w:rsid w:val="009E1F07"/>
    <w:rsid w:val="009E3675"/>
    <w:rsid w:val="009E3D15"/>
    <w:rsid w:val="009E48F3"/>
    <w:rsid w:val="009E4C13"/>
    <w:rsid w:val="009E4F7B"/>
    <w:rsid w:val="009E4FF8"/>
    <w:rsid w:val="009E50BE"/>
    <w:rsid w:val="009E5664"/>
    <w:rsid w:val="009E56DF"/>
    <w:rsid w:val="009E5853"/>
    <w:rsid w:val="009F0357"/>
    <w:rsid w:val="009F0F35"/>
    <w:rsid w:val="009F1519"/>
    <w:rsid w:val="009F2D5E"/>
    <w:rsid w:val="009F61E9"/>
    <w:rsid w:val="009F6579"/>
    <w:rsid w:val="009F6622"/>
    <w:rsid w:val="00A00198"/>
    <w:rsid w:val="00A01827"/>
    <w:rsid w:val="00A01831"/>
    <w:rsid w:val="00A03D96"/>
    <w:rsid w:val="00A04DAD"/>
    <w:rsid w:val="00A06040"/>
    <w:rsid w:val="00A07624"/>
    <w:rsid w:val="00A12F83"/>
    <w:rsid w:val="00A15240"/>
    <w:rsid w:val="00A15A1C"/>
    <w:rsid w:val="00A163D2"/>
    <w:rsid w:val="00A21392"/>
    <w:rsid w:val="00A2408A"/>
    <w:rsid w:val="00A24F2C"/>
    <w:rsid w:val="00A2677B"/>
    <w:rsid w:val="00A27E7D"/>
    <w:rsid w:val="00A31A37"/>
    <w:rsid w:val="00A32909"/>
    <w:rsid w:val="00A334EA"/>
    <w:rsid w:val="00A33E59"/>
    <w:rsid w:val="00A361E8"/>
    <w:rsid w:val="00A37032"/>
    <w:rsid w:val="00A3703F"/>
    <w:rsid w:val="00A375C8"/>
    <w:rsid w:val="00A37CAC"/>
    <w:rsid w:val="00A4186A"/>
    <w:rsid w:val="00A420D3"/>
    <w:rsid w:val="00A4244A"/>
    <w:rsid w:val="00A42D8F"/>
    <w:rsid w:val="00A435EC"/>
    <w:rsid w:val="00A446CA"/>
    <w:rsid w:val="00A45345"/>
    <w:rsid w:val="00A45525"/>
    <w:rsid w:val="00A45CF3"/>
    <w:rsid w:val="00A45DBC"/>
    <w:rsid w:val="00A4762B"/>
    <w:rsid w:val="00A507D9"/>
    <w:rsid w:val="00A532A5"/>
    <w:rsid w:val="00A55A37"/>
    <w:rsid w:val="00A5617F"/>
    <w:rsid w:val="00A5662D"/>
    <w:rsid w:val="00A578BA"/>
    <w:rsid w:val="00A57986"/>
    <w:rsid w:val="00A6616D"/>
    <w:rsid w:val="00A6707C"/>
    <w:rsid w:val="00A678B5"/>
    <w:rsid w:val="00A679EE"/>
    <w:rsid w:val="00A70007"/>
    <w:rsid w:val="00A70FED"/>
    <w:rsid w:val="00A71AA0"/>
    <w:rsid w:val="00A71C3B"/>
    <w:rsid w:val="00A742C5"/>
    <w:rsid w:val="00A750EF"/>
    <w:rsid w:val="00A80AEB"/>
    <w:rsid w:val="00A818BB"/>
    <w:rsid w:val="00A8352F"/>
    <w:rsid w:val="00A8486D"/>
    <w:rsid w:val="00A85335"/>
    <w:rsid w:val="00A862AF"/>
    <w:rsid w:val="00A876AD"/>
    <w:rsid w:val="00A87932"/>
    <w:rsid w:val="00A87A3F"/>
    <w:rsid w:val="00A91A70"/>
    <w:rsid w:val="00A92FB1"/>
    <w:rsid w:val="00A950BC"/>
    <w:rsid w:val="00A9532D"/>
    <w:rsid w:val="00A97115"/>
    <w:rsid w:val="00A9775D"/>
    <w:rsid w:val="00AA036D"/>
    <w:rsid w:val="00AA2C63"/>
    <w:rsid w:val="00AA5108"/>
    <w:rsid w:val="00AA5B51"/>
    <w:rsid w:val="00AA5FB7"/>
    <w:rsid w:val="00AA615D"/>
    <w:rsid w:val="00AB094D"/>
    <w:rsid w:val="00AB2CA3"/>
    <w:rsid w:val="00AB509A"/>
    <w:rsid w:val="00AB56B2"/>
    <w:rsid w:val="00AB58BD"/>
    <w:rsid w:val="00AB5E5F"/>
    <w:rsid w:val="00AB65FB"/>
    <w:rsid w:val="00AB74EC"/>
    <w:rsid w:val="00AC15B0"/>
    <w:rsid w:val="00AC523F"/>
    <w:rsid w:val="00AC52AA"/>
    <w:rsid w:val="00AC5E0F"/>
    <w:rsid w:val="00AC5FE6"/>
    <w:rsid w:val="00AC6149"/>
    <w:rsid w:val="00AC63A6"/>
    <w:rsid w:val="00AD0D7D"/>
    <w:rsid w:val="00AD2A13"/>
    <w:rsid w:val="00AD481E"/>
    <w:rsid w:val="00AD6F11"/>
    <w:rsid w:val="00AD7E36"/>
    <w:rsid w:val="00AD7EE0"/>
    <w:rsid w:val="00AE03C6"/>
    <w:rsid w:val="00AE0D68"/>
    <w:rsid w:val="00AE225B"/>
    <w:rsid w:val="00AE2CAF"/>
    <w:rsid w:val="00AE32C4"/>
    <w:rsid w:val="00AE359E"/>
    <w:rsid w:val="00AE494C"/>
    <w:rsid w:val="00AE6CD8"/>
    <w:rsid w:val="00AE6EE7"/>
    <w:rsid w:val="00AE7B6D"/>
    <w:rsid w:val="00AF37B5"/>
    <w:rsid w:val="00AF3D1C"/>
    <w:rsid w:val="00AF4E26"/>
    <w:rsid w:val="00AF4EDC"/>
    <w:rsid w:val="00AF50D3"/>
    <w:rsid w:val="00AF549C"/>
    <w:rsid w:val="00AF7EC9"/>
    <w:rsid w:val="00B00024"/>
    <w:rsid w:val="00B01CD3"/>
    <w:rsid w:val="00B01CDA"/>
    <w:rsid w:val="00B04061"/>
    <w:rsid w:val="00B048B6"/>
    <w:rsid w:val="00B04A6A"/>
    <w:rsid w:val="00B05701"/>
    <w:rsid w:val="00B05BAF"/>
    <w:rsid w:val="00B0604A"/>
    <w:rsid w:val="00B064CB"/>
    <w:rsid w:val="00B172D7"/>
    <w:rsid w:val="00B230B1"/>
    <w:rsid w:val="00B254C3"/>
    <w:rsid w:val="00B25D83"/>
    <w:rsid w:val="00B25DD9"/>
    <w:rsid w:val="00B26F05"/>
    <w:rsid w:val="00B27FD2"/>
    <w:rsid w:val="00B31657"/>
    <w:rsid w:val="00B35904"/>
    <w:rsid w:val="00B374D7"/>
    <w:rsid w:val="00B3765C"/>
    <w:rsid w:val="00B406BE"/>
    <w:rsid w:val="00B414FF"/>
    <w:rsid w:val="00B531ED"/>
    <w:rsid w:val="00B538FD"/>
    <w:rsid w:val="00B54828"/>
    <w:rsid w:val="00B54E5F"/>
    <w:rsid w:val="00B54F86"/>
    <w:rsid w:val="00B5576B"/>
    <w:rsid w:val="00B61D2C"/>
    <w:rsid w:val="00B62DC3"/>
    <w:rsid w:val="00B62E44"/>
    <w:rsid w:val="00B64EE6"/>
    <w:rsid w:val="00B67CD8"/>
    <w:rsid w:val="00B70A10"/>
    <w:rsid w:val="00B71331"/>
    <w:rsid w:val="00B716B9"/>
    <w:rsid w:val="00B72F0C"/>
    <w:rsid w:val="00B73E55"/>
    <w:rsid w:val="00B74DEC"/>
    <w:rsid w:val="00B7629E"/>
    <w:rsid w:val="00B77F3E"/>
    <w:rsid w:val="00B80FA5"/>
    <w:rsid w:val="00B82ADC"/>
    <w:rsid w:val="00B83AC3"/>
    <w:rsid w:val="00B84989"/>
    <w:rsid w:val="00B85927"/>
    <w:rsid w:val="00B87479"/>
    <w:rsid w:val="00B90CFD"/>
    <w:rsid w:val="00B91F28"/>
    <w:rsid w:val="00B93954"/>
    <w:rsid w:val="00B947B5"/>
    <w:rsid w:val="00B95B41"/>
    <w:rsid w:val="00B96ABA"/>
    <w:rsid w:val="00B970FE"/>
    <w:rsid w:val="00B971D8"/>
    <w:rsid w:val="00BA1009"/>
    <w:rsid w:val="00BA1280"/>
    <w:rsid w:val="00BA1722"/>
    <w:rsid w:val="00BA550A"/>
    <w:rsid w:val="00BA555B"/>
    <w:rsid w:val="00BA6101"/>
    <w:rsid w:val="00BA7566"/>
    <w:rsid w:val="00BA774A"/>
    <w:rsid w:val="00BB0508"/>
    <w:rsid w:val="00BB29BC"/>
    <w:rsid w:val="00BB312F"/>
    <w:rsid w:val="00BB44E7"/>
    <w:rsid w:val="00BB65AB"/>
    <w:rsid w:val="00BB6A88"/>
    <w:rsid w:val="00BC0AF1"/>
    <w:rsid w:val="00BC0BE5"/>
    <w:rsid w:val="00BC1BEB"/>
    <w:rsid w:val="00BC3266"/>
    <w:rsid w:val="00BC5C5C"/>
    <w:rsid w:val="00BC78A0"/>
    <w:rsid w:val="00BD1024"/>
    <w:rsid w:val="00BD1FAC"/>
    <w:rsid w:val="00BD21DF"/>
    <w:rsid w:val="00BD28B2"/>
    <w:rsid w:val="00BD3CC5"/>
    <w:rsid w:val="00BD4297"/>
    <w:rsid w:val="00BD5E48"/>
    <w:rsid w:val="00BD6F99"/>
    <w:rsid w:val="00BD7104"/>
    <w:rsid w:val="00BE1F61"/>
    <w:rsid w:val="00BE3846"/>
    <w:rsid w:val="00BE55F0"/>
    <w:rsid w:val="00BE5C20"/>
    <w:rsid w:val="00BE5FBE"/>
    <w:rsid w:val="00BE6DFF"/>
    <w:rsid w:val="00BE77FF"/>
    <w:rsid w:val="00BF01B9"/>
    <w:rsid w:val="00BF0C37"/>
    <w:rsid w:val="00BF0E89"/>
    <w:rsid w:val="00BF2294"/>
    <w:rsid w:val="00BF3D63"/>
    <w:rsid w:val="00BF3E33"/>
    <w:rsid w:val="00BF4953"/>
    <w:rsid w:val="00BF4B2A"/>
    <w:rsid w:val="00BF5986"/>
    <w:rsid w:val="00BF6729"/>
    <w:rsid w:val="00BF7584"/>
    <w:rsid w:val="00BF7BF2"/>
    <w:rsid w:val="00C000BC"/>
    <w:rsid w:val="00C02561"/>
    <w:rsid w:val="00C028BF"/>
    <w:rsid w:val="00C041F6"/>
    <w:rsid w:val="00C04691"/>
    <w:rsid w:val="00C055D0"/>
    <w:rsid w:val="00C11534"/>
    <w:rsid w:val="00C11AC0"/>
    <w:rsid w:val="00C12107"/>
    <w:rsid w:val="00C12AC7"/>
    <w:rsid w:val="00C13E12"/>
    <w:rsid w:val="00C1728B"/>
    <w:rsid w:val="00C173BF"/>
    <w:rsid w:val="00C22C49"/>
    <w:rsid w:val="00C261E5"/>
    <w:rsid w:val="00C26954"/>
    <w:rsid w:val="00C30395"/>
    <w:rsid w:val="00C326A0"/>
    <w:rsid w:val="00C32CE3"/>
    <w:rsid w:val="00C3377D"/>
    <w:rsid w:val="00C3667F"/>
    <w:rsid w:val="00C37D67"/>
    <w:rsid w:val="00C415BF"/>
    <w:rsid w:val="00C42E24"/>
    <w:rsid w:val="00C45565"/>
    <w:rsid w:val="00C46214"/>
    <w:rsid w:val="00C46884"/>
    <w:rsid w:val="00C46C95"/>
    <w:rsid w:val="00C472DE"/>
    <w:rsid w:val="00C47509"/>
    <w:rsid w:val="00C47B90"/>
    <w:rsid w:val="00C47D4F"/>
    <w:rsid w:val="00C51D05"/>
    <w:rsid w:val="00C55181"/>
    <w:rsid w:val="00C55C1A"/>
    <w:rsid w:val="00C56026"/>
    <w:rsid w:val="00C56374"/>
    <w:rsid w:val="00C5747F"/>
    <w:rsid w:val="00C612F4"/>
    <w:rsid w:val="00C61EE0"/>
    <w:rsid w:val="00C6258A"/>
    <w:rsid w:val="00C63EE8"/>
    <w:rsid w:val="00C66814"/>
    <w:rsid w:val="00C67B7C"/>
    <w:rsid w:val="00C71218"/>
    <w:rsid w:val="00C72130"/>
    <w:rsid w:val="00C73438"/>
    <w:rsid w:val="00C73568"/>
    <w:rsid w:val="00C73B49"/>
    <w:rsid w:val="00C74393"/>
    <w:rsid w:val="00C767D1"/>
    <w:rsid w:val="00C777D1"/>
    <w:rsid w:val="00C83FBD"/>
    <w:rsid w:val="00C84BA1"/>
    <w:rsid w:val="00C8501D"/>
    <w:rsid w:val="00C8509C"/>
    <w:rsid w:val="00C867CF"/>
    <w:rsid w:val="00C87E2C"/>
    <w:rsid w:val="00C907A4"/>
    <w:rsid w:val="00C90A36"/>
    <w:rsid w:val="00C916EA"/>
    <w:rsid w:val="00C91D74"/>
    <w:rsid w:val="00CA602D"/>
    <w:rsid w:val="00CA6C71"/>
    <w:rsid w:val="00CA7BAF"/>
    <w:rsid w:val="00CA7BB0"/>
    <w:rsid w:val="00CB3F07"/>
    <w:rsid w:val="00CB5E3F"/>
    <w:rsid w:val="00CB6B7E"/>
    <w:rsid w:val="00CB7A32"/>
    <w:rsid w:val="00CB7C62"/>
    <w:rsid w:val="00CC0501"/>
    <w:rsid w:val="00CC0830"/>
    <w:rsid w:val="00CC3627"/>
    <w:rsid w:val="00CC5C6A"/>
    <w:rsid w:val="00CC627D"/>
    <w:rsid w:val="00CC6D8A"/>
    <w:rsid w:val="00CC73CB"/>
    <w:rsid w:val="00CC7762"/>
    <w:rsid w:val="00CD11C7"/>
    <w:rsid w:val="00CD1285"/>
    <w:rsid w:val="00CD6C2D"/>
    <w:rsid w:val="00CD7484"/>
    <w:rsid w:val="00CD7C6E"/>
    <w:rsid w:val="00CE1525"/>
    <w:rsid w:val="00CE1A10"/>
    <w:rsid w:val="00CE1B11"/>
    <w:rsid w:val="00CE20ED"/>
    <w:rsid w:val="00CE22EC"/>
    <w:rsid w:val="00CE28F9"/>
    <w:rsid w:val="00CE2D51"/>
    <w:rsid w:val="00CE5C0B"/>
    <w:rsid w:val="00CE62C5"/>
    <w:rsid w:val="00CE7D1E"/>
    <w:rsid w:val="00CF47F0"/>
    <w:rsid w:val="00CF5BB3"/>
    <w:rsid w:val="00CF5DE2"/>
    <w:rsid w:val="00CF6165"/>
    <w:rsid w:val="00CF6EAB"/>
    <w:rsid w:val="00D0015A"/>
    <w:rsid w:val="00D003D3"/>
    <w:rsid w:val="00D02277"/>
    <w:rsid w:val="00D0340A"/>
    <w:rsid w:val="00D05BD3"/>
    <w:rsid w:val="00D10C3D"/>
    <w:rsid w:val="00D10FE0"/>
    <w:rsid w:val="00D126A0"/>
    <w:rsid w:val="00D129F8"/>
    <w:rsid w:val="00D14634"/>
    <w:rsid w:val="00D14958"/>
    <w:rsid w:val="00D15024"/>
    <w:rsid w:val="00D15CBE"/>
    <w:rsid w:val="00D21989"/>
    <w:rsid w:val="00D21E27"/>
    <w:rsid w:val="00D22258"/>
    <w:rsid w:val="00D25478"/>
    <w:rsid w:val="00D25F29"/>
    <w:rsid w:val="00D27F28"/>
    <w:rsid w:val="00D31344"/>
    <w:rsid w:val="00D32CB2"/>
    <w:rsid w:val="00D3481A"/>
    <w:rsid w:val="00D34BA4"/>
    <w:rsid w:val="00D36406"/>
    <w:rsid w:val="00D36563"/>
    <w:rsid w:val="00D375A8"/>
    <w:rsid w:val="00D43FC7"/>
    <w:rsid w:val="00D453C2"/>
    <w:rsid w:val="00D503B7"/>
    <w:rsid w:val="00D5276A"/>
    <w:rsid w:val="00D54F50"/>
    <w:rsid w:val="00D603DE"/>
    <w:rsid w:val="00D60ADC"/>
    <w:rsid w:val="00D60BDE"/>
    <w:rsid w:val="00D62531"/>
    <w:rsid w:val="00D62C29"/>
    <w:rsid w:val="00D64B1B"/>
    <w:rsid w:val="00D6508A"/>
    <w:rsid w:val="00D67408"/>
    <w:rsid w:val="00D71F02"/>
    <w:rsid w:val="00D72C4C"/>
    <w:rsid w:val="00D73A89"/>
    <w:rsid w:val="00D74853"/>
    <w:rsid w:val="00D74E04"/>
    <w:rsid w:val="00D75D84"/>
    <w:rsid w:val="00D76E6B"/>
    <w:rsid w:val="00D7777E"/>
    <w:rsid w:val="00D80523"/>
    <w:rsid w:val="00D84701"/>
    <w:rsid w:val="00D850D7"/>
    <w:rsid w:val="00D862DF"/>
    <w:rsid w:val="00D86A1F"/>
    <w:rsid w:val="00D90B19"/>
    <w:rsid w:val="00D91354"/>
    <w:rsid w:val="00D92941"/>
    <w:rsid w:val="00D932C4"/>
    <w:rsid w:val="00D944F5"/>
    <w:rsid w:val="00D95A77"/>
    <w:rsid w:val="00D96941"/>
    <w:rsid w:val="00D96FC6"/>
    <w:rsid w:val="00D97516"/>
    <w:rsid w:val="00DA1435"/>
    <w:rsid w:val="00DA1A2E"/>
    <w:rsid w:val="00DA1F30"/>
    <w:rsid w:val="00DA2BEF"/>
    <w:rsid w:val="00DA3E8D"/>
    <w:rsid w:val="00DA5683"/>
    <w:rsid w:val="00DB0072"/>
    <w:rsid w:val="00DB00B5"/>
    <w:rsid w:val="00DB00DD"/>
    <w:rsid w:val="00DB0C36"/>
    <w:rsid w:val="00DB21CA"/>
    <w:rsid w:val="00DB426A"/>
    <w:rsid w:val="00DB4296"/>
    <w:rsid w:val="00DB5A96"/>
    <w:rsid w:val="00DB7655"/>
    <w:rsid w:val="00DC159B"/>
    <w:rsid w:val="00DC26F9"/>
    <w:rsid w:val="00DC28D0"/>
    <w:rsid w:val="00DC4204"/>
    <w:rsid w:val="00DC4477"/>
    <w:rsid w:val="00DC5BD8"/>
    <w:rsid w:val="00DC6859"/>
    <w:rsid w:val="00DC6AC3"/>
    <w:rsid w:val="00DC7EE9"/>
    <w:rsid w:val="00DD098B"/>
    <w:rsid w:val="00DD13C7"/>
    <w:rsid w:val="00DD1CD6"/>
    <w:rsid w:val="00DD24A2"/>
    <w:rsid w:val="00DD2D91"/>
    <w:rsid w:val="00DD473B"/>
    <w:rsid w:val="00DD6194"/>
    <w:rsid w:val="00DD73A3"/>
    <w:rsid w:val="00DD7E56"/>
    <w:rsid w:val="00DE06E0"/>
    <w:rsid w:val="00DE2091"/>
    <w:rsid w:val="00DE20DE"/>
    <w:rsid w:val="00DE2921"/>
    <w:rsid w:val="00DE4292"/>
    <w:rsid w:val="00DE49F2"/>
    <w:rsid w:val="00DE67FF"/>
    <w:rsid w:val="00DF024E"/>
    <w:rsid w:val="00DF2199"/>
    <w:rsid w:val="00DF30F7"/>
    <w:rsid w:val="00DF4EC3"/>
    <w:rsid w:val="00DF5001"/>
    <w:rsid w:val="00DF61BB"/>
    <w:rsid w:val="00DF766F"/>
    <w:rsid w:val="00DF7772"/>
    <w:rsid w:val="00E01A73"/>
    <w:rsid w:val="00E01D86"/>
    <w:rsid w:val="00E02030"/>
    <w:rsid w:val="00E02521"/>
    <w:rsid w:val="00E02B62"/>
    <w:rsid w:val="00E03DAC"/>
    <w:rsid w:val="00E067DF"/>
    <w:rsid w:val="00E07E30"/>
    <w:rsid w:val="00E10AB2"/>
    <w:rsid w:val="00E10DA1"/>
    <w:rsid w:val="00E125A3"/>
    <w:rsid w:val="00E12B61"/>
    <w:rsid w:val="00E143AD"/>
    <w:rsid w:val="00E15B29"/>
    <w:rsid w:val="00E15F7A"/>
    <w:rsid w:val="00E174C0"/>
    <w:rsid w:val="00E2220D"/>
    <w:rsid w:val="00E22748"/>
    <w:rsid w:val="00E2678B"/>
    <w:rsid w:val="00E27627"/>
    <w:rsid w:val="00E30235"/>
    <w:rsid w:val="00E32010"/>
    <w:rsid w:val="00E32F6D"/>
    <w:rsid w:val="00E3611C"/>
    <w:rsid w:val="00E37FCE"/>
    <w:rsid w:val="00E4084F"/>
    <w:rsid w:val="00E412D4"/>
    <w:rsid w:val="00E445F7"/>
    <w:rsid w:val="00E44C46"/>
    <w:rsid w:val="00E45110"/>
    <w:rsid w:val="00E47A40"/>
    <w:rsid w:val="00E47AAE"/>
    <w:rsid w:val="00E5102E"/>
    <w:rsid w:val="00E511F3"/>
    <w:rsid w:val="00E5173B"/>
    <w:rsid w:val="00E51A40"/>
    <w:rsid w:val="00E51D84"/>
    <w:rsid w:val="00E53787"/>
    <w:rsid w:val="00E540D1"/>
    <w:rsid w:val="00E57767"/>
    <w:rsid w:val="00E57D09"/>
    <w:rsid w:val="00E60B7B"/>
    <w:rsid w:val="00E61B1B"/>
    <w:rsid w:val="00E63440"/>
    <w:rsid w:val="00E66365"/>
    <w:rsid w:val="00E66EE3"/>
    <w:rsid w:val="00E67BD2"/>
    <w:rsid w:val="00E67FD4"/>
    <w:rsid w:val="00E709BE"/>
    <w:rsid w:val="00E70C32"/>
    <w:rsid w:val="00E7307B"/>
    <w:rsid w:val="00E745D1"/>
    <w:rsid w:val="00E74D0D"/>
    <w:rsid w:val="00E75273"/>
    <w:rsid w:val="00E76749"/>
    <w:rsid w:val="00E76DBB"/>
    <w:rsid w:val="00E776F1"/>
    <w:rsid w:val="00E80E15"/>
    <w:rsid w:val="00E81189"/>
    <w:rsid w:val="00E826CF"/>
    <w:rsid w:val="00E829D0"/>
    <w:rsid w:val="00E8335F"/>
    <w:rsid w:val="00E86100"/>
    <w:rsid w:val="00E86D12"/>
    <w:rsid w:val="00E91742"/>
    <w:rsid w:val="00E9194F"/>
    <w:rsid w:val="00E939C4"/>
    <w:rsid w:val="00E94048"/>
    <w:rsid w:val="00E943D3"/>
    <w:rsid w:val="00E9633C"/>
    <w:rsid w:val="00EA008C"/>
    <w:rsid w:val="00EA42C7"/>
    <w:rsid w:val="00EA501C"/>
    <w:rsid w:val="00EA5537"/>
    <w:rsid w:val="00EA5C8F"/>
    <w:rsid w:val="00EA6D11"/>
    <w:rsid w:val="00EA760F"/>
    <w:rsid w:val="00EB0DF7"/>
    <w:rsid w:val="00EB0EAD"/>
    <w:rsid w:val="00EB151D"/>
    <w:rsid w:val="00EB1CD0"/>
    <w:rsid w:val="00EB1CDF"/>
    <w:rsid w:val="00EB2703"/>
    <w:rsid w:val="00EB2C29"/>
    <w:rsid w:val="00EB3AC0"/>
    <w:rsid w:val="00EB3C08"/>
    <w:rsid w:val="00EB5C28"/>
    <w:rsid w:val="00EC0614"/>
    <w:rsid w:val="00EC0BC0"/>
    <w:rsid w:val="00EC1CE5"/>
    <w:rsid w:val="00EC289A"/>
    <w:rsid w:val="00EC3A30"/>
    <w:rsid w:val="00EC4156"/>
    <w:rsid w:val="00EC615A"/>
    <w:rsid w:val="00EC62CD"/>
    <w:rsid w:val="00EC6C06"/>
    <w:rsid w:val="00ED0059"/>
    <w:rsid w:val="00ED3442"/>
    <w:rsid w:val="00ED35ED"/>
    <w:rsid w:val="00ED4621"/>
    <w:rsid w:val="00ED710B"/>
    <w:rsid w:val="00EE1AE8"/>
    <w:rsid w:val="00EE3EEB"/>
    <w:rsid w:val="00EE498D"/>
    <w:rsid w:val="00EE54F1"/>
    <w:rsid w:val="00EE6F47"/>
    <w:rsid w:val="00EE7E4F"/>
    <w:rsid w:val="00EF209C"/>
    <w:rsid w:val="00EF2BC4"/>
    <w:rsid w:val="00EF375C"/>
    <w:rsid w:val="00EF379A"/>
    <w:rsid w:val="00EF6E0C"/>
    <w:rsid w:val="00EF7F63"/>
    <w:rsid w:val="00F0166E"/>
    <w:rsid w:val="00F01B3F"/>
    <w:rsid w:val="00F03B3F"/>
    <w:rsid w:val="00F0670E"/>
    <w:rsid w:val="00F06C18"/>
    <w:rsid w:val="00F072DC"/>
    <w:rsid w:val="00F10FF9"/>
    <w:rsid w:val="00F119AA"/>
    <w:rsid w:val="00F11D25"/>
    <w:rsid w:val="00F123E8"/>
    <w:rsid w:val="00F127A6"/>
    <w:rsid w:val="00F20FAF"/>
    <w:rsid w:val="00F21487"/>
    <w:rsid w:val="00F22B2F"/>
    <w:rsid w:val="00F30D61"/>
    <w:rsid w:val="00F36F6F"/>
    <w:rsid w:val="00F37AF6"/>
    <w:rsid w:val="00F4280F"/>
    <w:rsid w:val="00F434D2"/>
    <w:rsid w:val="00F43623"/>
    <w:rsid w:val="00F44F75"/>
    <w:rsid w:val="00F45F3D"/>
    <w:rsid w:val="00F47083"/>
    <w:rsid w:val="00F50080"/>
    <w:rsid w:val="00F5071E"/>
    <w:rsid w:val="00F51865"/>
    <w:rsid w:val="00F532AC"/>
    <w:rsid w:val="00F549C6"/>
    <w:rsid w:val="00F561A6"/>
    <w:rsid w:val="00F56D38"/>
    <w:rsid w:val="00F6011C"/>
    <w:rsid w:val="00F60260"/>
    <w:rsid w:val="00F62490"/>
    <w:rsid w:val="00F62A49"/>
    <w:rsid w:val="00F62B09"/>
    <w:rsid w:val="00F64D99"/>
    <w:rsid w:val="00F67726"/>
    <w:rsid w:val="00F67B2E"/>
    <w:rsid w:val="00F67D54"/>
    <w:rsid w:val="00F70236"/>
    <w:rsid w:val="00F7188C"/>
    <w:rsid w:val="00F71B0D"/>
    <w:rsid w:val="00F734E4"/>
    <w:rsid w:val="00F73D5C"/>
    <w:rsid w:val="00F74D60"/>
    <w:rsid w:val="00F75BF5"/>
    <w:rsid w:val="00F77E58"/>
    <w:rsid w:val="00F809C4"/>
    <w:rsid w:val="00F81BCA"/>
    <w:rsid w:val="00F8322E"/>
    <w:rsid w:val="00F86926"/>
    <w:rsid w:val="00F87DC6"/>
    <w:rsid w:val="00F912E2"/>
    <w:rsid w:val="00F93493"/>
    <w:rsid w:val="00F9351F"/>
    <w:rsid w:val="00FA0A7D"/>
    <w:rsid w:val="00FA14E4"/>
    <w:rsid w:val="00FA1BA3"/>
    <w:rsid w:val="00FA1E29"/>
    <w:rsid w:val="00FA3E05"/>
    <w:rsid w:val="00FA583F"/>
    <w:rsid w:val="00FA5B09"/>
    <w:rsid w:val="00FA7AC5"/>
    <w:rsid w:val="00FB13A7"/>
    <w:rsid w:val="00FB2F61"/>
    <w:rsid w:val="00FB513F"/>
    <w:rsid w:val="00FB5ACC"/>
    <w:rsid w:val="00FB6255"/>
    <w:rsid w:val="00FB7990"/>
    <w:rsid w:val="00FC024C"/>
    <w:rsid w:val="00FC2BD7"/>
    <w:rsid w:val="00FC38EF"/>
    <w:rsid w:val="00FC4923"/>
    <w:rsid w:val="00FC6A54"/>
    <w:rsid w:val="00FD01DD"/>
    <w:rsid w:val="00FD025F"/>
    <w:rsid w:val="00FD0899"/>
    <w:rsid w:val="00FD108E"/>
    <w:rsid w:val="00FD1109"/>
    <w:rsid w:val="00FD1339"/>
    <w:rsid w:val="00FD13A4"/>
    <w:rsid w:val="00FD29D7"/>
    <w:rsid w:val="00FE08B5"/>
    <w:rsid w:val="00FE20DF"/>
    <w:rsid w:val="00FE2667"/>
    <w:rsid w:val="00FE2D2B"/>
    <w:rsid w:val="00FE47FF"/>
    <w:rsid w:val="00FE58AD"/>
    <w:rsid w:val="00FE5E88"/>
    <w:rsid w:val="00FE6DC2"/>
    <w:rsid w:val="00FF1E3F"/>
    <w:rsid w:val="00FF1EE6"/>
    <w:rsid w:val="00FF22CE"/>
    <w:rsid w:val="00FF251B"/>
    <w:rsid w:val="00FF2B9C"/>
    <w:rsid w:val="00FF3447"/>
    <w:rsid w:val="00FF364B"/>
    <w:rsid w:val="00FF40BA"/>
    <w:rsid w:val="00FF46F1"/>
    <w:rsid w:val="00FF5400"/>
    <w:rsid w:val="00FF6462"/>
    <w:rsid w:val="00FF69AB"/>
    <w:rsid w:val="00FF7F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E1A4F"/>
  <w15:chartTrackingRefBased/>
  <w15:docId w15:val="{D5806D5E-3F1F-43A4-9E2C-AAEA17AF8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CDF"/>
    <w:pPr>
      <w:spacing w:after="120" w:line="240" w:lineRule="auto"/>
      <w:ind w:firstLine="284"/>
      <w:contextualSpacing/>
      <w:jc w:val="both"/>
    </w:pPr>
    <w:rPr>
      <w:rFonts w:ascii="Tahoma" w:hAnsi="Tahoma"/>
      <w:sz w:val="18"/>
    </w:rPr>
  </w:style>
  <w:style w:type="paragraph" w:styleId="Ttulo1">
    <w:name w:val="heading 1"/>
    <w:basedOn w:val="Normal"/>
    <w:next w:val="Normal"/>
    <w:link w:val="Ttulo1Char"/>
    <w:autoRedefine/>
    <w:uiPriority w:val="9"/>
    <w:qFormat/>
    <w:rsid w:val="00B970FE"/>
    <w:pPr>
      <w:keepNext/>
      <w:keepLines/>
      <w:numPr>
        <w:numId w:val="2"/>
      </w:numPr>
      <w:spacing w:before="300" w:after="100"/>
      <w:ind w:left="850" w:hanging="425"/>
      <w:outlineLvl w:val="0"/>
    </w:pPr>
    <w:rPr>
      <w:rFonts w:eastAsiaTheme="majorEastAsia" w:cstheme="majorBidi"/>
      <w:b/>
      <w:i/>
      <w:caps/>
      <w:szCs w:val="32"/>
      <w:u w:val="words"/>
    </w:rPr>
  </w:style>
  <w:style w:type="paragraph" w:styleId="Ttulo2">
    <w:name w:val="heading 2"/>
    <w:basedOn w:val="Ttulo1"/>
    <w:next w:val="Normal"/>
    <w:link w:val="Ttulo2Char"/>
    <w:autoRedefine/>
    <w:uiPriority w:val="9"/>
    <w:unhideWhenUsed/>
    <w:qFormat/>
    <w:rsid w:val="00954363"/>
    <w:pPr>
      <w:numPr>
        <w:ilvl w:val="1"/>
      </w:numPr>
      <w:spacing w:before="240"/>
      <w:ind w:left="992" w:hanging="425"/>
      <w:outlineLvl w:val="1"/>
    </w:pPr>
    <w:rPr>
      <w:sz w:val="16"/>
    </w:rPr>
  </w:style>
  <w:style w:type="paragraph" w:styleId="Ttulo3">
    <w:name w:val="heading 3"/>
    <w:basedOn w:val="Normal"/>
    <w:next w:val="Normal"/>
    <w:link w:val="Ttulo3Char"/>
    <w:uiPriority w:val="9"/>
    <w:unhideWhenUsed/>
    <w:qFormat/>
    <w:rsid w:val="00954363"/>
    <w:pPr>
      <w:keepNext/>
      <w:keepLines/>
      <w:numPr>
        <w:ilvl w:val="2"/>
        <w:numId w:val="2"/>
      </w:numPr>
      <w:spacing w:before="240" w:after="100"/>
      <w:ind w:left="1134" w:hanging="425"/>
      <w:outlineLvl w:val="2"/>
    </w:pPr>
    <w:rPr>
      <w:rFonts w:eastAsiaTheme="majorEastAsia" w:cstheme="majorBidi"/>
      <w:b/>
      <w:smallCaps/>
      <w:sz w:val="16"/>
      <w:szCs w:val="24"/>
      <w:u w:val="single"/>
    </w:rPr>
  </w:style>
  <w:style w:type="paragraph" w:styleId="Ttulo4">
    <w:name w:val="heading 4"/>
    <w:basedOn w:val="Normal"/>
    <w:next w:val="Normal"/>
    <w:link w:val="Ttulo4Char"/>
    <w:uiPriority w:val="9"/>
    <w:unhideWhenUsed/>
    <w:qFormat/>
    <w:rsid w:val="005C11A4"/>
    <w:pPr>
      <w:keepNext/>
      <w:keepLines/>
      <w:numPr>
        <w:ilvl w:val="3"/>
        <w:numId w:val="2"/>
      </w:numPr>
      <w:spacing w:before="360" w:after="240"/>
      <w:ind w:left="1701" w:firstLine="0"/>
      <w:outlineLvl w:val="3"/>
    </w:pPr>
    <w:rPr>
      <w:rFonts w:eastAsiaTheme="majorEastAsia" w:cstheme="majorBidi"/>
      <w:i/>
      <w:iCs/>
    </w:rPr>
  </w:style>
  <w:style w:type="paragraph" w:styleId="Ttulo5">
    <w:name w:val="heading 5"/>
    <w:basedOn w:val="Normal"/>
    <w:next w:val="Normal"/>
    <w:link w:val="Ttulo5Char"/>
    <w:uiPriority w:val="9"/>
    <w:semiHidden/>
    <w:unhideWhenUsed/>
    <w:qFormat/>
    <w:rsid w:val="00BF0E89"/>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har"/>
    <w:uiPriority w:val="9"/>
    <w:semiHidden/>
    <w:unhideWhenUsed/>
    <w:qFormat/>
    <w:rsid w:val="00BF0E89"/>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har"/>
    <w:uiPriority w:val="9"/>
    <w:semiHidden/>
    <w:unhideWhenUsed/>
    <w:qFormat/>
    <w:rsid w:val="00BF0E89"/>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har"/>
    <w:uiPriority w:val="9"/>
    <w:semiHidden/>
    <w:unhideWhenUsed/>
    <w:qFormat/>
    <w:rsid w:val="00BF0E89"/>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BF0E89"/>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F2D5E"/>
    <w:pPr>
      <w:tabs>
        <w:tab w:val="center" w:pos="4252"/>
        <w:tab w:val="right" w:pos="8504"/>
      </w:tabs>
      <w:spacing w:after="0"/>
    </w:pPr>
  </w:style>
  <w:style w:type="character" w:customStyle="1" w:styleId="CabealhoChar">
    <w:name w:val="Cabeçalho Char"/>
    <w:basedOn w:val="Fontepargpadro"/>
    <w:link w:val="Cabealho"/>
    <w:uiPriority w:val="99"/>
    <w:rsid w:val="009F2D5E"/>
    <w:rPr>
      <w:rFonts w:ascii="Tahoma" w:hAnsi="Tahoma"/>
      <w:sz w:val="20"/>
    </w:rPr>
  </w:style>
  <w:style w:type="paragraph" w:styleId="Rodap">
    <w:name w:val="footer"/>
    <w:basedOn w:val="Normal"/>
    <w:link w:val="RodapChar"/>
    <w:uiPriority w:val="99"/>
    <w:unhideWhenUsed/>
    <w:rsid w:val="009F2D5E"/>
    <w:pPr>
      <w:tabs>
        <w:tab w:val="center" w:pos="4252"/>
        <w:tab w:val="right" w:pos="8504"/>
      </w:tabs>
      <w:spacing w:after="0"/>
    </w:pPr>
  </w:style>
  <w:style w:type="character" w:customStyle="1" w:styleId="RodapChar">
    <w:name w:val="Rodapé Char"/>
    <w:basedOn w:val="Fontepargpadro"/>
    <w:link w:val="Rodap"/>
    <w:uiPriority w:val="99"/>
    <w:rsid w:val="009F2D5E"/>
    <w:rPr>
      <w:rFonts w:ascii="Tahoma" w:hAnsi="Tahoma"/>
      <w:sz w:val="20"/>
    </w:rPr>
  </w:style>
  <w:style w:type="table" w:styleId="Tabelacomgrade">
    <w:name w:val="Table Grid"/>
    <w:basedOn w:val="Tabelanormal"/>
    <w:uiPriority w:val="39"/>
    <w:rsid w:val="009F2D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
    <w:rsid w:val="00B970FE"/>
    <w:rPr>
      <w:rFonts w:ascii="Tahoma" w:eastAsiaTheme="majorEastAsia" w:hAnsi="Tahoma" w:cstheme="majorBidi"/>
      <w:b/>
      <w:i/>
      <w:caps/>
      <w:sz w:val="18"/>
      <w:szCs w:val="32"/>
      <w:u w:val="words"/>
    </w:rPr>
  </w:style>
  <w:style w:type="paragraph" w:styleId="PargrafodaLista">
    <w:name w:val="List Paragraph"/>
    <w:basedOn w:val="Normal"/>
    <w:uiPriority w:val="34"/>
    <w:qFormat/>
    <w:rsid w:val="006A36D9"/>
    <w:pPr>
      <w:ind w:left="720"/>
    </w:pPr>
  </w:style>
  <w:style w:type="character" w:styleId="Hyperlink">
    <w:name w:val="Hyperlink"/>
    <w:basedOn w:val="Fontepargpadro"/>
    <w:uiPriority w:val="99"/>
    <w:unhideWhenUsed/>
    <w:rsid w:val="006A36D9"/>
    <w:rPr>
      <w:color w:val="0563C1" w:themeColor="hyperlink"/>
      <w:u w:val="single"/>
    </w:rPr>
  </w:style>
  <w:style w:type="character" w:customStyle="1" w:styleId="MenoPendente1">
    <w:name w:val="Menção Pendente1"/>
    <w:basedOn w:val="Fontepargpadro"/>
    <w:uiPriority w:val="99"/>
    <w:semiHidden/>
    <w:unhideWhenUsed/>
    <w:rsid w:val="006A36D9"/>
    <w:rPr>
      <w:color w:val="605E5C"/>
      <w:shd w:val="clear" w:color="auto" w:fill="E1DFDD"/>
    </w:rPr>
  </w:style>
  <w:style w:type="character" w:customStyle="1" w:styleId="Ttulo2Char">
    <w:name w:val="Título 2 Char"/>
    <w:basedOn w:val="Fontepargpadro"/>
    <w:link w:val="Ttulo2"/>
    <w:uiPriority w:val="9"/>
    <w:rsid w:val="00954363"/>
    <w:rPr>
      <w:rFonts w:ascii="Tahoma" w:eastAsiaTheme="majorEastAsia" w:hAnsi="Tahoma" w:cstheme="majorBidi"/>
      <w:b/>
      <w:i/>
      <w:caps/>
      <w:sz w:val="16"/>
      <w:szCs w:val="32"/>
      <w:u w:val="words"/>
    </w:rPr>
  </w:style>
  <w:style w:type="paragraph" w:styleId="Textodebalo">
    <w:name w:val="Balloon Text"/>
    <w:basedOn w:val="Normal"/>
    <w:link w:val="TextodebaloChar"/>
    <w:uiPriority w:val="99"/>
    <w:semiHidden/>
    <w:unhideWhenUsed/>
    <w:rsid w:val="00FE20DF"/>
    <w:pPr>
      <w:spacing w:after="0"/>
    </w:pPr>
    <w:rPr>
      <w:rFonts w:ascii="Segoe UI" w:hAnsi="Segoe UI" w:cs="Segoe UI"/>
      <w:szCs w:val="18"/>
    </w:rPr>
  </w:style>
  <w:style w:type="character" w:customStyle="1" w:styleId="TextodebaloChar">
    <w:name w:val="Texto de balão Char"/>
    <w:basedOn w:val="Fontepargpadro"/>
    <w:link w:val="Textodebalo"/>
    <w:uiPriority w:val="99"/>
    <w:semiHidden/>
    <w:rsid w:val="00FE20DF"/>
    <w:rPr>
      <w:rFonts w:ascii="Segoe UI" w:hAnsi="Segoe UI" w:cs="Segoe UI"/>
      <w:sz w:val="18"/>
      <w:szCs w:val="18"/>
    </w:rPr>
  </w:style>
  <w:style w:type="character" w:styleId="Refdecomentrio">
    <w:name w:val="annotation reference"/>
    <w:basedOn w:val="Fontepargpadro"/>
    <w:uiPriority w:val="99"/>
    <w:semiHidden/>
    <w:unhideWhenUsed/>
    <w:rsid w:val="00F60260"/>
    <w:rPr>
      <w:sz w:val="16"/>
      <w:szCs w:val="16"/>
    </w:rPr>
  </w:style>
  <w:style w:type="paragraph" w:styleId="Textodecomentrio">
    <w:name w:val="annotation text"/>
    <w:basedOn w:val="Normal"/>
    <w:link w:val="TextodecomentrioChar"/>
    <w:uiPriority w:val="99"/>
    <w:semiHidden/>
    <w:unhideWhenUsed/>
    <w:rsid w:val="00F60260"/>
    <w:rPr>
      <w:szCs w:val="20"/>
    </w:rPr>
  </w:style>
  <w:style w:type="character" w:customStyle="1" w:styleId="TextodecomentrioChar">
    <w:name w:val="Texto de comentário Char"/>
    <w:basedOn w:val="Fontepargpadro"/>
    <w:link w:val="Textodecomentrio"/>
    <w:uiPriority w:val="99"/>
    <w:semiHidden/>
    <w:rsid w:val="00F60260"/>
    <w:rPr>
      <w:rFonts w:ascii="Tahoma" w:hAnsi="Tahoma"/>
      <w:sz w:val="20"/>
      <w:szCs w:val="20"/>
    </w:rPr>
  </w:style>
  <w:style w:type="paragraph" w:styleId="Assuntodocomentrio">
    <w:name w:val="annotation subject"/>
    <w:basedOn w:val="Textodecomentrio"/>
    <w:next w:val="Textodecomentrio"/>
    <w:link w:val="AssuntodocomentrioChar"/>
    <w:uiPriority w:val="99"/>
    <w:semiHidden/>
    <w:unhideWhenUsed/>
    <w:rsid w:val="00F60260"/>
    <w:rPr>
      <w:b/>
      <w:bCs/>
    </w:rPr>
  </w:style>
  <w:style w:type="character" w:customStyle="1" w:styleId="AssuntodocomentrioChar">
    <w:name w:val="Assunto do comentário Char"/>
    <w:basedOn w:val="TextodecomentrioChar"/>
    <w:link w:val="Assuntodocomentrio"/>
    <w:uiPriority w:val="99"/>
    <w:semiHidden/>
    <w:rsid w:val="00F60260"/>
    <w:rPr>
      <w:rFonts w:ascii="Tahoma" w:hAnsi="Tahoma"/>
      <w:b/>
      <w:bCs/>
      <w:sz w:val="20"/>
      <w:szCs w:val="20"/>
    </w:rPr>
  </w:style>
  <w:style w:type="character" w:customStyle="1" w:styleId="Ttulo3Char">
    <w:name w:val="Título 3 Char"/>
    <w:basedOn w:val="Fontepargpadro"/>
    <w:link w:val="Ttulo3"/>
    <w:uiPriority w:val="9"/>
    <w:rsid w:val="00954363"/>
    <w:rPr>
      <w:rFonts w:ascii="Tahoma" w:eastAsiaTheme="majorEastAsia" w:hAnsi="Tahoma" w:cstheme="majorBidi"/>
      <w:b/>
      <w:smallCaps/>
      <w:sz w:val="16"/>
      <w:szCs w:val="24"/>
      <w:u w:val="single"/>
    </w:rPr>
  </w:style>
  <w:style w:type="paragraph" w:styleId="Textodenotaderodap">
    <w:name w:val="footnote text"/>
    <w:basedOn w:val="Normal"/>
    <w:link w:val="TextodenotaderodapChar"/>
    <w:uiPriority w:val="99"/>
    <w:semiHidden/>
    <w:unhideWhenUsed/>
    <w:rsid w:val="00047C7B"/>
    <w:pPr>
      <w:spacing w:after="0"/>
      <w:ind w:firstLine="0"/>
    </w:pPr>
    <w:rPr>
      <w:rFonts w:asciiTheme="minorHAnsi" w:hAnsiTheme="minorHAnsi"/>
      <w:szCs w:val="20"/>
    </w:rPr>
  </w:style>
  <w:style w:type="character" w:customStyle="1" w:styleId="TextodenotaderodapChar">
    <w:name w:val="Texto de nota de rodapé Char"/>
    <w:basedOn w:val="Fontepargpadro"/>
    <w:link w:val="Textodenotaderodap"/>
    <w:uiPriority w:val="99"/>
    <w:semiHidden/>
    <w:rsid w:val="00047C7B"/>
    <w:rPr>
      <w:sz w:val="20"/>
      <w:szCs w:val="20"/>
    </w:rPr>
  </w:style>
  <w:style w:type="character" w:styleId="Refdenotaderodap">
    <w:name w:val="footnote reference"/>
    <w:basedOn w:val="Fontepargpadro"/>
    <w:uiPriority w:val="99"/>
    <w:semiHidden/>
    <w:unhideWhenUsed/>
    <w:rsid w:val="00047C7B"/>
    <w:rPr>
      <w:vertAlign w:val="superscript"/>
    </w:rPr>
  </w:style>
  <w:style w:type="paragraph" w:styleId="Citao">
    <w:name w:val="Quote"/>
    <w:basedOn w:val="Normal"/>
    <w:next w:val="Normal"/>
    <w:link w:val="CitaoChar"/>
    <w:autoRedefine/>
    <w:uiPriority w:val="29"/>
    <w:qFormat/>
    <w:rsid w:val="00376212"/>
    <w:pPr>
      <w:spacing w:before="200" w:after="200"/>
      <w:ind w:left="2268" w:firstLine="0"/>
    </w:pPr>
    <w:rPr>
      <w:rFonts w:cs="Arial"/>
      <w:i/>
      <w:iCs/>
      <w:color w:val="000000"/>
      <w:szCs w:val="20"/>
      <w:shd w:val="clear" w:color="auto" w:fill="FFFFFF"/>
    </w:rPr>
  </w:style>
  <w:style w:type="character" w:customStyle="1" w:styleId="CitaoChar">
    <w:name w:val="Citação Char"/>
    <w:basedOn w:val="Fontepargpadro"/>
    <w:link w:val="Citao"/>
    <w:uiPriority w:val="29"/>
    <w:rsid w:val="00376212"/>
    <w:rPr>
      <w:rFonts w:ascii="Tahoma" w:hAnsi="Tahoma" w:cs="Arial"/>
      <w:i/>
      <w:iCs/>
      <w:color w:val="000000"/>
      <w:sz w:val="18"/>
      <w:szCs w:val="20"/>
    </w:rPr>
  </w:style>
  <w:style w:type="paragraph" w:styleId="SemEspaamento">
    <w:name w:val="No Spacing"/>
    <w:link w:val="SemEspaamentoChar"/>
    <w:uiPriority w:val="1"/>
    <w:qFormat/>
    <w:rsid w:val="00E47AAE"/>
    <w:pPr>
      <w:spacing w:after="0" w:line="240" w:lineRule="auto"/>
    </w:pPr>
    <w:rPr>
      <w:rFonts w:eastAsiaTheme="minorEastAsia"/>
      <w:lang w:eastAsia="pt-BR"/>
    </w:rPr>
  </w:style>
  <w:style w:type="character" w:customStyle="1" w:styleId="SemEspaamentoChar">
    <w:name w:val="Sem Espaçamento Char"/>
    <w:basedOn w:val="Fontepargpadro"/>
    <w:link w:val="SemEspaamento"/>
    <w:uiPriority w:val="1"/>
    <w:rsid w:val="00E47AAE"/>
    <w:rPr>
      <w:rFonts w:eastAsiaTheme="minorEastAsia"/>
      <w:lang w:eastAsia="pt-BR"/>
    </w:rPr>
  </w:style>
  <w:style w:type="paragraph" w:styleId="CabealhodoSumrio">
    <w:name w:val="TOC Heading"/>
    <w:basedOn w:val="Ttulo1"/>
    <w:next w:val="Normal"/>
    <w:uiPriority w:val="39"/>
    <w:unhideWhenUsed/>
    <w:qFormat/>
    <w:rsid w:val="005A641F"/>
    <w:pPr>
      <w:spacing w:line="259" w:lineRule="auto"/>
      <w:outlineLvl w:val="9"/>
    </w:pPr>
    <w:rPr>
      <w:rFonts w:asciiTheme="majorHAnsi" w:hAnsiTheme="majorHAnsi"/>
      <w:b w:val="0"/>
      <w:color w:val="2F5496" w:themeColor="accent1" w:themeShade="BF"/>
      <w:sz w:val="32"/>
      <w:lang w:eastAsia="pt-BR"/>
    </w:rPr>
  </w:style>
  <w:style w:type="paragraph" w:styleId="Sumrio2">
    <w:name w:val="toc 2"/>
    <w:basedOn w:val="Normal"/>
    <w:next w:val="Normal"/>
    <w:autoRedefine/>
    <w:uiPriority w:val="39"/>
    <w:unhideWhenUsed/>
    <w:rsid w:val="005A641F"/>
    <w:pPr>
      <w:spacing w:after="100" w:line="259" w:lineRule="auto"/>
      <w:ind w:left="220" w:firstLine="0"/>
    </w:pPr>
    <w:rPr>
      <w:rFonts w:asciiTheme="minorHAnsi" w:eastAsiaTheme="minorEastAsia" w:hAnsiTheme="minorHAnsi" w:cs="Times New Roman"/>
      <w:sz w:val="22"/>
      <w:lang w:eastAsia="pt-BR"/>
    </w:rPr>
  </w:style>
  <w:style w:type="paragraph" w:styleId="Sumrio1">
    <w:name w:val="toc 1"/>
    <w:basedOn w:val="Normal"/>
    <w:next w:val="Normal"/>
    <w:autoRedefine/>
    <w:uiPriority w:val="39"/>
    <w:unhideWhenUsed/>
    <w:rsid w:val="005A641F"/>
    <w:pPr>
      <w:spacing w:after="100" w:line="259" w:lineRule="auto"/>
      <w:ind w:firstLine="0"/>
    </w:pPr>
    <w:rPr>
      <w:rFonts w:asciiTheme="minorHAnsi" w:eastAsiaTheme="minorEastAsia" w:hAnsiTheme="minorHAnsi" w:cs="Times New Roman"/>
      <w:sz w:val="22"/>
      <w:lang w:eastAsia="pt-BR"/>
    </w:rPr>
  </w:style>
  <w:style w:type="paragraph" w:styleId="Sumrio3">
    <w:name w:val="toc 3"/>
    <w:basedOn w:val="Normal"/>
    <w:next w:val="Normal"/>
    <w:autoRedefine/>
    <w:uiPriority w:val="39"/>
    <w:unhideWhenUsed/>
    <w:rsid w:val="005A641F"/>
    <w:pPr>
      <w:spacing w:after="100" w:line="259" w:lineRule="auto"/>
      <w:ind w:left="440" w:firstLine="0"/>
    </w:pPr>
    <w:rPr>
      <w:rFonts w:asciiTheme="minorHAnsi" w:eastAsiaTheme="minorEastAsia" w:hAnsiTheme="minorHAnsi" w:cs="Times New Roman"/>
      <w:sz w:val="22"/>
      <w:lang w:eastAsia="pt-BR"/>
    </w:rPr>
  </w:style>
  <w:style w:type="character" w:customStyle="1" w:styleId="Ttulo4Char">
    <w:name w:val="Título 4 Char"/>
    <w:basedOn w:val="Fontepargpadro"/>
    <w:link w:val="Ttulo4"/>
    <w:uiPriority w:val="9"/>
    <w:rsid w:val="005C11A4"/>
    <w:rPr>
      <w:rFonts w:ascii="Tahoma" w:eastAsiaTheme="majorEastAsia" w:hAnsi="Tahoma" w:cstheme="majorBidi"/>
      <w:i/>
      <w:iCs/>
      <w:sz w:val="18"/>
    </w:rPr>
  </w:style>
  <w:style w:type="character" w:customStyle="1" w:styleId="Ttulo5Char">
    <w:name w:val="Título 5 Char"/>
    <w:basedOn w:val="Fontepargpadro"/>
    <w:link w:val="Ttulo5"/>
    <w:uiPriority w:val="9"/>
    <w:semiHidden/>
    <w:rsid w:val="00BF0E89"/>
    <w:rPr>
      <w:rFonts w:asciiTheme="majorHAnsi" w:eastAsiaTheme="majorEastAsia" w:hAnsiTheme="majorHAnsi" w:cstheme="majorBidi"/>
      <w:color w:val="2F5496" w:themeColor="accent1" w:themeShade="BF"/>
      <w:sz w:val="18"/>
    </w:rPr>
  </w:style>
  <w:style w:type="character" w:customStyle="1" w:styleId="Ttulo6Char">
    <w:name w:val="Título 6 Char"/>
    <w:basedOn w:val="Fontepargpadro"/>
    <w:link w:val="Ttulo6"/>
    <w:uiPriority w:val="9"/>
    <w:semiHidden/>
    <w:rsid w:val="00BF0E89"/>
    <w:rPr>
      <w:rFonts w:asciiTheme="majorHAnsi" w:eastAsiaTheme="majorEastAsia" w:hAnsiTheme="majorHAnsi" w:cstheme="majorBidi"/>
      <w:color w:val="1F3763" w:themeColor="accent1" w:themeShade="7F"/>
      <w:sz w:val="18"/>
    </w:rPr>
  </w:style>
  <w:style w:type="character" w:customStyle="1" w:styleId="Ttulo7Char">
    <w:name w:val="Título 7 Char"/>
    <w:basedOn w:val="Fontepargpadro"/>
    <w:link w:val="Ttulo7"/>
    <w:uiPriority w:val="9"/>
    <w:semiHidden/>
    <w:rsid w:val="00BF0E89"/>
    <w:rPr>
      <w:rFonts w:asciiTheme="majorHAnsi" w:eastAsiaTheme="majorEastAsia" w:hAnsiTheme="majorHAnsi" w:cstheme="majorBidi"/>
      <w:i/>
      <w:iCs/>
      <w:color w:val="1F3763" w:themeColor="accent1" w:themeShade="7F"/>
      <w:sz w:val="18"/>
    </w:rPr>
  </w:style>
  <w:style w:type="character" w:customStyle="1" w:styleId="Ttulo8Char">
    <w:name w:val="Título 8 Char"/>
    <w:basedOn w:val="Fontepargpadro"/>
    <w:link w:val="Ttulo8"/>
    <w:uiPriority w:val="9"/>
    <w:semiHidden/>
    <w:rsid w:val="00BF0E89"/>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semiHidden/>
    <w:rsid w:val="00BF0E89"/>
    <w:rPr>
      <w:rFonts w:asciiTheme="majorHAnsi" w:eastAsiaTheme="majorEastAsia" w:hAnsiTheme="majorHAnsi" w:cstheme="majorBidi"/>
      <w:i/>
      <w:iCs/>
      <w:color w:val="272727" w:themeColor="text1" w:themeTint="D8"/>
      <w:sz w:val="21"/>
      <w:szCs w:val="21"/>
    </w:rPr>
  </w:style>
  <w:style w:type="character" w:customStyle="1" w:styleId="fontstyle01">
    <w:name w:val="fontstyle01"/>
    <w:basedOn w:val="Fontepargpadro"/>
    <w:rsid w:val="00E02B62"/>
    <w:rPr>
      <w:rFonts w:ascii="Arial-BoldMT" w:hAnsi="Arial-BoldMT" w:hint="default"/>
      <w:b/>
      <w:bCs/>
      <w:i w:val="0"/>
      <w:iCs w:val="0"/>
      <w:color w:val="0000FF"/>
      <w:sz w:val="18"/>
      <w:szCs w:val="18"/>
    </w:rPr>
  </w:style>
  <w:style w:type="character" w:customStyle="1" w:styleId="fontstyle21">
    <w:name w:val="fontstyle21"/>
    <w:basedOn w:val="Fontepargpadro"/>
    <w:rsid w:val="00E02B62"/>
    <w:rPr>
      <w:rFonts w:ascii="ArialMT" w:hAnsi="ArialMT" w:hint="default"/>
      <w:b w:val="0"/>
      <w:bCs w:val="0"/>
      <w:i w:val="0"/>
      <w:iCs w:val="0"/>
      <w:color w:val="000000"/>
      <w:sz w:val="18"/>
      <w:szCs w:val="18"/>
    </w:rPr>
  </w:style>
  <w:style w:type="paragraph" w:styleId="CitaoIntensa">
    <w:name w:val="Intense Quote"/>
    <w:basedOn w:val="Normal"/>
    <w:next w:val="Normal"/>
    <w:link w:val="CitaoIntensaChar"/>
    <w:uiPriority w:val="30"/>
    <w:qFormat/>
    <w:rsid w:val="0053023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oIntensaChar">
    <w:name w:val="Citação Intensa Char"/>
    <w:basedOn w:val="Fontepargpadro"/>
    <w:link w:val="CitaoIntensa"/>
    <w:uiPriority w:val="30"/>
    <w:rsid w:val="00530232"/>
    <w:rPr>
      <w:rFonts w:ascii="Tahoma" w:hAnsi="Tahoma"/>
      <w:i/>
      <w:iCs/>
      <w:color w:val="4472C4" w:themeColor="accent1"/>
      <w:sz w:val="20"/>
    </w:rPr>
  </w:style>
  <w:style w:type="paragraph" w:customStyle="1" w:styleId="Default">
    <w:name w:val="Default"/>
    <w:rsid w:val="008F76F3"/>
    <w:pPr>
      <w:autoSpaceDE w:val="0"/>
      <w:autoSpaceDN w:val="0"/>
      <w:adjustRightInd w:val="0"/>
      <w:spacing w:after="0" w:line="240" w:lineRule="auto"/>
    </w:pPr>
    <w:rPr>
      <w:rFonts w:ascii="Times New Roman" w:hAnsi="Times New Roman" w:cs="Times New Roman"/>
      <w:color w:val="000000"/>
      <w:sz w:val="24"/>
      <w:szCs w:val="24"/>
    </w:rPr>
  </w:style>
  <w:style w:type="character" w:styleId="MenoPendente">
    <w:name w:val="Unresolved Mention"/>
    <w:basedOn w:val="Fontepargpadro"/>
    <w:uiPriority w:val="99"/>
    <w:semiHidden/>
    <w:unhideWhenUsed/>
    <w:rsid w:val="0094489A"/>
    <w:rPr>
      <w:color w:val="605E5C"/>
      <w:shd w:val="clear" w:color="auto" w:fill="E1DFDD"/>
    </w:rPr>
  </w:style>
  <w:style w:type="character" w:styleId="Forte">
    <w:name w:val="Strong"/>
    <w:basedOn w:val="Fontepargpadro"/>
    <w:uiPriority w:val="22"/>
    <w:qFormat/>
    <w:rsid w:val="001B53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84773">
      <w:bodyDiv w:val="1"/>
      <w:marLeft w:val="0"/>
      <w:marRight w:val="0"/>
      <w:marTop w:val="0"/>
      <w:marBottom w:val="0"/>
      <w:divBdr>
        <w:top w:val="none" w:sz="0" w:space="0" w:color="auto"/>
        <w:left w:val="none" w:sz="0" w:space="0" w:color="auto"/>
        <w:bottom w:val="none" w:sz="0" w:space="0" w:color="auto"/>
        <w:right w:val="none" w:sz="0" w:space="0" w:color="auto"/>
      </w:divBdr>
      <w:divsChild>
        <w:div w:id="222642951">
          <w:marLeft w:val="0"/>
          <w:marRight w:val="0"/>
          <w:marTop w:val="0"/>
          <w:marBottom w:val="0"/>
          <w:divBdr>
            <w:top w:val="none" w:sz="0" w:space="0" w:color="auto"/>
            <w:left w:val="none" w:sz="0" w:space="0" w:color="auto"/>
            <w:bottom w:val="none" w:sz="0" w:space="0" w:color="auto"/>
            <w:right w:val="none" w:sz="0" w:space="0" w:color="auto"/>
          </w:divBdr>
          <w:divsChild>
            <w:div w:id="437915699">
              <w:marLeft w:val="0"/>
              <w:marRight w:val="0"/>
              <w:marTop w:val="0"/>
              <w:marBottom w:val="0"/>
              <w:divBdr>
                <w:top w:val="none" w:sz="0" w:space="0" w:color="auto"/>
                <w:left w:val="none" w:sz="0" w:space="0" w:color="auto"/>
                <w:bottom w:val="none" w:sz="0" w:space="0" w:color="auto"/>
                <w:right w:val="none" w:sz="0" w:space="0" w:color="auto"/>
              </w:divBdr>
              <w:divsChild>
                <w:div w:id="1142691649">
                  <w:marLeft w:val="0"/>
                  <w:marRight w:val="0"/>
                  <w:marTop w:val="0"/>
                  <w:marBottom w:val="0"/>
                  <w:divBdr>
                    <w:top w:val="none" w:sz="0" w:space="0" w:color="auto"/>
                    <w:left w:val="none" w:sz="0" w:space="0" w:color="auto"/>
                    <w:bottom w:val="none" w:sz="0" w:space="0" w:color="auto"/>
                    <w:right w:val="none" w:sz="0" w:space="0" w:color="auto"/>
                  </w:divBdr>
                  <w:divsChild>
                    <w:div w:id="2082940375">
                      <w:marLeft w:val="0"/>
                      <w:marRight w:val="0"/>
                      <w:marTop w:val="0"/>
                      <w:marBottom w:val="0"/>
                      <w:divBdr>
                        <w:top w:val="none" w:sz="0" w:space="0" w:color="auto"/>
                        <w:left w:val="none" w:sz="0" w:space="0" w:color="auto"/>
                        <w:bottom w:val="none" w:sz="0" w:space="0" w:color="auto"/>
                        <w:right w:val="none" w:sz="0" w:space="0" w:color="auto"/>
                      </w:divBdr>
                      <w:divsChild>
                        <w:div w:id="1203790374">
                          <w:marLeft w:val="0"/>
                          <w:marRight w:val="0"/>
                          <w:marTop w:val="0"/>
                          <w:marBottom w:val="0"/>
                          <w:divBdr>
                            <w:top w:val="none" w:sz="0" w:space="0" w:color="auto"/>
                            <w:left w:val="none" w:sz="0" w:space="0" w:color="auto"/>
                            <w:bottom w:val="none" w:sz="0" w:space="0" w:color="auto"/>
                            <w:right w:val="none" w:sz="0" w:space="0" w:color="auto"/>
                          </w:divBdr>
                          <w:divsChild>
                            <w:div w:id="738403753">
                              <w:marLeft w:val="0"/>
                              <w:marRight w:val="0"/>
                              <w:marTop w:val="0"/>
                              <w:marBottom w:val="0"/>
                              <w:divBdr>
                                <w:top w:val="none" w:sz="0" w:space="0" w:color="auto"/>
                                <w:left w:val="none" w:sz="0" w:space="0" w:color="auto"/>
                                <w:bottom w:val="none" w:sz="0" w:space="0" w:color="auto"/>
                                <w:right w:val="none" w:sz="0" w:space="0" w:color="auto"/>
                              </w:divBdr>
                              <w:divsChild>
                                <w:div w:id="769469361">
                                  <w:marLeft w:val="0"/>
                                  <w:marRight w:val="0"/>
                                  <w:marTop w:val="0"/>
                                  <w:marBottom w:val="0"/>
                                  <w:divBdr>
                                    <w:top w:val="none" w:sz="0" w:space="0" w:color="auto"/>
                                    <w:left w:val="none" w:sz="0" w:space="0" w:color="auto"/>
                                    <w:bottom w:val="none" w:sz="0" w:space="0" w:color="auto"/>
                                    <w:right w:val="none" w:sz="0" w:space="0" w:color="auto"/>
                                  </w:divBdr>
                                  <w:divsChild>
                                    <w:div w:id="14116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179607">
      <w:bodyDiv w:val="1"/>
      <w:marLeft w:val="0"/>
      <w:marRight w:val="0"/>
      <w:marTop w:val="0"/>
      <w:marBottom w:val="0"/>
      <w:divBdr>
        <w:top w:val="none" w:sz="0" w:space="0" w:color="auto"/>
        <w:left w:val="none" w:sz="0" w:space="0" w:color="auto"/>
        <w:bottom w:val="none" w:sz="0" w:space="0" w:color="auto"/>
        <w:right w:val="none" w:sz="0" w:space="0" w:color="auto"/>
      </w:divBdr>
    </w:div>
    <w:div w:id="45810173">
      <w:bodyDiv w:val="1"/>
      <w:marLeft w:val="0"/>
      <w:marRight w:val="0"/>
      <w:marTop w:val="0"/>
      <w:marBottom w:val="0"/>
      <w:divBdr>
        <w:top w:val="none" w:sz="0" w:space="0" w:color="auto"/>
        <w:left w:val="none" w:sz="0" w:space="0" w:color="auto"/>
        <w:bottom w:val="none" w:sz="0" w:space="0" w:color="auto"/>
        <w:right w:val="none" w:sz="0" w:space="0" w:color="auto"/>
      </w:divBdr>
    </w:div>
    <w:div w:id="56904274">
      <w:bodyDiv w:val="1"/>
      <w:marLeft w:val="0"/>
      <w:marRight w:val="0"/>
      <w:marTop w:val="0"/>
      <w:marBottom w:val="0"/>
      <w:divBdr>
        <w:top w:val="none" w:sz="0" w:space="0" w:color="auto"/>
        <w:left w:val="none" w:sz="0" w:space="0" w:color="auto"/>
        <w:bottom w:val="none" w:sz="0" w:space="0" w:color="auto"/>
        <w:right w:val="none" w:sz="0" w:space="0" w:color="auto"/>
      </w:divBdr>
    </w:div>
    <w:div w:id="68893679">
      <w:bodyDiv w:val="1"/>
      <w:marLeft w:val="0"/>
      <w:marRight w:val="0"/>
      <w:marTop w:val="0"/>
      <w:marBottom w:val="0"/>
      <w:divBdr>
        <w:top w:val="none" w:sz="0" w:space="0" w:color="auto"/>
        <w:left w:val="none" w:sz="0" w:space="0" w:color="auto"/>
        <w:bottom w:val="none" w:sz="0" w:space="0" w:color="auto"/>
        <w:right w:val="none" w:sz="0" w:space="0" w:color="auto"/>
      </w:divBdr>
    </w:div>
    <w:div w:id="71238125">
      <w:bodyDiv w:val="1"/>
      <w:marLeft w:val="0"/>
      <w:marRight w:val="0"/>
      <w:marTop w:val="0"/>
      <w:marBottom w:val="0"/>
      <w:divBdr>
        <w:top w:val="none" w:sz="0" w:space="0" w:color="auto"/>
        <w:left w:val="none" w:sz="0" w:space="0" w:color="auto"/>
        <w:bottom w:val="none" w:sz="0" w:space="0" w:color="auto"/>
        <w:right w:val="none" w:sz="0" w:space="0" w:color="auto"/>
      </w:divBdr>
    </w:div>
    <w:div w:id="145711035">
      <w:bodyDiv w:val="1"/>
      <w:marLeft w:val="0"/>
      <w:marRight w:val="0"/>
      <w:marTop w:val="0"/>
      <w:marBottom w:val="0"/>
      <w:divBdr>
        <w:top w:val="none" w:sz="0" w:space="0" w:color="auto"/>
        <w:left w:val="none" w:sz="0" w:space="0" w:color="auto"/>
        <w:bottom w:val="none" w:sz="0" w:space="0" w:color="auto"/>
        <w:right w:val="none" w:sz="0" w:space="0" w:color="auto"/>
      </w:divBdr>
    </w:div>
    <w:div w:id="152139183">
      <w:bodyDiv w:val="1"/>
      <w:marLeft w:val="0"/>
      <w:marRight w:val="0"/>
      <w:marTop w:val="0"/>
      <w:marBottom w:val="0"/>
      <w:divBdr>
        <w:top w:val="none" w:sz="0" w:space="0" w:color="auto"/>
        <w:left w:val="none" w:sz="0" w:space="0" w:color="auto"/>
        <w:bottom w:val="none" w:sz="0" w:space="0" w:color="auto"/>
        <w:right w:val="none" w:sz="0" w:space="0" w:color="auto"/>
      </w:divBdr>
    </w:div>
    <w:div w:id="164782086">
      <w:bodyDiv w:val="1"/>
      <w:marLeft w:val="0"/>
      <w:marRight w:val="0"/>
      <w:marTop w:val="0"/>
      <w:marBottom w:val="0"/>
      <w:divBdr>
        <w:top w:val="none" w:sz="0" w:space="0" w:color="auto"/>
        <w:left w:val="none" w:sz="0" w:space="0" w:color="auto"/>
        <w:bottom w:val="none" w:sz="0" w:space="0" w:color="auto"/>
        <w:right w:val="none" w:sz="0" w:space="0" w:color="auto"/>
      </w:divBdr>
    </w:div>
    <w:div w:id="178548234">
      <w:bodyDiv w:val="1"/>
      <w:marLeft w:val="0"/>
      <w:marRight w:val="0"/>
      <w:marTop w:val="0"/>
      <w:marBottom w:val="0"/>
      <w:divBdr>
        <w:top w:val="none" w:sz="0" w:space="0" w:color="auto"/>
        <w:left w:val="none" w:sz="0" w:space="0" w:color="auto"/>
        <w:bottom w:val="none" w:sz="0" w:space="0" w:color="auto"/>
        <w:right w:val="none" w:sz="0" w:space="0" w:color="auto"/>
      </w:divBdr>
    </w:div>
    <w:div w:id="198975541">
      <w:bodyDiv w:val="1"/>
      <w:marLeft w:val="0"/>
      <w:marRight w:val="0"/>
      <w:marTop w:val="0"/>
      <w:marBottom w:val="0"/>
      <w:divBdr>
        <w:top w:val="none" w:sz="0" w:space="0" w:color="auto"/>
        <w:left w:val="none" w:sz="0" w:space="0" w:color="auto"/>
        <w:bottom w:val="none" w:sz="0" w:space="0" w:color="auto"/>
        <w:right w:val="none" w:sz="0" w:space="0" w:color="auto"/>
      </w:divBdr>
    </w:div>
    <w:div w:id="200096497">
      <w:bodyDiv w:val="1"/>
      <w:marLeft w:val="0"/>
      <w:marRight w:val="0"/>
      <w:marTop w:val="0"/>
      <w:marBottom w:val="0"/>
      <w:divBdr>
        <w:top w:val="none" w:sz="0" w:space="0" w:color="auto"/>
        <w:left w:val="none" w:sz="0" w:space="0" w:color="auto"/>
        <w:bottom w:val="none" w:sz="0" w:space="0" w:color="auto"/>
        <w:right w:val="none" w:sz="0" w:space="0" w:color="auto"/>
      </w:divBdr>
      <w:divsChild>
        <w:div w:id="1537503464">
          <w:marLeft w:val="0"/>
          <w:marRight w:val="0"/>
          <w:marTop w:val="0"/>
          <w:marBottom w:val="0"/>
          <w:divBdr>
            <w:top w:val="none" w:sz="0" w:space="0" w:color="auto"/>
            <w:left w:val="none" w:sz="0" w:space="0" w:color="auto"/>
            <w:bottom w:val="none" w:sz="0" w:space="0" w:color="auto"/>
            <w:right w:val="none" w:sz="0" w:space="0" w:color="auto"/>
          </w:divBdr>
          <w:divsChild>
            <w:div w:id="360980094">
              <w:marLeft w:val="0"/>
              <w:marRight w:val="0"/>
              <w:marTop w:val="0"/>
              <w:marBottom w:val="0"/>
              <w:divBdr>
                <w:top w:val="none" w:sz="0" w:space="0" w:color="auto"/>
                <w:left w:val="none" w:sz="0" w:space="0" w:color="auto"/>
                <w:bottom w:val="none" w:sz="0" w:space="0" w:color="auto"/>
                <w:right w:val="none" w:sz="0" w:space="0" w:color="auto"/>
              </w:divBdr>
              <w:divsChild>
                <w:div w:id="187454444">
                  <w:marLeft w:val="0"/>
                  <w:marRight w:val="0"/>
                  <w:marTop w:val="0"/>
                  <w:marBottom w:val="0"/>
                  <w:divBdr>
                    <w:top w:val="none" w:sz="0" w:space="0" w:color="auto"/>
                    <w:left w:val="none" w:sz="0" w:space="0" w:color="auto"/>
                    <w:bottom w:val="none" w:sz="0" w:space="0" w:color="auto"/>
                    <w:right w:val="none" w:sz="0" w:space="0" w:color="auto"/>
                  </w:divBdr>
                  <w:divsChild>
                    <w:div w:id="2133596709">
                      <w:marLeft w:val="0"/>
                      <w:marRight w:val="0"/>
                      <w:marTop w:val="0"/>
                      <w:marBottom w:val="0"/>
                      <w:divBdr>
                        <w:top w:val="none" w:sz="0" w:space="0" w:color="auto"/>
                        <w:left w:val="none" w:sz="0" w:space="0" w:color="auto"/>
                        <w:bottom w:val="none" w:sz="0" w:space="0" w:color="auto"/>
                        <w:right w:val="none" w:sz="0" w:space="0" w:color="auto"/>
                      </w:divBdr>
                      <w:divsChild>
                        <w:div w:id="398939145">
                          <w:marLeft w:val="0"/>
                          <w:marRight w:val="0"/>
                          <w:marTop w:val="0"/>
                          <w:marBottom w:val="0"/>
                          <w:divBdr>
                            <w:top w:val="none" w:sz="0" w:space="0" w:color="auto"/>
                            <w:left w:val="none" w:sz="0" w:space="0" w:color="auto"/>
                            <w:bottom w:val="none" w:sz="0" w:space="0" w:color="auto"/>
                            <w:right w:val="none" w:sz="0" w:space="0" w:color="auto"/>
                          </w:divBdr>
                          <w:divsChild>
                            <w:div w:id="355742424">
                              <w:marLeft w:val="0"/>
                              <w:marRight w:val="0"/>
                              <w:marTop w:val="0"/>
                              <w:marBottom w:val="0"/>
                              <w:divBdr>
                                <w:top w:val="none" w:sz="0" w:space="0" w:color="auto"/>
                                <w:left w:val="none" w:sz="0" w:space="0" w:color="auto"/>
                                <w:bottom w:val="none" w:sz="0" w:space="0" w:color="auto"/>
                                <w:right w:val="none" w:sz="0" w:space="0" w:color="auto"/>
                              </w:divBdr>
                              <w:divsChild>
                                <w:div w:id="1422026406">
                                  <w:marLeft w:val="0"/>
                                  <w:marRight w:val="0"/>
                                  <w:marTop w:val="0"/>
                                  <w:marBottom w:val="0"/>
                                  <w:divBdr>
                                    <w:top w:val="none" w:sz="0" w:space="0" w:color="auto"/>
                                    <w:left w:val="none" w:sz="0" w:space="0" w:color="auto"/>
                                    <w:bottom w:val="none" w:sz="0" w:space="0" w:color="auto"/>
                                    <w:right w:val="none" w:sz="0" w:space="0" w:color="auto"/>
                                  </w:divBdr>
                                  <w:divsChild>
                                    <w:div w:id="70969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797477">
      <w:bodyDiv w:val="1"/>
      <w:marLeft w:val="0"/>
      <w:marRight w:val="0"/>
      <w:marTop w:val="0"/>
      <w:marBottom w:val="0"/>
      <w:divBdr>
        <w:top w:val="none" w:sz="0" w:space="0" w:color="auto"/>
        <w:left w:val="none" w:sz="0" w:space="0" w:color="auto"/>
        <w:bottom w:val="none" w:sz="0" w:space="0" w:color="auto"/>
        <w:right w:val="none" w:sz="0" w:space="0" w:color="auto"/>
      </w:divBdr>
    </w:div>
    <w:div w:id="228686391">
      <w:bodyDiv w:val="1"/>
      <w:marLeft w:val="0"/>
      <w:marRight w:val="0"/>
      <w:marTop w:val="0"/>
      <w:marBottom w:val="0"/>
      <w:divBdr>
        <w:top w:val="none" w:sz="0" w:space="0" w:color="auto"/>
        <w:left w:val="none" w:sz="0" w:space="0" w:color="auto"/>
        <w:bottom w:val="none" w:sz="0" w:space="0" w:color="auto"/>
        <w:right w:val="none" w:sz="0" w:space="0" w:color="auto"/>
      </w:divBdr>
    </w:div>
    <w:div w:id="241375018">
      <w:bodyDiv w:val="1"/>
      <w:marLeft w:val="0"/>
      <w:marRight w:val="0"/>
      <w:marTop w:val="0"/>
      <w:marBottom w:val="0"/>
      <w:divBdr>
        <w:top w:val="none" w:sz="0" w:space="0" w:color="auto"/>
        <w:left w:val="none" w:sz="0" w:space="0" w:color="auto"/>
        <w:bottom w:val="none" w:sz="0" w:space="0" w:color="auto"/>
        <w:right w:val="none" w:sz="0" w:space="0" w:color="auto"/>
      </w:divBdr>
    </w:div>
    <w:div w:id="250117893">
      <w:bodyDiv w:val="1"/>
      <w:marLeft w:val="0"/>
      <w:marRight w:val="0"/>
      <w:marTop w:val="0"/>
      <w:marBottom w:val="0"/>
      <w:divBdr>
        <w:top w:val="none" w:sz="0" w:space="0" w:color="auto"/>
        <w:left w:val="none" w:sz="0" w:space="0" w:color="auto"/>
        <w:bottom w:val="none" w:sz="0" w:space="0" w:color="auto"/>
        <w:right w:val="none" w:sz="0" w:space="0" w:color="auto"/>
      </w:divBdr>
    </w:div>
    <w:div w:id="276570083">
      <w:bodyDiv w:val="1"/>
      <w:marLeft w:val="0"/>
      <w:marRight w:val="0"/>
      <w:marTop w:val="0"/>
      <w:marBottom w:val="0"/>
      <w:divBdr>
        <w:top w:val="none" w:sz="0" w:space="0" w:color="auto"/>
        <w:left w:val="none" w:sz="0" w:space="0" w:color="auto"/>
        <w:bottom w:val="none" w:sz="0" w:space="0" w:color="auto"/>
        <w:right w:val="none" w:sz="0" w:space="0" w:color="auto"/>
      </w:divBdr>
    </w:div>
    <w:div w:id="286929750">
      <w:bodyDiv w:val="1"/>
      <w:marLeft w:val="0"/>
      <w:marRight w:val="0"/>
      <w:marTop w:val="0"/>
      <w:marBottom w:val="0"/>
      <w:divBdr>
        <w:top w:val="none" w:sz="0" w:space="0" w:color="auto"/>
        <w:left w:val="none" w:sz="0" w:space="0" w:color="auto"/>
        <w:bottom w:val="none" w:sz="0" w:space="0" w:color="auto"/>
        <w:right w:val="none" w:sz="0" w:space="0" w:color="auto"/>
      </w:divBdr>
    </w:div>
    <w:div w:id="331298446">
      <w:bodyDiv w:val="1"/>
      <w:marLeft w:val="0"/>
      <w:marRight w:val="0"/>
      <w:marTop w:val="0"/>
      <w:marBottom w:val="0"/>
      <w:divBdr>
        <w:top w:val="none" w:sz="0" w:space="0" w:color="auto"/>
        <w:left w:val="none" w:sz="0" w:space="0" w:color="auto"/>
        <w:bottom w:val="none" w:sz="0" w:space="0" w:color="auto"/>
        <w:right w:val="none" w:sz="0" w:space="0" w:color="auto"/>
      </w:divBdr>
    </w:div>
    <w:div w:id="338313938">
      <w:bodyDiv w:val="1"/>
      <w:marLeft w:val="0"/>
      <w:marRight w:val="0"/>
      <w:marTop w:val="0"/>
      <w:marBottom w:val="0"/>
      <w:divBdr>
        <w:top w:val="none" w:sz="0" w:space="0" w:color="auto"/>
        <w:left w:val="none" w:sz="0" w:space="0" w:color="auto"/>
        <w:bottom w:val="none" w:sz="0" w:space="0" w:color="auto"/>
        <w:right w:val="none" w:sz="0" w:space="0" w:color="auto"/>
      </w:divBdr>
    </w:div>
    <w:div w:id="468591873">
      <w:bodyDiv w:val="1"/>
      <w:marLeft w:val="0"/>
      <w:marRight w:val="0"/>
      <w:marTop w:val="0"/>
      <w:marBottom w:val="0"/>
      <w:divBdr>
        <w:top w:val="none" w:sz="0" w:space="0" w:color="auto"/>
        <w:left w:val="none" w:sz="0" w:space="0" w:color="auto"/>
        <w:bottom w:val="none" w:sz="0" w:space="0" w:color="auto"/>
        <w:right w:val="none" w:sz="0" w:space="0" w:color="auto"/>
      </w:divBdr>
    </w:div>
    <w:div w:id="511916741">
      <w:bodyDiv w:val="1"/>
      <w:marLeft w:val="0"/>
      <w:marRight w:val="0"/>
      <w:marTop w:val="0"/>
      <w:marBottom w:val="0"/>
      <w:divBdr>
        <w:top w:val="none" w:sz="0" w:space="0" w:color="auto"/>
        <w:left w:val="none" w:sz="0" w:space="0" w:color="auto"/>
        <w:bottom w:val="none" w:sz="0" w:space="0" w:color="auto"/>
        <w:right w:val="none" w:sz="0" w:space="0" w:color="auto"/>
      </w:divBdr>
    </w:div>
    <w:div w:id="555316569">
      <w:bodyDiv w:val="1"/>
      <w:marLeft w:val="0"/>
      <w:marRight w:val="0"/>
      <w:marTop w:val="0"/>
      <w:marBottom w:val="0"/>
      <w:divBdr>
        <w:top w:val="none" w:sz="0" w:space="0" w:color="auto"/>
        <w:left w:val="none" w:sz="0" w:space="0" w:color="auto"/>
        <w:bottom w:val="none" w:sz="0" w:space="0" w:color="auto"/>
        <w:right w:val="none" w:sz="0" w:space="0" w:color="auto"/>
      </w:divBdr>
    </w:div>
    <w:div w:id="561907078">
      <w:bodyDiv w:val="1"/>
      <w:marLeft w:val="0"/>
      <w:marRight w:val="0"/>
      <w:marTop w:val="0"/>
      <w:marBottom w:val="0"/>
      <w:divBdr>
        <w:top w:val="none" w:sz="0" w:space="0" w:color="auto"/>
        <w:left w:val="none" w:sz="0" w:space="0" w:color="auto"/>
        <w:bottom w:val="none" w:sz="0" w:space="0" w:color="auto"/>
        <w:right w:val="none" w:sz="0" w:space="0" w:color="auto"/>
      </w:divBdr>
    </w:div>
    <w:div w:id="565409970">
      <w:bodyDiv w:val="1"/>
      <w:marLeft w:val="0"/>
      <w:marRight w:val="0"/>
      <w:marTop w:val="0"/>
      <w:marBottom w:val="0"/>
      <w:divBdr>
        <w:top w:val="none" w:sz="0" w:space="0" w:color="auto"/>
        <w:left w:val="none" w:sz="0" w:space="0" w:color="auto"/>
        <w:bottom w:val="none" w:sz="0" w:space="0" w:color="auto"/>
        <w:right w:val="none" w:sz="0" w:space="0" w:color="auto"/>
      </w:divBdr>
    </w:div>
    <w:div w:id="565578482">
      <w:bodyDiv w:val="1"/>
      <w:marLeft w:val="0"/>
      <w:marRight w:val="0"/>
      <w:marTop w:val="0"/>
      <w:marBottom w:val="0"/>
      <w:divBdr>
        <w:top w:val="none" w:sz="0" w:space="0" w:color="auto"/>
        <w:left w:val="none" w:sz="0" w:space="0" w:color="auto"/>
        <w:bottom w:val="none" w:sz="0" w:space="0" w:color="auto"/>
        <w:right w:val="none" w:sz="0" w:space="0" w:color="auto"/>
      </w:divBdr>
    </w:div>
    <w:div w:id="591157982">
      <w:bodyDiv w:val="1"/>
      <w:marLeft w:val="0"/>
      <w:marRight w:val="0"/>
      <w:marTop w:val="0"/>
      <w:marBottom w:val="0"/>
      <w:divBdr>
        <w:top w:val="none" w:sz="0" w:space="0" w:color="auto"/>
        <w:left w:val="none" w:sz="0" w:space="0" w:color="auto"/>
        <w:bottom w:val="none" w:sz="0" w:space="0" w:color="auto"/>
        <w:right w:val="none" w:sz="0" w:space="0" w:color="auto"/>
      </w:divBdr>
    </w:div>
    <w:div w:id="609626153">
      <w:bodyDiv w:val="1"/>
      <w:marLeft w:val="0"/>
      <w:marRight w:val="0"/>
      <w:marTop w:val="0"/>
      <w:marBottom w:val="0"/>
      <w:divBdr>
        <w:top w:val="none" w:sz="0" w:space="0" w:color="auto"/>
        <w:left w:val="none" w:sz="0" w:space="0" w:color="auto"/>
        <w:bottom w:val="none" w:sz="0" w:space="0" w:color="auto"/>
        <w:right w:val="none" w:sz="0" w:space="0" w:color="auto"/>
      </w:divBdr>
    </w:div>
    <w:div w:id="620192345">
      <w:bodyDiv w:val="1"/>
      <w:marLeft w:val="0"/>
      <w:marRight w:val="0"/>
      <w:marTop w:val="0"/>
      <w:marBottom w:val="0"/>
      <w:divBdr>
        <w:top w:val="none" w:sz="0" w:space="0" w:color="auto"/>
        <w:left w:val="none" w:sz="0" w:space="0" w:color="auto"/>
        <w:bottom w:val="none" w:sz="0" w:space="0" w:color="auto"/>
        <w:right w:val="none" w:sz="0" w:space="0" w:color="auto"/>
      </w:divBdr>
    </w:div>
    <w:div w:id="812678171">
      <w:bodyDiv w:val="1"/>
      <w:marLeft w:val="0"/>
      <w:marRight w:val="0"/>
      <w:marTop w:val="0"/>
      <w:marBottom w:val="0"/>
      <w:divBdr>
        <w:top w:val="none" w:sz="0" w:space="0" w:color="auto"/>
        <w:left w:val="none" w:sz="0" w:space="0" w:color="auto"/>
        <w:bottom w:val="none" w:sz="0" w:space="0" w:color="auto"/>
        <w:right w:val="none" w:sz="0" w:space="0" w:color="auto"/>
      </w:divBdr>
    </w:div>
    <w:div w:id="821045525">
      <w:bodyDiv w:val="1"/>
      <w:marLeft w:val="0"/>
      <w:marRight w:val="0"/>
      <w:marTop w:val="0"/>
      <w:marBottom w:val="0"/>
      <w:divBdr>
        <w:top w:val="none" w:sz="0" w:space="0" w:color="auto"/>
        <w:left w:val="none" w:sz="0" w:space="0" w:color="auto"/>
        <w:bottom w:val="none" w:sz="0" w:space="0" w:color="auto"/>
        <w:right w:val="none" w:sz="0" w:space="0" w:color="auto"/>
      </w:divBdr>
    </w:div>
    <w:div w:id="837040682">
      <w:bodyDiv w:val="1"/>
      <w:marLeft w:val="0"/>
      <w:marRight w:val="0"/>
      <w:marTop w:val="0"/>
      <w:marBottom w:val="0"/>
      <w:divBdr>
        <w:top w:val="none" w:sz="0" w:space="0" w:color="auto"/>
        <w:left w:val="none" w:sz="0" w:space="0" w:color="auto"/>
        <w:bottom w:val="none" w:sz="0" w:space="0" w:color="auto"/>
        <w:right w:val="none" w:sz="0" w:space="0" w:color="auto"/>
      </w:divBdr>
    </w:div>
    <w:div w:id="840701877">
      <w:bodyDiv w:val="1"/>
      <w:marLeft w:val="0"/>
      <w:marRight w:val="0"/>
      <w:marTop w:val="0"/>
      <w:marBottom w:val="0"/>
      <w:divBdr>
        <w:top w:val="none" w:sz="0" w:space="0" w:color="auto"/>
        <w:left w:val="none" w:sz="0" w:space="0" w:color="auto"/>
        <w:bottom w:val="none" w:sz="0" w:space="0" w:color="auto"/>
        <w:right w:val="none" w:sz="0" w:space="0" w:color="auto"/>
      </w:divBdr>
    </w:div>
    <w:div w:id="858004548">
      <w:bodyDiv w:val="1"/>
      <w:marLeft w:val="0"/>
      <w:marRight w:val="0"/>
      <w:marTop w:val="0"/>
      <w:marBottom w:val="0"/>
      <w:divBdr>
        <w:top w:val="none" w:sz="0" w:space="0" w:color="auto"/>
        <w:left w:val="none" w:sz="0" w:space="0" w:color="auto"/>
        <w:bottom w:val="none" w:sz="0" w:space="0" w:color="auto"/>
        <w:right w:val="none" w:sz="0" w:space="0" w:color="auto"/>
      </w:divBdr>
    </w:div>
    <w:div w:id="861552193">
      <w:bodyDiv w:val="1"/>
      <w:marLeft w:val="0"/>
      <w:marRight w:val="0"/>
      <w:marTop w:val="0"/>
      <w:marBottom w:val="0"/>
      <w:divBdr>
        <w:top w:val="none" w:sz="0" w:space="0" w:color="auto"/>
        <w:left w:val="none" w:sz="0" w:space="0" w:color="auto"/>
        <w:bottom w:val="none" w:sz="0" w:space="0" w:color="auto"/>
        <w:right w:val="none" w:sz="0" w:space="0" w:color="auto"/>
      </w:divBdr>
    </w:div>
    <w:div w:id="873931186">
      <w:bodyDiv w:val="1"/>
      <w:marLeft w:val="0"/>
      <w:marRight w:val="0"/>
      <w:marTop w:val="0"/>
      <w:marBottom w:val="0"/>
      <w:divBdr>
        <w:top w:val="none" w:sz="0" w:space="0" w:color="auto"/>
        <w:left w:val="none" w:sz="0" w:space="0" w:color="auto"/>
        <w:bottom w:val="none" w:sz="0" w:space="0" w:color="auto"/>
        <w:right w:val="none" w:sz="0" w:space="0" w:color="auto"/>
      </w:divBdr>
    </w:div>
    <w:div w:id="920604511">
      <w:bodyDiv w:val="1"/>
      <w:marLeft w:val="0"/>
      <w:marRight w:val="0"/>
      <w:marTop w:val="0"/>
      <w:marBottom w:val="0"/>
      <w:divBdr>
        <w:top w:val="none" w:sz="0" w:space="0" w:color="auto"/>
        <w:left w:val="none" w:sz="0" w:space="0" w:color="auto"/>
        <w:bottom w:val="none" w:sz="0" w:space="0" w:color="auto"/>
        <w:right w:val="none" w:sz="0" w:space="0" w:color="auto"/>
      </w:divBdr>
    </w:div>
    <w:div w:id="949967253">
      <w:bodyDiv w:val="1"/>
      <w:marLeft w:val="0"/>
      <w:marRight w:val="0"/>
      <w:marTop w:val="0"/>
      <w:marBottom w:val="0"/>
      <w:divBdr>
        <w:top w:val="none" w:sz="0" w:space="0" w:color="auto"/>
        <w:left w:val="none" w:sz="0" w:space="0" w:color="auto"/>
        <w:bottom w:val="none" w:sz="0" w:space="0" w:color="auto"/>
        <w:right w:val="none" w:sz="0" w:space="0" w:color="auto"/>
      </w:divBdr>
    </w:div>
    <w:div w:id="972440873">
      <w:bodyDiv w:val="1"/>
      <w:marLeft w:val="0"/>
      <w:marRight w:val="0"/>
      <w:marTop w:val="0"/>
      <w:marBottom w:val="0"/>
      <w:divBdr>
        <w:top w:val="none" w:sz="0" w:space="0" w:color="auto"/>
        <w:left w:val="none" w:sz="0" w:space="0" w:color="auto"/>
        <w:bottom w:val="none" w:sz="0" w:space="0" w:color="auto"/>
        <w:right w:val="none" w:sz="0" w:space="0" w:color="auto"/>
      </w:divBdr>
    </w:div>
    <w:div w:id="984092001">
      <w:bodyDiv w:val="1"/>
      <w:marLeft w:val="0"/>
      <w:marRight w:val="0"/>
      <w:marTop w:val="0"/>
      <w:marBottom w:val="0"/>
      <w:divBdr>
        <w:top w:val="none" w:sz="0" w:space="0" w:color="auto"/>
        <w:left w:val="none" w:sz="0" w:space="0" w:color="auto"/>
        <w:bottom w:val="none" w:sz="0" w:space="0" w:color="auto"/>
        <w:right w:val="none" w:sz="0" w:space="0" w:color="auto"/>
      </w:divBdr>
    </w:div>
    <w:div w:id="989215258">
      <w:bodyDiv w:val="1"/>
      <w:marLeft w:val="0"/>
      <w:marRight w:val="0"/>
      <w:marTop w:val="0"/>
      <w:marBottom w:val="0"/>
      <w:divBdr>
        <w:top w:val="none" w:sz="0" w:space="0" w:color="auto"/>
        <w:left w:val="none" w:sz="0" w:space="0" w:color="auto"/>
        <w:bottom w:val="none" w:sz="0" w:space="0" w:color="auto"/>
        <w:right w:val="none" w:sz="0" w:space="0" w:color="auto"/>
      </w:divBdr>
    </w:div>
    <w:div w:id="1009065373">
      <w:bodyDiv w:val="1"/>
      <w:marLeft w:val="0"/>
      <w:marRight w:val="0"/>
      <w:marTop w:val="0"/>
      <w:marBottom w:val="0"/>
      <w:divBdr>
        <w:top w:val="none" w:sz="0" w:space="0" w:color="auto"/>
        <w:left w:val="none" w:sz="0" w:space="0" w:color="auto"/>
        <w:bottom w:val="none" w:sz="0" w:space="0" w:color="auto"/>
        <w:right w:val="none" w:sz="0" w:space="0" w:color="auto"/>
      </w:divBdr>
    </w:div>
    <w:div w:id="1039085746">
      <w:bodyDiv w:val="1"/>
      <w:marLeft w:val="0"/>
      <w:marRight w:val="0"/>
      <w:marTop w:val="0"/>
      <w:marBottom w:val="0"/>
      <w:divBdr>
        <w:top w:val="none" w:sz="0" w:space="0" w:color="auto"/>
        <w:left w:val="none" w:sz="0" w:space="0" w:color="auto"/>
        <w:bottom w:val="none" w:sz="0" w:space="0" w:color="auto"/>
        <w:right w:val="none" w:sz="0" w:space="0" w:color="auto"/>
      </w:divBdr>
    </w:div>
    <w:div w:id="1052846607">
      <w:bodyDiv w:val="1"/>
      <w:marLeft w:val="0"/>
      <w:marRight w:val="0"/>
      <w:marTop w:val="0"/>
      <w:marBottom w:val="0"/>
      <w:divBdr>
        <w:top w:val="none" w:sz="0" w:space="0" w:color="auto"/>
        <w:left w:val="none" w:sz="0" w:space="0" w:color="auto"/>
        <w:bottom w:val="none" w:sz="0" w:space="0" w:color="auto"/>
        <w:right w:val="none" w:sz="0" w:space="0" w:color="auto"/>
      </w:divBdr>
    </w:div>
    <w:div w:id="1071660635">
      <w:bodyDiv w:val="1"/>
      <w:marLeft w:val="0"/>
      <w:marRight w:val="0"/>
      <w:marTop w:val="0"/>
      <w:marBottom w:val="0"/>
      <w:divBdr>
        <w:top w:val="none" w:sz="0" w:space="0" w:color="auto"/>
        <w:left w:val="none" w:sz="0" w:space="0" w:color="auto"/>
        <w:bottom w:val="none" w:sz="0" w:space="0" w:color="auto"/>
        <w:right w:val="none" w:sz="0" w:space="0" w:color="auto"/>
      </w:divBdr>
    </w:div>
    <w:div w:id="1078401558">
      <w:bodyDiv w:val="1"/>
      <w:marLeft w:val="0"/>
      <w:marRight w:val="0"/>
      <w:marTop w:val="0"/>
      <w:marBottom w:val="0"/>
      <w:divBdr>
        <w:top w:val="none" w:sz="0" w:space="0" w:color="auto"/>
        <w:left w:val="none" w:sz="0" w:space="0" w:color="auto"/>
        <w:bottom w:val="none" w:sz="0" w:space="0" w:color="auto"/>
        <w:right w:val="none" w:sz="0" w:space="0" w:color="auto"/>
      </w:divBdr>
      <w:divsChild>
        <w:div w:id="374426107">
          <w:marLeft w:val="0"/>
          <w:marRight w:val="0"/>
          <w:marTop w:val="0"/>
          <w:marBottom w:val="0"/>
          <w:divBdr>
            <w:top w:val="none" w:sz="0" w:space="0" w:color="auto"/>
            <w:left w:val="none" w:sz="0" w:space="0" w:color="auto"/>
            <w:bottom w:val="none" w:sz="0" w:space="0" w:color="auto"/>
            <w:right w:val="none" w:sz="0" w:space="0" w:color="auto"/>
          </w:divBdr>
          <w:divsChild>
            <w:div w:id="143355015">
              <w:marLeft w:val="0"/>
              <w:marRight w:val="0"/>
              <w:marTop w:val="0"/>
              <w:marBottom w:val="0"/>
              <w:divBdr>
                <w:top w:val="none" w:sz="0" w:space="0" w:color="auto"/>
                <w:left w:val="none" w:sz="0" w:space="0" w:color="auto"/>
                <w:bottom w:val="none" w:sz="0" w:space="0" w:color="auto"/>
                <w:right w:val="none" w:sz="0" w:space="0" w:color="auto"/>
              </w:divBdr>
              <w:divsChild>
                <w:div w:id="1550460350">
                  <w:marLeft w:val="0"/>
                  <w:marRight w:val="0"/>
                  <w:marTop w:val="0"/>
                  <w:marBottom w:val="0"/>
                  <w:divBdr>
                    <w:top w:val="none" w:sz="0" w:space="0" w:color="auto"/>
                    <w:left w:val="none" w:sz="0" w:space="0" w:color="auto"/>
                    <w:bottom w:val="none" w:sz="0" w:space="0" w:color="auto"/>
                    <w:right w:val="none" w:sz="0" w:space="0" w:color="auto"/>
                  </w:divBdr>
                  <w:divsChild>
                    <w:div w:id="1349520510">
                      <w:marLeft w:val="0"/>
                      <w:marRight w:val="0"/>
                      <w:marTop w:val="0"/>
                      <w:marBottom w:val="0"/>
                      <w:divBdr>
                        <w:top w:val="none" w:sz="0" w:space="0" w:color="auto"/>
                        <w:left w:val="none" w:sz="0" w:space="0" w:color="auto"/>
                        <w:bottom w:val="none" w:sz="0" w:space="0" w:color="auto"/>
                        <w:right w:val="none" w:sz="0" w:space="0" w:color="auto"/>
                      </w:divBdr>
                      <w:divsChild>
                        <w:div w:id="108666561">
                          <w:marLeft w:val="0"/>
                          <w:marRight w:val="0"/>
                          <w:marTop w:val="0"/>
                          <w:marBottom w:val="0"/>
                          <w:divBdr>
                            <w:top w:val="none" w:sz="0" w:space="0" w:color="auto"/>
                            <w:left w:val="none" w:sz="0" w:space="0" w:color="auto"/>
                            <w:bottom w:val="none" w:sz="0" w:space="0" w:color="auto"/>
                            <w:right w:val="none" w:sz="0" w:space="0" w:color="auto"/>
                          </w:divBdr>
                          <w:divsChild>
                            <w:div w:id="923955872">
                              <w:marLeft w:val="0"/>
                              <w:marRight w:val="0"/>
                              <w:marTop w:val="0"/>
                              <w:marBottom w:val="0"/>
                              <w:divBdr>
                                <w:top w:val="none" w:sz="0" w:space="0" w:color="auto"/>
                                <w:left w:val="none" w:sz="0" w:space="0" w:color="auto"/>
                                <w:bottom w:val="none" w:sz="0" w:space="0" w:color="auto"/>
                                <w:right w:val="none" w:sz="0" w:space="0" w:color="auto"/>
                              </w:divBdr>
                              <w:divsChild>
                                <w:div w:id="1495143990">
                                  <w:marLeft w:val="0"/>
                                  <w:marRight w:val="0"/>
                                  <w:marTop w:val="0"/>
                                  <w:marBottom w:val="0"/>
                                  <w:divBdr>
                                    <w:top w:val="none" w:sz="0" w:space="0" w:color="auto"/>
                                    <w:left w:val="none" w:sz="0" w:space="0" w:color="auto"/>
                                    <w:bottom w:val="none" w:sz="0" w:space="0" w:color="auto"/>
                                    <w:right w:val="none" w:sz="0" w:space="0" w:color="auto"/>
                                  </w:divBdr>
                                  <w:divsChild>
                                    <w:div w:id="21143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0852724">
      <w:bodyDiv w:val="1"/>
      <w:marLeft w:val="0"/>
      <w:marRight w:val="0"/>
      <w:marTop w:val="0"/>
      <w:marBottom w:val="0"/>
      <w:divBdr>
        <w:top w:val="none" w:sz="0" w:space="0" w:color="auto"/>
        <w:left w:val="none" w:sz="0" w:space="0" w:color="auto"/>
        <w:bottom w:val="none" w:sz="0" w:space="0" w:color="auto"/>
        <w:right w:val="none" w:sz="0" w:space="0" w:color="auto"/>
      </w:divBdr>
    </w:div>
    <w:div w:id="1143037582">
      <w:bodyDiv w:val="1"/>
      <w:marLeft w:val="0"/>
      <w:marRight w:val="0"/>
      <w:marTop w:val="0"/>
      <w:marBottom w:val="0"/>
      <w:divBdr>
        <w:top w:val="none" w:sz="0" w:space="0" w:color="auto"/>
        <w:left w:val="none" w:sz="0" w:space="0" w:color="auto"/>
        <w:bottom w:val="none" w:sz="0" w:space="0" w:color="auto"/>
        <w:right w:val="none" w:sz="0" w:space="0" w:color="auto"/>
      </w:divBdr>
    </w:div>
    <w:div w:id="1150825878">
      <w:bodyDiv w:val="1"/>
      <w:marLeft w:val="0"/>
      <w:marRight w:val="0"/>
      <w:marTop w:val="0"/>
      <w:marBottom w:val="0"/>
      <w:divBdr>
        <w:top w:val="none" w:sz="0" w:space="0" w:color="auto"/>
        <w:left w:val="none" w:sz="0" w:space="0" w:color="auto"/>
        <w:bottom w:val="none" w:sz="0" w:space="0" w:color="auto"/>
        <w:right w:val="none" w:sz="0" w:space="0" w:color="auto"/>
      </w:divBdr>
    </w:div>
    <w:div w:id="1154955537">
      <w:bodyDiv w:val="1"/>
      <w:marLeft w:val="0"/>
      <w:marRight w:val="0"/>
      <w:marTop w:val="0"/>
      <w:marBottom w:val="0"/>
      <w:divBdr>
        <w:top w:val="none" w:sz="0" w:space="0" w:color="auto"/>
        <w:left w:val="none" w:sz="0" w:space="0" w:color="auto"/>
        <w:bottom w:val="none" w:sz="0" w:space="0" w:color="auto"/>
        <w:right w:val="none" w:sz="0" w:space="0" w:color="auto"/>
      </w:divBdr>
    </w:div>
    <w:div w:id="1193181159">
      <w:bodyDiv w:val="1"/>
      <w:marLeft w:val="0"/>
      <w:marRight w:val="0"/>
      <w:marTop w:val="0"/>
      <w:marBottom w:val="0"/>
      <w:divBdr>
        <w:top w:val="none" w:sz="0" w:space="0" w:color="auto"/>
        <w:left w:val="none" w:sz="0" w:space="0" w:color="auto"/>
        <w:bottom w:val="none" w:sz="0" w:space="0" w:color="auto"/>
        <w:right w:val="none" w:sz="0" w:space="0" w:color="auto"/>
      </w:divBdr>
    </w:div>
    <w:div w:id="1202858895">
      <w:bodyDiv w:val="1"/>
      <w:marLeft w:val="0"/>
      <w:marRight w:val="0"/>
      <w:marTop w:val="0"/>
      <w:marBottom w:val="0"/>
      <w:divBdr>
        <w:top w:val="none" w:sz="0" w:space="0" w:color="auto"/>
        <w:left w:val="none" w:sz="0" w:space="0" w:color="auto"/>
        <w:bottom w:val="none" w:sz="0" w:space="0" w:color="auto"/>
        <w:right w:val="none" w:sz="0" w:space="0" w:color="auto"/>
      </w:divBdr>
    </w:div>
    <w:div w:id="1220553542">
      <w:bodyDiv w:val="1"/>
      <w:marLeft w:val="0"/>
      <w:marRight w:val="0"/>
      <w:marTop w:val="0"/>
      <w:marBottom w:val="0"/>
      <w:divBdr>
        <w:top w:val="none" w:sz="0" w:space="0" w:color="auto"/>
        <w:left w:val="none" w:sz="0" w:space="0" w:color="auto"/>
        <w:bottom w:val="none" w:sz="0" w:space="0" w:color="auto"/>
        <w:right w:val="none" w:sz="0" w:space="0" w:color="auto"/>
      </w:divBdr>
      <w:divsChild>
        <w:div w:id="849027283">
          <w:marLeft w:val="0"/>
          <w:marRight w:val="0"/>
          <w:marTop w:val="0"/>
          <w:marBottom w:val="0"/>
          <w:divBdr>
            <w:top w:val="none" w:sz="0" w:space="0" w:color="auto"/>
            <w:left w:val="none" w:sz="0" w:space="0" w:color="auto"/>
            <w:bottom w:val="none" w:sz="0" w:space="0" w:color="auto"/>
            <w:right w:val="none" w:sz="0" w:space="0" w:color="auto"/>
          </w:divBdr>
          <w:divsChild>
            <w:div w:id="1888880592">
              <w:marLeft w:val="0"/>
              <w:marRight w:val="0"/>
              <w:marTop w:val="0"/>
              <w:marBottom w:val="0"/>
              <w:divBdr>
                <w:top w:val="none" w:sz="0" w:space="0" w:color="auto"/>
                <w:left w:val="none" w:sz="0" w:space="0" w:color="auto"/>
                <w:bottom w:val="none" w:sz="0" w:space="0" w:color="auto"/>
                <w:right w:val="none" w:sz="0" w:space="0" w:color="auto"/>
              </w:divBdr>
              <w:divsChild>
                <w:div w:id="430786024">
                  <w:marLeft w:val="0"/>
                  <w:marRight w:val="0"/>
                  <w:marTop w:val="0"/>
                  <w:marBottom w:val="0"/>
                  <w:divBdr>
                    <w:top w:val="none" w:sz="0" w:space="0" w:color="auto"/>
                    <w:left w:val="none" w:sz="0" w:space="0" w:color="auto"/>
                    <w:bottom w:val="none" w:sz="0" w:space="0" w:color="auto"/>
                    <w:right w:val="none" w:sz="0" w:space="0" w:color="auto"/>
                  </w:divBdr>
                  <w:divsChild>
                    <w:div w:id="19283803">
                      <w:marLeft w:val="0"/>
                      <w:marRight w:val="0"/>
                      <w:marTop w:val="0"/>
                      <w:marBottom w:val="0"/>
                      <w:divBdr>
                        <w:top w:val="none" w:sz="0" w:space="0" w:color="auto"/>
                        <w:left w:val="none" w:sz="0" w:space="0" w:color="auto"/>
                        <w:bottom w:val="none" w:sz="0" w:space="0" w:color="auto"/>
                        <w:right w:val="none" w:sz="0" w:space="0" w:color="auto"/>
                      </w:divBdr>
                      <w:divsChild>
                        <w:div w:id="842165642">
                          <w:marLeft w:val="0"/>
                          <w:marRight w:val="0"/>
                          <w:marTop w:val="0"/>
                          <w:marBottom w:val="0"/>
                          <w:divBdr>
                            <w:top w:val="none" w:sz="0" w:space="0" w:color="auto"/>
                            <w:left w:val="none" w:sz="0" w:space="0" w:color="auto"/>
                            <w:bottom w:val="none" w:sz="0" w:space="0" w:color="auto"/>
                            <w:right w:val="none" w:sz="0" w:space="0" w:color="auto"/>
                          </w:divBdr>
                          <w:divsChild>
                            <w:div w:id="1565094998">
                              <w:marLeft w:val="0"/>
                              <w:marRight w:val="0"/>
                              <w:marTop w:val="0"/>
                              <w:marBottom w:val="0"/>
                              <w:divBdr>
                                <w:top w:val="none" w:sz="0" w:space="0" w:color="auto"/>
                                <w:left w:val="none" w:sz="0" w:space="0" w:color="auto"/>
                                <w:bottom w:val="none" w:sz="0" w:space="0" w:color="auto"/>
                                <w:right w:val="none" w:sz="0" w:space="0" w:color="auto"/>
                              </w:divBdr>
                              <w:divsChild>
                                <w:div w:id="1354068502">
                                  <w:marLeft w:val="0"/>
                                  <w:marRight w:val="0"/>
                                  <w:marTop w:val="0"/>
                                  <w:marBottom w:val="0"/>
                                  <w:divBdr>
                                    <w:top w:val="none" w:sz="0" w:space="0" w:color="auto"/>
                                    <w:left w:val="none" w:sz="0" w:space="0" w:color="auto"/>
                                    <w:bottom w:val="none" w:sz="0" w:space="0" w:color="auto"/>
                                    <w:right w:val="none" w:sz="0" w:space="0" w:color="auto"/>
                                  </w:divBdr>
                                  <w:divsChild>
                                    <w:div w:id="128145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554046">
      <w:bodyDiv w:val="1"/>
      <w:marLeft w:val="0"/>
      <w:marRight w:val="0"/>
      <w:marTop w:val="0"/>
      <w:marBottom w:val="0"/>
      <w:divBdr>
        <w:top w:val="none" w:sz="0" w:space="0" w:color="auto"/>
        <w:left w:val="none" w:sz="0" w:space="0" w:color="auto"/>
        <w:bottom w:val="none" w:sz="0" w:space="0" w:color="auto"/>
        <w:right w:val="none" w:sz="0" w:space="0" w:color="auto"/>
      </w:divBdr>
    </w:div>
    <w:div w:id="1255431583">
      <w:bodyDiv w:val="1"/>
      <w:marLeft w:val="0"/>
      <w:marRight w:val="0"/>
      <w:marTop w:val="0"/>
      <w:marBottom w:val="0"/>
      <w:divBdr>
        <w:top w:val="none" w:sz="0" w:space="0" w:color="auto"/>
        <w:left w:val="none" w:sz="0" w:space="0" w:color="auto"/>
        <w:bottom w:val="none" w:sz="0" w:space="0" w:color="auto"/>
        <w:right w:val="none" w:sz="0" w:space="0" w:color="auto"/>
      </w:divBdr>
    </w:div>
    <w:div w:id="1260286406">
      <w:bodyDiv w:val="1"/>
      <w:marLeft w:val="0"/>
      <w:marRight w:val="0"/>
      <w:marTop w:val="0"/>
      <w:marBottom w:val="0"/>
      <w:divBdr>
        <w:top w:val="none" w:sz="0" w:space="0" w:color="auto"/>
        <w:left w:val="none" w:sz="0" w:space="0" w:color="auto"/>
        <w:bottom w:val="none" w:sz="0" w:space="0" w:color="auto"/>
        <w:right w:val="none" w:sz="0" w:space="0" w:color="auto"/>
      </w:divBdr>
    </w:div>
    <w:div w:id="1288318732">
      <w:bodyDiv w:val="1"/>
      <w:marLeft w:val="0"/>
      <w:marRight w:val="0"/>
      <w:marTop w:val="0"/>
      <w:marBottom w:val="0"/>
      <w:divBdr>
        <w:top w:val="none" w:sz="0" w:space="0" w:color="auto"/>
        <w:left w:val="none" w:sz="0" w:space="0" w:color="auto"/>
        <w:bottom w:val="none" w:sz="0" w:space="0" w:color="auto"/>
        <w:right w:val="none" w:sz="0" w:space="0" w:color="auto"/>
      </w:divBdr>
    </w:div>
    <w:div w:id="1340621578">
      <w:bodyDiv w:val="1"/>
      <w:marLeft w:val="0"/>
      <w:marRight w:val="0"/>
      <w:marTop w:val="0"/>
      <w:marBottom w:val="0"/>
      <w:divBdr>
        <w:top w:val="none" w:sz="0" w:space="0" w:color="auto"/>
        <w:left w:val="none" w:sz="0" w:space="0" w:color="auto"/>
        <w:bottom w:val="none" w:sz="0" w:space="0" w:color="auto"/>
        <w:right w:val="none" w:sz="0" w:space="0" w:color="auto"/>
      </w:divBdr>
    </w:div>
    <w:div w:id="1422992140">
      <w:bodyDiv w:val="1"/>
      <w:marLeft w:val="0"/>
      <w:marRight w:val="0"/>
      <w:marTop w:val="0"/>
      <w:marBottom w:val="0"/>
      <w:divBdr>
        <w:top w:val="none" w:sz="0" w:space="0" w:color="auto"/>
        <w:left w:val="none" w:sz="0" w:space="0" w:color="auto"/>
        <w:bottom w:val="none" w:sz="0" w:space="0" w:color="auto"/>
        <w:right w:val="none" w:sz="0" w:space="0" w:color="auto"/>
      </w:divBdr>
    </w:div>
    <w:div w:id="1424180624">
      <w:bodyDiv w:val="1"/>
      <w:marLeft w:val="0"/>
      <w:marRight w:val="0"/>
      <w:marTop w:val="0"/>
      <w:marBottom w:val="0"/>
      <w:divBdr>
        <w:top w:val="none" w:sz="0" w:space="0" w:color="auto"/>
        <w:left w:val="none" w:sz="0" w:space="0" w:color="auto"/>
        <w:bottom w:val="none" w:sz="0" w:space="0" w:color="auto"/>
        <w:right w:val="none" w:sz="0" w:space="0" w:color="auto"/>
      </w:divBdr>
    </w:div>
    <w:div w:id="1463890359">
      <w:bodyDiv w:val="1"/>
      <w:marLeft w:val="0"/>
      <w:marRight w:val="0"/>
      <w:marTop w:val="0"/>
      <w:marBottom w:val="0"/>
      <w:divBdr>
        <w:top w:val="none" w:sz="0" w:space="0" w:color="auto"/>
        <w:left w:val="none" w:sz="0" w:space="0" w:color="auto"/>
        <w:bottom w:val="none" w:sz="0" w:space="0" w:color="auto"/>
        <w:right w:val="none" w:sz="0" w:space="0" w:color="auto"/>
      </w:divBdr>
    </w:div>
    <w:div w:id="1467047362">
      <w:bodyDiv w:val="1"/>
      <w:marLeft w:val="0"/>
      <w:marRight w:val="0"/>
      <w:marTop w:val="0"/>
      <w:marBottom w:val="0"/>
      <w:divBdr>
        <w:top w:val="none" w:sz="0" w:space="0" w:color="auto"/>
        <w:left w:val="none" w:sz="0" w:space="0" w:color="auto"/>
        <w:bottom w:val="none" w:sz="0" w:space="0" w:color="auto"/>
        <w:right w:val="none" w:sz="0" w:space="0" w:color="auto"/>
      </w:divBdr>
    </w:div>
    <w:div w:id="1481655227">
      <w:bodyDiv w:val="1"/>
      <w:marLeft w:val="0"/>
      <w:marRight w:val="0"/>
      <w:marTop w:val="0"/>
      <w:marBottom w:val="0"/>
      <w:divBdr>
        <w:top w:val="none" w:sz="0" w:space="0" w:color="auto"/>
        <w:left w:val="none" w:sz="0" w:space="0" w:color="auto"/>
        <w:bottom w:val="none" w:sz="0" w:space="0" w:color="auto"/>
        <w:right w:val="none" w:sz="0" w:space="0" w:color="auto"/>
      </w:divBdr>
    </w:div>
    <w:div w:id="1484658019">
      <w:bodyDiv w:val="1"/>
      <w:marLeft w:val="0"/>
      <w:marRight w:val="0"/>
      <w:marTop w:val="0"/>
      <w:marBottom w:val="0"/>
      <w:divBdr>
        <w:top w:val="none" w:sz="0" w:space="0" w:color="auto"/>
        <w:left w:val="none" w:sz="0" w:space="0" w:color="auto"/>
        <w:bottom w:val="none" w:sz="0" w:space="0" w:color="auto"/>
        <w:right w:val="none" w:sz="0" w:space="0" w:color="auto"/>
      </w:divBdr>
    </w:div>
    <w:div w:id="1488128001">
      <w:bodyDiv w:val="1"/>
      <w:marLeft w:val="0"/>
      <w:marRight w:val="0"/>
      <w:marTop w:val="0"/>
      <w:marBottom w:val="0"/>
      <w:divBdr>
        <w:top w:val="none" w:sz="0" w:space="0" w:color="auto"/>
        <w:left w:val="none" w:sz="0" w:space="0" w:color="auto"/>
        <w:bottom w:val="none" w:sz="0" w:space="0" w:color="auto"/>
        <w:right w:val="none" w:sz="0" w:space="0" w:color="auto"/>
      </w:divBdr>
    </w:div>
    <w:div w:id="1495610359">
      <w:bodyDiv w:val="1"/>
      <w:marLeft w:val="0"/>
      <w:marRight w:val="0"/>
      <w:marTop w:val="0"/>
      <w:marBottom w:val="0"/>
      <w:divBdr>
        <w:top w:val="none" w:sz="0" w:space="0" w:color="auto"/>
        <w:left w:val="none" w:sz="0" w:space="0" w:color="auto"/>
        <w:bottom w:val="none" w:sz="0" w:space="0" w:color="auto"/>
        <w:right w:val="none" w:sz="0" w:space="0" w:color="auto"/>
      </w:divBdr>
    </w:div>
    <w:div w:id="1497111584">
      <w:bodyDiv w:val="1"/>
      <w:marLeft w:val="0"/>
      <w:marRight w:val="0"/>
      <w:marTop w:val="0"/>
      <w:marBottom w:val="0"/>
      <w:divBdr>
        <w:top w:val="none" w:sz="0" w:space="0" w:color="auto"/>
        <w:left w:val="none" w:sz="0" w:space="0" w:color="auto"/>
        <w:bottom w:val="none" w:sz="0" w:space="0" w:color="auto"/>
        <w:right w:val="none" w:sz="0" w:space="0" w:color="auto"/>
      </w:divBdr>
    </w:div>
    <w:div w:id="1521047349">
      <w:bodyDiv w:val="1"/>
      <w:marLeft w:val="0"/>
      <w:marRight w:val="0"/>
      <w:marTop w:val="0"/>
      <w:marBottom w:val="0"/>
      <w:divBdr>
        <w:top w:val="none" w:sz="0" w:space="0" w:color="auto"/>
        <w:left w:val="none" w:sz="0" w:space="0" w:color="auto"/>
        <w:bottom w:val="none" w:sz="0" w:space="0" w:color="auto"/>
        <w:right w:val="none" w:sz="0" w:space="0" w:color="auto"/>
      </w:divBdr>
    </w:div>
    <w:div w:id="1521317114">
      <w:bodyDiv w:val="1"/>
      <w:marLeft w:val="0"/>
      <w:marRight w:val="0"/>
      <w:marTop w:val="0"/>
      <w:marBottom w:val="0"/>
      <w:divBdr>
        <w:top w:val="none" w:sz="0" w:space="0" w:color="auto"/>
        <w:left w:val="none" w:sz="0" w:space="0" w:color="auto"/>
        <w:bottom w:val="none" w:sz="0" w:space="0" w:color="auto"/>
        <w:right w:val="none" w:sz="0" w:space="0" w:color="auto"/>
      </w:divBdr>
    </w:div>
    <w:div w:id="1525628192">
      <w:bodyDiv w:val="1"/>
      <w:marLeft w:val="0"/>
      <w:marRight w:val="0"/>
      <w:marTop w:val="0"/>
      <w:marBottom w:val="0"/>
      <w:divBdr>
        <w:top w:val="none" w:sz="0" w:space="0" w:color="auto"/>
        <w:left w:val="none" w:sz="0" w:space="0" w:color="auto"/>
        <w:bottom w:val="none" w:sz="0" w:space="0" w:color="auto"/>
        <w:right w:val="none" w:sz="0" w:space="0" w:color="auto"/>
      </w:divBdr>
      <w:divsChild>
        <w:div w:id="1924604916">
          <w:marLeft w:val="0"/>
          <w:marRight w:val="0"/>
          <w:marTop w:val="0"/>
          <w:marBottom w:val="0"/>
          <w:divBdr>
            <w:top w:val="none" w:sz="0" w:space="0" w:color="auto"/>
            <w:left w:val="none" w:sz="0" w:space="0" w:color="auto"/>
            <w:bottom w:val="none" w:sz="0" w:space="0" w:color="auto"/>
            <w:right w:val="none" w:sz="0" w:space="0" w:color="auto"/>
          </w:divBdr>
          <w:divsChild>
            <w:div w:id="909995646">
              <w:marLeft w:val="0"/>
              <w:marRight w:val="0"/>
              <w:marTop w:val="0"/>
              <w:marBottom w:val="0"/>
              <w:divBdr>
                <w:top w:val="none" w:sz="0" w:space="0" w:color="auto"/>
                <w:left w:val="none" w:sz="0" w:space="0" w:color="auto"/>
                <w:bottom w:val="none" w:sz="0" w:space="0" w:color="auto"/>
                <w:right w:val="none" w:sz="0" w:space="0" w:color="auto"/>
              </w:divBdr>
              <w:divsChild>
                <w:div w:id="2088533766">
                  <w:marLeft w:val="0"/>
                  <w:marRight w:val="0"/>
                  <w:marTop w:val="0"/>
                  <w:marBottom w:val="0"/>
                  <w:divBdr>
                    <w:top w:val="none" w:sz="0" w:space="0" w:color="auto"/>
                    <w:left w:val="none" w:sz="0" w:space="0" w:color="auto"/>
                    <w:bottom w:val="none" w:sz="0" w:space="0" w:color="auto"/>
                    <w:right w:val="none" w:sz="0" w:space="0" w:color="auto"/>
                  </w:divBdr>
                  <w:divsChild>
                    <w:div w:id="2115972676">
                      <w:marLeft w:val="0"/>
                      <w:marRight w:val="0"/>
                      <w:marTop w:val="0"/>
                      <w:marBottom w:val="0"/>
                      <w:divBdr>
                        <w:top w:val="none" w:sz="0" w:space="0" w:color="auto"/>
                        <w:left w:val="none" w:sz="0" w:space="0" w:color="auto"/>
                        <w:bottom w:val="none" w:sz="0" w:space="0" w:color="auto"/>
                        <w:right w:val="none" w:sz="0" w:space="0" w:color="auto"/>
                      </w:divBdr>
                      <w:divsChild>
                        <w:div w:id="4089813">
                          <w:marLeft w:val="0"/>
                          <w:marRight w:val="0"/>
                          <w:marTop w:val="0"/>
                          <w:marBottom w:val="0"/>
                          <w:divBdr>
                            <w:top w:val="none" w:sz="0" w:space="0" w:color="auto"/>
                            <w:left w:val="none" w:sz="0" w:space="0" w:color="auto"/>
                            <w:bottom w:val="none" w:sz="0" w:space="0" w:color="auto"/>
                            <w:right w:val="none" w:sz="0" w:space="0" w:color="auto"/>
                          </w:divBdr>
                          <w:divsChild>
                            <w:div w:id="774711646">
                              <w:marLeft w:val="0"/>
                              <w:marRight w:val="0"/>
                              <w:marTop w:val="0"/>
                              <w:marBottom w:val="0"/>
                              <w:divBdr>
                                <w:top w:val="none" w:sz="0" w:space="0" w:color="auto"/>
                                <w:left w:val="none" w:sz="0" w:space="0" w:color="auto"/>
                                <w:bottom w:val="none" w:sz="0" w:space="0" w:color="auto"/>
                                <w:right w:val="none" w:sz="0" w:space="0" w:color="auto"/>
                              </w:divBdr>
                              <w:divsChild>
                                <w:div w:id="441919542">
                                  <w:marLeft w:val="0"/>
                                  <w:marRight w:val="0"/>
                                  <w:marTop w:val="0"/>
                                  <w:marBottom w:val="0"/>
                                  <w:divBdr>
                                    <w:top w:val="none" w:sz="0" w:space="0" w:color="auto"/>
                                    <w:left w:val="none" w:sz="0" w:space="0" w:color="auto"/>
                                    <w:bottom w:val="none" w:sz="0" w:space="0" w:color="auto"/>
                                    <w:right w:val="none" w:sz="0" w:space="0" w:color="auto"/>
                                  </w:divBdr>
                                  <w:divsChild>
                                    <w:div w:id="126218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5074377">
      <w:bodyDiv w:val="1"/>
      <w:marLeft w:val="0"/>
      <w:marRight w:val="0"/>
      <w:marTop w:val="0"/>
      <w:marBottom w:val="0"/>
      <w:divBdr>
        <w:top w:val="none" w:sz="0" w:space="0" w:color="auto"/>
        <w:left w:val="none" w:sz="0" w:space="0" w:color="auto"/>
        <w:bottom w:val="none" w:sz="0" w:space="0" w:color="auto"/>
        <w:right w:val="none" w:sz="0" w:space="0" w:color="auto"/>
      </w:divBdr>
    </w:div>
    <w:div w:id="1549030639">
      <w:bodyDiv w:val="1"/>
      <w:marLeft w:val="0"/>
      <w:marRight w:val="0"/>
      <w:marTop w:val="0"/>
      <w:marBottom w:val="0"/>
      <w:divBdr>
        <w:top w:val="none" w:sz="0" w:space="0" w:color="auto"/>
        <w:left w:val="none" w:sz="0" w:space="0" w:color="auto"/>
        <w:bottom w:val="none" w:sz="0" w:space="0" w:color="auto"/>
        <w:right w:val="none" w:sz="0" w:space="0" w:color="auto"/>
      </w:divBdr>
    </w:div>
    <w:div w:id="1549949238">
      <w:bodyDiv w:val="1"/>
      <w:marLeft w:val="0"/>
      <w:marRight w:val="0"/>
      <w:marTop w:val="0"/>
      <w:marBottom w:val="0"/>
      <w:divBdr>
        <w:top w:val="none" w:sz="0" w:space="0" w:color="auto"/>
        <w:left w:val="none" w:sz="0" w:space="0" w:color="auto"/>
        <w:bottom w:val="none" w:sz="0" w:space="0" w:color="auto"/>
        <w:right w:val="none" w:sz="0" w:space="0" w:color="auto"/>
      </w:divBdr>
    </w:div>
    <w:div w:id="1597860771">
      <w:bodyDiv w:val="1"/>
      <w:marLeft w:val="0"/>
      <w:marRight w:val="0"/>
      <w:marTop w:val="0"/>
      <w:marBottom w:val="0"/>
      <w:divBdr>
        <w:top w:val="none" w:sz="0" w:space="0" w:color="auto"/>
        <w:left w:val="none" w:sz="0" w:space="0" w:color="auto"/>
        <w:bottom w:val="none" w:sz="0" w:space="0" w:color="auto"/>
        <w:right w:val="none" w:sz="0" w:space="0" w:color="auto"/>
      </w:divBdr>
    </w:div>
    <w:div w:id="1605261193">
      <w:bodyDiv w:val="1"/>
      <w:marLeft w:val="0"/>
      <w:marRight w:val="0"/>
      <w:marTop w:val="0"/>
      <w:marBottom w:val="0"/>
      <w:divBdr>
        <w:top w:val="none" w:sz="0" w:space="0" w:color="auto"/>
        <w:left w:val="none" w:sz="0" w:space="0" w:color="auto"/>
        <w:bottom w:val="none" w:sz="0" w:space="0" w:color="auto"/>
        <w:right w:val="none" w:sz="0" w:space="0" w:color="auto"/>
      </w:divBdr>
    </w:div>
    <w:div w:id="1635139365">
      <w:bodyDiv w:val="1"/>
      <w:marLeft w:val="0"/>
      <w:marRight w:val="0"/>
      <w:marTop w:val="0"/>
      <w:marBottom w:val="0"/>
      <w:divBdr>
        <w:top w:val="none" w:sz="0" w:space="0" w:color="auto"/>
        <w:left w:val="none" w:sz="0" w:space="0" w:color="auto"/>
        <w:bottom w:val="none" w:sz="0" w:space="0" w:color="auto"/>
        <w:right w:val="none" w:sz="0" w:space="0" w:color="auto"/>
      </w:divBdr>
    </w:div>
    <w:div w:id="1685403808">
      <w:bodyDiv w:val="1"/>
      <w:marLeft w:val="0"/>
      <w:marRight w:val="0"/>
      <w:marTop w:val="0"/>
      <w:marBottom w:val="0"/>
      <w:divBdr>
        <w:top w:val="none" w:sz="0" w:space="0" w:color="auto"/>
        <w:left w:val="none" w:sz="0" w:space="0" w:color="auto"/>
        <w:bottom w:val="none" w:sz="0" w:space="0" w:color="auto"/>
        <w:right w:val="none" w:sz="0" w:space="0" w:color="auto"/>
      </w:divBdr>
    </w:div>
    <w:div w:id="1691251540">
      <w:bodyDiv w:val="1"/>
      <w:marLeft w:val="0"/>
      <w:marRight w:val="0"/>
      <w:marTop w:val="0"/>
      <w:marBottom w:val="0"/>
      <w:divBdr>
        <w:top w:val="none" w:sz="0" w:space="0" w:color="auto"/>
        <w:left w:val="none" w:sz="0" w:space="0" w:color="auto"/>
        <w:bottom w:val="none" w:sz="0" w:space="0" w:color="auto"/>
        <w:right w:val="none" w:sz="0" w:space="0" w:color="auto"/>
      </w:divBdr>
    </w:div>
    <w:div w:id="1719235724">
      <w:bodyDiv w:val="1"/>
      <w:marLeft w:val="0"/>
      <w:marRight w:val="0"/>
      <w:marTop w:val="0"/>
      <w:marBottom w:val="0"/>
      <w:divBdr>
        <w:top w:val="none" w:sz="0" w:space="0" w:color="auto"/>
        <w:left w:val="none" w:sz="0" w:space="0" w:color="auto"/>
        <w:bottom w:val="none" w:sz="0" w:space="0" w:color="auto"/>
        <w:right w:val="none" w:sz="0" w:space="0" w:color="auto"/>
      </w:divBdr>
    </w:div>
    <w:div w:id="1728142901">
      <w:bodyDiv w:val="1"/>
      <w:marLeft w:val="0"/>
      <w:marRight w:val="0"/>
      <w:marTop w:val="0"/>
      <w:marBottom w:val="0"/>
      <w:divBdr>
        <w:top w:val="none" w:sz="0" w:space="0" w:color="auto"/>
        <w:left w:val="none" w:sz="0" w:space="0" w:color="auto"/>
        <w:bottom w:val="none" w:sz="0" w:space="0" w:color="auto"/>
        <w:right w:val="none" w:sz="0" w:space="0" w:color="auto"/>
      </w:divBdr>
    </w:div>
    <w:div w:id="1741903102">
      <w:bodyDiv w:val="1"/>
      <w:marLeft w:val="0"/>
      <w:marRight w:val="0"/>
      <w:marTop w:val="0"/>
      <w:marBottom w:val="0"/>
      <w:divBdr>
        <w:top w:val="none" w:sz="0" w:space="0" w:color="auto"/>
        <w:left w:val="none" w:sz="0" w:space="0" w:color="auto"/>
        <w:bottom w:val="none" w:sz="0" w:space="0" w:color="auto"/>
        <w:right w:val="none" w:sz="0" w:space="0" w:color="auto"/>
      </w:divBdr>
    </w:div>
    <w:div w:id="1792241664">
      <w:bodyDiv w:val="1"/>
      <w:marLeft w:val="0"/>
      <w:marRight w:val="0"/>
      <w:marTop w:val="0"/>
      <w:marBottom w:val="0"/>
      <w:divBdr>
        <w:top w:val="none" w:sz="0" w:space="0" w:color="auto"/>
        <w:left w:val="none" w:sz="0" w:space="0" w:color="auto"/>
        <w:bottom w:val="none" w:sz="0" w:space="0" w:color="auto"/>
        <w:right w:val="none" w:sz="0" w:space="0" w:color="auto"/>
      </w:divBdr>
    </w:div>
    <w:div w:id="1800219571">
      <w:bodyDiv w:val="1"/>
      <w:marLeft w:val="0"/>
      <w:marRight w:val="0"/>
      <w:marTop w:val="0"/>
      <w:marBottom w:val="0"/>
      <w:divBdr>
        <w:top w:val="none" w:sz="0" w:space="0" w:color="auto"/>
        <w:left w:val="none" w:sz="0" w:space="0" w:color="auto"/>
        <w:bottom w:val="none" w:sz="0" w:space="0" w:color="auto"/>
        <w:right w:val="none" w:sz="0" w:space="0" w:color="auto"/>
      </w:divBdr>
    </w:div>
    <w:div w:id="1819346797">
      <w:bodyDiv w:val="1"/>
      <w:marLeft w:val="0"/>
      <w:marRight w:val="0"/>
      <w:marTop w:val="0"/>
      <w:marBottom w:val="0"/>
      <w:divBdr>
        <w:top w:val="none" w:sz="0" w:space="0" w:color="auto"/>
        <w:left w:val="none" w:sz="0" w:space="0" w:color="auto"/>
        <w:bottom w:val="none" w:sz="0" w:space="0" w:color="auto"/>
        <w:right w:val="none" w:sz="0" w:space="0" w:color="auto"/>
      </w:divBdr>
    </w:div>
    <w:div w:id="1825850187">
      <w:bodyDiv w:val="1"/>
      <w:marLeft w:val="0"/>
      <w:marRight w:val="0"/>
      <w:marTop w:val="0"/>
      <w:marBottom w:val="0"/>
      <w:divBdr>
        <w:top w:val="none" w:sz="0" w:space="0" w:color="auto"/>
        <w:left w:val="none" w:sz="0" w:space="0" w:color="auto"/>
        <w:bottom w:val="none" w:sz="0" w:space="0" w:color="auto"/>
        <w:right w:val="none" w:sz="0" w:space="0" w:color="auto"/>
      </w:divBdr>
    </w:div>
    <w:div w:id="1850676819">
      <w:bodyDiv w:val="1"/>
      <w:marLeft w:val="0"/>
      <w:marRight w:val="0"/>
      <w:marTop w:val="0"/>
      <w:marBottom w:val="0"/>
      <w:divBdr>
        <w:top w:val="none" w:sz="0" w:space="0" w:color="auto"/>
        <w:left w:val="none" w:sz="0" w:space="0" w:color="auto"/>
        <w:bottom w:val="none" w:sz="0" w:space="0" w:color="auto"/>
        <w:right w:val="none" w:sz="0" w:space="0" w:color="auto"/>
      </w:divBdr>
      <w:divsChild>
        <w:div w:id="366027548">
          <w:marLeft w:val="0"/>
          <w:marRight w:val="0"/>
          <w:marTop w:val="0"/>
          <w:marBottom w:val="0"/>
          <w:divBdr>
            <w:top w:val="none" w:sz="0" w:space="0" w:color="auto"/>
            <w:left w:val="none" w:sz="0" w:space="0" w:color="auto"/>
            <w:bottom w:val="none" w:sz="0" w:space="0" w:color="auto"/>
            <w:right w:val="none" w:sz="0" w:space="0" w:color="auto"/>
          </w:divBdr>
          <w:divsChild>
            <w:div w:id="1246841011">
              <w:marLeft w:val="0"/>
              <w:marRight w:val="0"/>
              <w:marTop w:val="0"/>
              <w:marBottom w:val="0"/>
              <w:divBdr>
                <w:top w:val="none" w:sz="0" w:space="0" w:color="auto"/>
                <w:left w:val="none" w:sz="0" w:space="0" w:color="auto"/>
                <w:bottom w:val="none" w:sz="0" w:space="0" w:color="auto"/>
                <w:right w:val="none" w:sz="0" w:space="0" w:color="auto"/>
              </w:divBdr>
              <w:divsChild>
                <w:div w:id="400179693">
                  <w:marLeft w:val="0"/>
                  <w:marRight w:val="0"/>
                  <w:marTop w:val="0"/>
                  <w:marBottom w:val="0"/>
                  <w:divBdr>
                    <w:top w:val="none" w:sz="0" w:space="0" w:color="auto"/>
                    <w:left w:val="none" w:sz="0" w:space="0" w:color="auto"/>
                    <w:bottom w:val="none" w:sz="0" w:space="0" w:color="auto"/>
                    <w:right w:val="none" w:sz="0" w:space="0" w:color="auto"/>
                  </w:divBdr>
                  <w:divsChild>
                    <w:div w:id="753549654">
                      <w:marLeft w:val="0"/>
                      <w:marRight w:val="0"/>
                      <w:marTop w:val="0"/>
                      <w:marBottom w:val="0"/>
                      <w:divBdr>
                        <w:top w:val="none" w:sz="0" w:space="0" w:color="auto"/>
                        <w:left w:val="none" w:sz="0" w:space="0" w:color="auto"/>
                        <w:bottom w:val="none" w:sz="0" w:space="0" w:color="auto"/>
                        <w:right w:val="none" w:sz="0" w:space="0" w:color="auto"/>
                      </w:divBdr>
                      <w:divsChild>
                        <w:div w:id="101651315">
                          <w:marLeft w:val="0"/>
                          <w:marRight w:val="0"/>
                          <w:marTop w:val="0"/>
                          <w:marBottom w:val="0"/>
                          <w:divBdr>
                            <w:top w:val="none" w:sz="0" w:space="0" w:color="auto"/>
                            <w:left w:val="none" w:sz="0" w:space="0" w:color="auto"/>
                            <w:bottom w:val="none" w:sz="0" w:space="0" w:color="auto"/>
                            <w:right w:val="none" w:sz="0" w:space="0" w:color="auto"/>
                          </w:divBdr>
                          <w:divsChild>
                            <w:div w:id="482157907">
                              <w:marLeft w:val="0"/>
                              <w:marRight w:val="0"/>
                              <w:marTop w:val="0"/>
                              <w:marBottom w:val="0"/>
                              <w:divBdr>
                                <w:top w:val="none" w:sz="0" w:space="0" w:color="auto"/>
                                <w:left w:val="none" w:sz="0" w:space="0" w:color="auto"/>
                                <w:bottom w:val="none" w:sz="0" w:space="0" w:color="auto"/>
                                <w:right w:val="none" w:sz="0" w:space="0" w:color="auto"/>
                              </w:divBdr>
                              <w:divsChild>
                                <w:div w:id="948665857">
                                  <w:marLeft w:val="0"/>
                                  <w:marRight w:val="0"/>
                                  <w:marTop w:val="0"/>
                                  <w:marBottom w:val="0"/>
                                  <w:divBdr>
                                    <w:top w:val="none" w:sz="0" w:space="0" w:color="auto"/>
                                    <w:left w:val="none" w:sz="0" w:space="0" w:color="auto"/>
                                    <w:bottom w:val="none" w:sz="0" w:space="0" w:color="auto"/>
                                    <w:right w:val="none" w:sz="0" w:space="0" w:color="auto"/>
                                  </w:divBdr>
                                  <w:divsChild>
                                    <w:div w:id="98454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1869816">
      <w:bodyDiv w:val="1"/>
      <w:marLeft w:val="0"/>
      <w:marRight w:val="0"/>
      <w:marTop w:val="0"/>
      <w:marBottom w:val="0"/>
      <w:divBdr>
        <w:top w:val="none" w:sz="0" w:space="0" w:color="auto"/>
        <w:left w:val="none" w:sz="0" w:space="0" w:color="auto"/>
        <w:bottom w:val="none" w:sz="0" w:space="0" w:color="auto"/>
        <w:right w:val="none" w:sz="0" w:space="0" w:color="auto"/>
      </w:divBdr>
    </w:div>
    <w:div w:id="1881235206">
      <w:bodyDiv w:val="1"/>
      <w:marLeft w:val="0"/>
      <w:marRight w:val="0"/>
      <w:marTop w:val="0"/>
      <w:marBottom w:val="0"/>
      <w:divBdr>
        <w:top w:val="none" w:sz="0" w:space="0" w:color="auto"/>
        <w:left w:val="none" w:sz="0" w:space="0" w:color="auto"/>
        <w:bottom w:val="none" w:sz="0" w:space="0" w:color="auto"/>
        <w:right w:val="none" w:sz="0" w:space="0" w:color="auto"/>
      </w:divBdr>
    </w:div>
    <w:div w:id="1896697946">
      <w:bodyDiv w:val="1"/>
      <w:marLeft w:val="0"/>
      <w:marRight w:val="0"/>
      <w:marTop w:val="0"/>
      <w:marBottom w:val="0"/>
      <w:divBdr>
        <w:top w:val="none" w:sz="0" w:space="0" w:color="auto"/>
        <w:left w:val="none" w:sz="0" w:space="0" w:color="auto"/>
        <w:bottom w:val="none" w:sz="0" w:space="0" w:color="auto"/>
        <w:right w:val="none" w:sz="0" w:space="0" w:color="auto"/>
      </w:divBdr>
    </w:div>
    <w:div w:id="1900901475">
      <w:bodyDiv w:val="1"/>
      <w:marLeft w:val="0"/>
      <w:marRight w:val="0"/>
      <w:marTop w:val="0"/>
      <w:marBottom w:val="0"/>
      <w:divBdr>
        <w:top w:val="none" w:sz="0" w:space="0" w:color="auto"/>
        <w:left w:val="none" w:sz="0" w:space="0" w:color="auto"/>
        <w:bottom w:val="none" w:sz="0" w:space="0" w:color="auto"/>
        <w:right w:val="none" w:sz="0" w:space="0" w:color="auto"/>
      </w:divBdr>
    </w:div>
    <w:div w:id="1905985022">
      <w:bodyDiv w:val="1"/>
      <w:marLeft w:val="0"/>
      <w:marRight w:val="0"/>
      <w:marTop w:val="0"/>
      <w:marBottom w:val="0"/>
      <w:divBdr>
        <w:top w:val="none" w:sz="0" w:space="0" w:color="auto"/>
        <w:left w:val="none" w:sz="0" w:space="0" w:color="auto"/>
        <w:bottom w:val="none" w:sz="0" w:space="0" w:color="auto"/>
        <w:right w:val="none" w:sz="0" w:space="0" w:color="auto"/>
      </w:divBdr>
    </w:div>
    <w:div w:id="1909876709">
      <w:bodyDiv w:val="1"/>
      <w:marLeft w:val="0"/>
      <w:marRight w:val="0"/>
      <w:marTop w:val="0"/>
      <w:marBottom w:val="0"/>
      <w:divBdr>
        <w:top w:val="none" w:sz="0" w:space="0" w:color="auto"/>
        <w:left w:val="none" w:sz="0" w:space="0" w:color="auto"/>
        <w:bottom w:val="none" w:sz="0" w:space="0" w:color="auto"/>
        <w:right w:val="none" w:sz="0" w:space="0" w:color="auto"/>
      </w:divBdr>
    </w:div>
    <w:div w:id="1923710724">
      <w:bodyDiv w:val="1"/>
      <w:marLeft w:val="0"/>
      <w:marRight w:val="0"/>
      <w:marTop w:val="0"/>
      <w:marBottom w:val="0"/>
      <w:divBdr>
        <w:top w:val="none" w:sz="0" w:space="0" w:color="auto"/>
        <w:left w:val="none" w:sz="0" w:space="0" w:color="auto"/>
        <w:bottom w:val="none" w:sz="0" w:space="0" w:color="auto"/>
        <w:right w:val="none" w:sz="0" w:space="0" w:color="auto"/>
      </w:divBdr>
    </w:div>
    <w:div w:id="1927109861">
      <w:bodyDiv w:val="1"/>
      <w:marLeft w:val="0"/>
      <w:marRight w:val="0"/>
      <w:marTop w:val="0"/>
      <w:marBottom w:val="0"/>
      <w:divBdr>
        <w:top w:val="none" w:sz="0" w:space="0" w:color="auto"/>
        <w:left w:val="none" w:sz="0" w:space="0" w:color="auto"/>
        <w:bottom w:val="none" w:sz="0" w:space="0" w:color="auto"/>
        <w:right w:val="none" w:sz="0" w:space="0" w:color="auto"/>
      </w:divBdr>
    </w:div>
    <w:div w:id="1963609851">
      <w:bodyDiv w:val="1"/>
      <w:marLeft w:val="0"/>
      <w:marRight w:val="0"/>
      <w:marTop w:val="0"/>
      <w:marBottom w:val="0"/>
      <w:divBdr>
        <w:top w:val="none" w:sz="0" w:space="0" w:color="auto"/>
        <w:left w:val="none" w:sz="0" w:space="0" w:color="auto"/>
        <w:bottom w:val="none" w:sz="0" w:space="0" w:color="auto"/>
        <w:right w:val="none" w:sz="0" w:space="0" w:color="auto"/>
      </w:divBdr>
    </w:div>
    <w:div w:id="1965892145">
      <w:bodyDiv w:val="1"/>
      <w:marLeft w:val="0"/>
      <w:marRight w:val="0"/>
      <w:marTop w:val="0"/>
      <w:marBottom w:val="0"/>
      <w:divBdr>
        <w:top w:val="none" w:sz="0" w:space="0" w:color="auto"/>
        <w:left w:val="none" w:sz="0" w:space="0" w:color="auto"/>
        <w:bottom w:val="none" w:sz="0" w:space="0" w:color="auto"/>
        <w:right w:val="none" w:sz="0" w:space="0" w:color="auto"/>
      </w:divBdr>
    </w:div>
    <w:div w:id="2005426704">
      <w:bodyDiv w:val="1"/>
      <w:marLeft w:val="0"/>
      <w:marRight w:val="0"/>
      <w:marTop w:val="0"/>
      <w:marBottom w:val="0"/>
      <w:divBdr>
        <w:top w:val="none" w:sz="0" w:space="0" w:color="auto"/>
        <w:left w:val="none" w:sz="0" w:space="0" w:color="auto"/>
        <w:bottom w:val="none" w:sz="0" w:space="0" w:color="auto"/>
        <w:right w:val="none" w:sz="0" w:space="0" w:color="auto"/>
      </w:divBdr>
    </w:div>
    <w:div w:id="2007440697">
      <w:bodyDiv w:val="1"/>
      <w:marLeft w:val="0"/>
      <w:marRight w:val="0"/>
      <w:marTop w:val="0"/>
      <w:marBottom w:val="0"/>
      <w:divBdr>
        <w:top w:val="none" w:sz="0" w:space="0" w:color="auto"/>
        <w:left w:val="none" w:sz="0" w:space="0" w:color="auto"/>
        <w:bottom w:val="none" w:sz="0" w:space="0" w:color="auto"/>
        <w:right w:val="none" w:sz="0" w:space="0" w:color="auto"/>
      </w:divBdr>
    </w:div>
    <w:div w:id="2067416528">
      <w:bodyDiv w:val="1"/>
      <w:marLeft w:val="0"/>
      <w:marRight w:val="0"/>
      <w:marTop w:val="0"/>
      <w:marBottom w:val="0"/>
      <w:divBdr>
        <w:top w:val="none" w:sz="0" w:space="0" w:color="auto"/>
        <w:left w:val="none" w:sz="0" w:space="0" w:color="auto"/>
        <w:bottom w:val="none" w:sz="0" w:space="0" w:color="auto"/>
        <w:right w:val="none" w:sz="0" w:space="0" w:color="auto"/>
      </w:divBdr>
    </w:div>
    <w:div w:id="2111317622">
      <w:bodyDiv w:val="1"/>
      <w:marLeft w:val="0"/>
      <w:marRight w:val="0"/>
      <w:marTop w:val="0"/>
      <w:marBottom w:val="0"/>
      <w:divBdr>
        <w:top w:val="none" w:sz="0" w:space="0" w:color="auto"/>
        <w:left w:val="none" w:sz="0" w:space="0" w:color="auto"/>
        <w:bottom w:val="none" w:sz="0" w:space="0" w:color="auto"/>
        <w:right w:val="none" w:sz="0" w:space="0" w:color="auto"/>
      </w:divBdr>
    </w:div>
    <w:div w:id="214561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vicos.receita.fazenda.gov.br/Servicos/cnpjreva/Cnpjreva_Solicitacao.asp"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lanalto.gov.br/ccivil_03/_ato2004-2006/2005/lei/l11101.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ndt-certidao.tst.jus.br/inicio.face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consulta-crf.caixa.gov.br/consultacrf/pages/consultaEmpregador.jsf" TargetMode="External"/><Relationship Id="rId4" Type="http://schemas.openxmlformats.org/officeDocument/2006/relationships/settings" Target="settings.xml"/><Relationship Id="rId9" Type="http://schemas.openxmlformats.org/officeDocument/2006/relationships/hyperlink" Target="https://solucoes.receita.fazenda.gov.br/Servicos/certidaointernet/PJ/Emitir"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59093-58D1-42C3-81C6-B6531D3E1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14</Pages>
  <Words>10092</Words>
  <Characters>54498</Characters>
  <Application>Microsoft Office Word</Application>
  <DocSecurity>0</DocSecurity>
  <Lines>454</Lines>
  <Paragraphs>128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dc:creator>
  <cp:keywords/>
  <dc:description/>
  <cp:lastModifiedBy>Usuario</cp:lastModifiedBy>
  <cp:revision>5</cp:revision>
  <cp:lastPrinted>2026-10-20T10:37:00Z</cp:lastPrinted>
  <dcterms:created xsi:type="dcterms:W3CDTF">2026-08-10T14:07:00Z</dcterms:created>
  <dcterms:modified xsi:type="dcterms:W3CDTF">2026-10-20T10:37:00Z</dcterms:modified>
</cp:coreProperties>
</file>