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ADED8" w14:textId="2035867F" w:rsidR="006E786C" w:rsidRPr="00044ACB" w:rsidRDefault="006E786C" w:rsidP="00044ACB">
      <w:pPr>
        <w:spacing w:after="0" w:line="276" w:lineRule="auto"/>
        <w:jc w:val="center"/>
        <w:rPr>
          <w:rFonts w:ascii="Times New Roman" w:eastAsia="Arial Unicode MS" w:hAnsi="Times New Roman" w:cs="Times New Roman"/>
          <w:b/>
          <w:color w:val="000000" w:themeColor="text1"/>
          <w:sz w:val="32"/>
          <w:szCs w:val="32"/>
          <w:u w:val="single"/>
        </w:rPr>
      </w:pPr>
      <w:r w:rsidRPr="00044ACB">
        <w:rPr>
          <w:rFonts w:ascii="Times New Roman" w:eastAsia="Arial Unicode MS" w:hAnsi="Times New Roman" w:cs="Times New Roman"/>
          <w:b/>
          <w:color w:val="000000" w:themeColor="text1"/>
          <w:sz w:val="32"/>
          <w:szCs w:val="32"/>
          <w:u w:val="single"/>
        </w:rPr>
        <w:t>ESTUDO TÉCNICO PRELIMINAR (ETP)</w:t>
      </w:r>
    </w:p>
    <w:p w14:paraId="6933E1E7" w14:textId="77777777" w:rsidR="001C6612" w:rsidRPr="00044ACB" w:rsidRDefault="001C6612" w:rsidP="00044ACB">
      <w:pPr>
        <w:spacing w:after="0" w:line="276" w:lineRule="auto"/>
        <w:jc w:val="both"/>
        <w:rPr>
          <w:rFonts w:ascii="Times New Roman" w:eastAsia="Arial Unicode MS" w:hAnsi="Times New Roman" w:cs="Times New Roman"/>
          <w:bCs/>
          <w:color w:val="000000" w:themeColor="text1"/>
          <w:sz w:val="32"/>
          <w:szCs w:val="32"/>
        </w:rPr>
      </w:pPr>
    </w:p>
    <w:p w14:paraId="066E482B" w14:textId="77777777" w:rsidR="006E786C" w:rsidRPr="00044ACB" w:rsidRDefault="006E786C"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1 – INFORMAÇÕES BÁSICAS:</w:t>
      </w:r>
    </w:p>
    <w:p w14:paraId="4FD346A7" w14:textId="48CBA455" w:rsidR="006E786C" w:rsidRPr="00044ACB" w:rsidRDefault="006E786C" w:rsidP="00044ACB">
      <w:pPr>
        <w:spacing w:after="0" w:line="276" w:lineRule="auto"/>
        <w:ind w:firstLine="709"/>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 xml:space="preserve">1.1 – Processo Administrativo: </w:t>
      </w:r>
      <w:r w:rsidR="002F2DE9" w:rsidRPr="00044ACB">
        <w:rPr>
          <w:rFonts w:ascii="Times New Roman" w:eastAsia="Arial Unicode MS" w:hAnsi="Times New Roman" w:cs="Times New Roman"/>
          <w:bCs/>
          <w:color w:val="000000" w:themeColor="text1"/>
          <w:sz w:val="20"/>
        </w:rPr>
        <w:t>2.829</w:t>
      </w:r>
      <w:r w:rsidR="00D9025C" w:rsidRPr="00044ACB">
        <w:rPr>
          <w:rFonts w:ascii="Times New Roman" w:eastAsia="Arial Unicode MS" w:hAnsi="Times New Roman" w:cs="Times New Roman"/>
          <w:bCs/>
          <w:color w:val="000000" w:themeColor="text1"/>
          <w:sz w:val="20"/>
        </w:rPr>
        <w:t>/2026</w:t>
      </w:r>
    </w:p>
    <w:p w14:paraId="774A54DF" w14:textId="77777777" w:rsidR="008A25A7" w:rsidRPr="00044ACB" w:rsidRDefault="006E786C" w:rsidP="00044ACB">
      <w:pPr>
        <w:spacing w:after="0" w:line="276" w:lineRule="auto"/>
        <w:ind w:firstLine="709"/>
        <w:jc w:val="both"/>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
          <w:color w:val="000000" w:themeColor="text1"/>
          <w:sz w:val="20"/>
        </w:rPr>
        <w:t>1.2 – Área Requisitante:</w:t>
      </w:r>
      <w:r w:rsidRPr="00044ACB">
        <w:rPr>
          <w:rFonts w:ascii="Times New Roman" w:eastAsia="Arial Unicode MS" w:hAnsi="Times New Roman" w:cs="Times New Roman"/>
          <w:bCs/>
          <w:color w:val="000000" w:themeColor="text1"/>
          <w:sz w:val="20"/>
        </w:rPr>
        <w:t xml:space="preserve"> </w:t>
      </w:r>
      <w:r w:rsidR="00631D55" w:rsidRPr="00044ACB">
        <w:rPr>
          <w:rFonts w:ascii="Times New Roman" w:eastAsia="Arial Unicode MS" w:hAnsi="Times New Roman" w:cs="Times New Roman"/>
          <w:bCs/>
          <w:color w:val="000000" w:themeColor="text1"/>
          <w:sz w:val="20"/>
        </w:rPr>
        <w:t>Secretaria</w:t>
      </w:r>
      <w:r w:rsidR="002F11F4" w:rsidRPr="00044ACB">
        <w:rPr>
          <w:rFonts w:ascii="Times New Roman" w:eastAsia="Arial Unicode MS" w:hAnsi="Times New Roman" w:cs="Times New Roman"/>
          <w:bCs/>
          <w:color w:val="000000" w:themeColor="text1"/>
          <w:sz w:val="20"/>
        </w:rPr>
        <w:t xml:space="preserve"> Municipal </w:t>
      </w:r>
      <w:r w:rsidR="00631D55" w:rsidRPr="00044ACB">
        <w:rPr>
          <w:rFonts w:ascii="Times New Roman" w:eastAsia="Arial Unicode MS" w:hAnsi="Times New Roman" w:cs="Times New Roman"/>
          <w:bCs/>
          <w:color w:val="000000" w:themeColor="text1"/>
          <w:sz w:val="20"/>
        </w:rPr>
        <w:t>de Administração, Fazenda e Planejamento.</w:t>
      </w:r>
    </w:p>
    <w:p w14:paraId="79A6F7E7" w14:textId="77777777" w:rsidR="008A25A7" w:rsidRPr="00044ACB" w:rsidRDefault="008A25A7" w:rsidP="00044ACB">
      <w:pPr>
        <w:spacing w:after="0" w:line="276" w:lineRule="auto"/>
        <w:ind w:firstLine="709"/>
        <w:jc w:val="both"/>
        <w:rPr>
          <w:rFonts w:ascii="Times New Roman" w:eastAsia="Arial Unicode MS" w:hAnsi="Times New Roman" w:cs="Times New Roman"/>
          <w:bCs/>
          <w:color w:val="000000" w:themeColor="text1"/>
          <w:sz w:val="20"/>
        </w:rPr>
      </w:pPr>
    </w:p>
    <w:p w14:paraId="158153BA" w14:textId="77777777" w:rsidR="008A25A7" w:rsidRPr="00044ACB" w:rsidRDefault="006E786C"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 xml:space="preserve">2 – DESCRIÇÃO DA NECESSIDADE: </w:t>
      </w:r>
    </w:p>
    <w:p w14:paraId="72E7DA06" w14:textId="247116D9"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2.1</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O presente Estudo Técnico Preliminar tem por finalidade caracterizar a necessidade administrativa e o problema de interesse público que justificam a intervenção em trecho da EGP 09, bem como fornecer os elementos necessários à avaliação da viabilidade técnica e econômica da contratação destinada à melhoria das condições de infraestrutura viária da referida estrada.</w:t>
      </w:r>
    </w:p>
    <w:p w14:paraId="06207DC5" w14:textId="33D217BE" w:rsidR="00814F67" w:rsidRPr="00044ACB" w:rsidRDefault="000D5F8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2.2 – A EGP 09, em conjunto com a EGP 20, constitui eixo viário municipal contíguo, com extensão aproximada de 8 km, estabelecendo ligação entre o Centro de Paverama e as localidades de Recanto dos Brandt, Santa Manoela e Chapadão, além de proporcionar conexão com o Município de </w:t>
      </w:r>
      <w:proofErr w:type="spellStart"/>
      <w:r w:rsidRPr="00044ACB">
        <w:rPr>
          <w:rFonts w:ascii="Times New Roman" w:eastAsia="Arial Unicode MS" w:hAnsi="Times New Roman" w:cs="Times New Roman"/>
          <w:color w:val="000000" w:themeColor="text1"/>
          <w:sz w:val="20"/>
        </w:rPr>
        <w:t>Brochier</w:t>
      </w:r>
      <w:proofErr w:type="spellEnd"/>
      <w:r w:rsidRPr="00044ACB">
        <w:rPr>
          <w:rFonts w:ascii="Times New Roman" w:eastAsia="Arial Unicode MS" w:hAnsi="Times New Roman" w:cs="Times New Roman"/>
          <w:color w:val="000000" w:themeColor="text1"/>
          <w:sz w:val="20"/>
        </w:rPr>
        <w:t xml:space="preserve"> e acesso às propriedades, residências e demais áreas situadas ao longo de sua zona de influência.</w:t>
      </w:r>
    </w:p>
    <w:p w14:paraId="49FD1051" w14:textId="2EA9DDE7"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2.2.1</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Trata-se de via de relevante interesse local, utilizada para deslocamentos cotidianos da população residente, acesso à área urbana e aos serviços públicos, transporte escolar, circulação de trabalhadores, movimentação de veículos vinculados às atividades agropecuárias e escoamento da produção das propriedades rurais atendidas pelo trajeto. Sua funcionalidade, portanto, não se restringe aos moradores diretamente lindeiros, alcançando usuários provenientes de diferentes pontos do território municipal.</w:t>
      </w:r>
    </w:p>
    <w:p w14:paraId="07CCBDC3" w14:textId="32ED8C37"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2.2.2</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Parte da EGP 09 já recebeu intervenção de pavimentação, compreendendo trecho de aproximadamente 240,00m, executado em pavimento de blocos de concreto – PVS no final de 2023 e início de 2024. Permanece, entretanto, parcela significativa da via sem pavimentação, circunstância que mantém limitações de trafegabilidade e continuidade da infraestrutura existente.</w:t>
      </w:r>
    </w:p>
    <w:p w14:paraId="7EE11C5C" w14:textId="756EB39D"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2.3</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O trecho objeto deste estudo possui extensão aproximada de 580,00m, inserindo-se no corredor de ligação Centro – Recanto dos Brandt – Santa Manoela. A intervenção integra processo gradual de qualificação da EGP 09, considerando a extensão total da estrada, a disponibilidade de recursos públicos e a necessidade de estabelecer prioridades para a execução progressiva das melhorias viárias.</w:t>
      </w:r>
    </w:p>
    <w:p w14:paraId="1FE4C689" w14:textId="201D13DE"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2.4</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A necessidade administrativa decorre, essencialmente, das limitações apresentadas pela atual condição da superfície de rolamento no segmento não pavimentado. A manutenção de via submetida à circulação regular de veículos leves, transporte escolar, veículos de serviço e veículos destinados ao transporte de insumos e produtos da atividade rural, sem estrutura de pavimento adequada, favorece a ocorrência de irregularidades na pista e torna as condições de circulação mais suscetíveis às variações climáticas.</w:t>
      </w:r>
    </w:p>
    <w:p w14:paraId="11D1AF61" w14:textId="09C25FA8"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2.4.1</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Em períodos de estiagem, a circulação sobre superfície não pavimentada ocasiona formação e dispersão de poeira, afetando principalmente as residências e propriedades situadas junto à estrada e reduzindo as condições de conforto e salubridade no seu entorno. Além dos efeitos sobre os moradores lindeiros, a elevada presença de material particulado pode prejudicar a visibilidade durante a circulação de veículos e agravar as condições operacionais da via.</w:t>
      </w:r>
    </w:p>
    <w:p w14:paraId="5B37D7BF" w14:textId="03A4F627"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2.4.2</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w:t>
      </w:r>
      <w:r w:rsidR="000D5F8A" w:rsidRPr="00044ACB">
        <w:rPr>
          <w:rFonts w:ascii="Times New Roman" w:eastAsia="Arial Unicode MS" w:hAnsi="Times New Roman" w:cs="Times New Roman"/>
          <w:color w:val="000000" w:themeColor="text1"/>
          <w:sz w:val="20"/>
        </w:rPr>
        <w:t>Já n</w:t>
      </w:r>
      <w:r w:rsidRPr="00044ACB">
        <w:rPr>
          <w:rFonts w:ascii="Times New Roman" w:eastAsia="Arial Unicode MS" w:hAnsi="Times New Roman" w:cs="Times New Roman"/>
          <w:color w:val="000000" w:themeColor="text1"/>
          <w:sz w:val="20"/>
        </w:rPr>
        <w:t>os períodos de maior precipitação, por sua vez, a presença de água associada à superfície não pavimentada favorece a formação de lama, deformações, buracos, erosões e demais irregularidades, com redução da qualidade de rolamento e da segurança dos deslocamentos. Essas condições assumem especial relevância em uma via utilizada de forma contínua para acesso às comunidades do interior e para atividades econômicas que dependem de circulação rodoviária regular.</w:t>
      </w:r>
    </w:p>
    <w:p w14:paraId="655E47D5" w14:textId="02AC8BB9"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2.5</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As condições atuais também repercutem sobre a conservação da própria infraestrutura municipal. Vias não pavimentadas submetidas a tráfego e intempéries demandam intervenções periódicas de conservação, como regularização da pista, recomposição de materiais e correção de pontos degradados. Embora essas atividades sejam necessárias para assegurar condições mínimas de utilização, possuem caráter predominantemente corretivo e não eliminam de forma permanente os fatores que provocam a deterioração recorrente da superfície de rolamento.</w:t>
      </w:r>
    </w:p>
    <w:p w14:paraId="193ABCBB" w14:textId="661FBAAB"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lastRenderedPageBreak/>
        <w:t>2.6</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A EGP 09 apresenta, ainda, relevância para a atividade econômica municipal. Sua localização permite o acesso a propriedades rurais e </w:t>
      </w:r>
      <w:proofErr w:type="spellStart"/>
      <w:r w:rsidRPr="00044ACB">
        <w:rPr>
          <w:rFonts w:ascii="Times New Roman" w:eastAsia="Arial Unicode MS" w:hAnsi="Times New Roman" w:cs="Times New Roman"/>
          <w:color w:val="000000" w:themeColor="text1"/>
          <w:sz w:val="20"/>
        </w:rPr>
        <w:t>empreendimentos</w:t>
      </w:r>
      <w:proofErr w:type="spellEnd"/>
      <w:r w:rsidRPr="00044ACB">
        <w:rPr>
          <w:rFonts w:ascii="Times New Roman" w:eastAsia="Arial Unicode MS" w:hAnsi="Times New Roman" w:cs="Times New Roman"/>
          <w:color w:val="000000" w:themeColor="text1"/>
          <w:sz w:val="20"/>
        </w:rPr>
        <w:t xml:space="preserve"> situados nas localidades atendidas, fazendo com que as condições de trafegabilidade interfiram diretamente na movimentação de pessoas, máquinas, insumos e produtos. A melhoria da infraestrutura viária contribui, nesse contexto, para maior regularidade dos deslocamentos e melhores condições logísticas para as atividades desenvolvidas na região.</w:t>
      </w:r>
    </w:p>
    <w:p w14:paraId="7885EDEE" w14:textId="5155E57A"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2.7</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Soma-se à função econômica e de mobilidade o potencial de interesse turístico e cultural do trajeto. Na localidade de Santa Manoela encontra-se a centenária Igreja São José, que possui </w:t>
      </w:r>
      <w:r w:rsidR="000D5F8A" w:rsidRPr="00044ACB">
        <w:rPr>
          <w:rFonts w:ascii="Times New Roman" w:eastAsia="Arial Unicode MS" w:hAnsi="Times New Roman" w:cs="Times New Roman"/>
          <w:color w:val="000000" w:themeColor="text1"/>
          <w:sz w:val="20"/>
        </w:rPr>
        <w:t xml:space="preserve">pinturas </w:t>
      </w:r>
      <w:r w:rsidRPr="00044ACB">
        <w:rPr>
          <w:rFonts w:ascii="Times New Roman" w:eastAsia="Arial Unicode MS" w:hAnsi="Times New Roman" w:cs="Times New Roman"/>
          <w:color w:val="000000" w:themeColor="text1"/>
          <w:sz w:val="20"/>
        </w:rPr>
        <w:t>históric</w:t>
      </w:r>
      <w:r w:rsidR="000D5F8A" w:rsidRPr="00044ACB">
        <w:rPr>
          <w:rFonts w:ascii="Times New Roman" w:eastAsia="Arial Unicode MS" w:hAnsi="Times New Roman" w:cs="Times New Roman"/>
          <w:color w:val="000000" w:themeColor="text1"/>
          <w:sz w:val="20"/>
        </w:rPr>
        <w:t>a</w:t>
      </w:r>
      <w:r w:rsidRPr="00044ACB">
        <w:rPr>
          <w:rFonts w:ascii="Times New Roman" w:eastAsia="Arial Unicode MS" w:hAnsi="Times New Roman" w:cs="Times New Roman"/>
          <w:color w:val="000000" w:themeColor="text1"/>
          <w:sz w:val="20"/>
        </w:rPr>
        <w:t xml:space="preserve">s e vem se constituindo em ponto de visitação. A EGP 09 integra o acesso </w:t>
      </w:r>
      <w:r w:rsidR="000D5F8A" w:rsidRPr="00044ACB">
        <w:rPr>
          <w:rFonts w:ascii="Times New Roman" w:eastAsia="Arial Unicode MS" w:hAnsi="Times New Roman" w:cs="Times New Roman"/>
          <w:color w:val="000000" w:themeColor="text1"/>
          <w:sz w:val="20"/>
        </w:rPr>
        <w:t>ao local</w:t>
      </w:r>
      <w:r w:rsidRPr="00044ACB">
        <w:rPr>
          <w:rFonts w:ascii="Times New Roman" w:eastAsia="Arial Unicode MS" w:hAnsi="Times New Roman" w:cs="Times New Roman"/>
          <w:color w:val="000000" w:themeColor="text1"/>
          <w:sz w:val="20"/>
        </w:rPr>
        <w:t xml:space="preserve">, de modo que a melhoria progressiva de suas condições de circulação também favorece a acessibilidade ao patrimônio histórico, cultural e religioso existente </w:t>
      </w:r>
      <w:r w:rsidR="000D5F8A" w:rsidRPr="00044ACB">
        <w:rPr>
          <w:rFonts w:ascii="Times New Roman" w:eastAsia="Arial Unicode MS" w:hAnsi="Times New Roman" w:cs="Times New Roman"/>
          <w:color w:val="000000" w:themeColor="text1"/>
          <w:sz w:val="20"/>
        </w:rPr>
        <w:t>no</w:t>
      </w:r>
      <w:r w:rsidRPr="00044ACB">
        <w:rPr>
          <w:rFonts w:ascii="Times New Roman" w:eastAsia="Arial Unicode MS" w:hAnsi="Times New Roman" w:cs="Times New Roman"/>
          <w:color w:val="000000" w:themeColor="text1"/>
          <w:sz w:val="20"/>
        </w:rPr>
        <w:t xml:space="preserve"> Município.</w:t>
      </w:r>
    </w:p>
    <w:p w14:paraId="05A3CB60" w14:textId="13C5A845"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2.8</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Sob a perspectiva social, a via exerce função relevante de integração entre a área urbana e as comunidades do interior. Condições adequadas de circulação contribuem para proporcionar maior previsibilidade e segurança nos deslocamentos relacionados ao trabalho, à educação, à saúde, ao comércio, ao lazer e aos demais serviços e atividades desenvolvidos no Centro e nas localidades atendidas pela estrada.</w:t>
      </w:r>
    </w:p>
    <w:p w14:paraId="495847BD" w14:textId="1A1C5ADD"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2.9</w:t>
      </w:r>
      <w:r w:rsidR="000D5F8A"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 xml:space="preserve"> A melhoria da EGP 09 deve ser compreendida, portanto, como ação de infraestrutura pública de caráter estruturante, na medida em que seus efeitos alcançam simultaneamente a mobilidade da população, a segurança viária, o acesso aos serviços públicos, a atividade produtiva, a conservação da infraestrutura municipal e a integração territorial entre áreas urbanas e rurais.</w:t>
      </w:r>
    </w:p>
    <w:p w14:paraId="48AC8924" w14:textId="7514D914" w:rsidR="00814F67" w:rsidRPr="00044ACB" w:rsidRDefault="00814F67"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2.10</w:t>
      </w:r>
      <w:r w:rsidR="00451BD6" w:rsidRPr="00044ACB">
        <w:rPr>
          <w:rFonts w:ascii="Times New Roman" w:eastAsia="Arial Unicode MS" w:hAnsi="Times New Roman" w:cs="Times New Roman"/>
          <w:color w:val="000000" w:themeColor="text1"/>
          <w:sz w:val="20"/>
        </w:rPr>
        <w:t xml:space="preserve"> – </w:t>
      </w:r>
      <w:r w:rsidRPr="00044ACB">
        <w:rPr>
          <w:rFonts w:ascii="Times New Roman" w:eastAsia="Arial Unicode MS" w:hAnsi="Times New Roman" w:cs="Times New Roman"/>
          <w:color w:val="000000" w:themeColor="text1"/>
          <w:sz w:val="20"/>
        </w:rPr>
        <w:t>Diante desse cenário, evidencia-se a existência de problema público concreto relacionado à insuficiência da infraestrutura viária no trecho da EGP 09 objeto deste estudo. A Administração necessita, portanto, avaliar e implementar solução capaz de proporcionar melhores condições de trafegabilidade, segurança, drenagem, durabilidade da infraestrutura e regularidade dos deslocamentos, observados os requisitos técnicos, econômicos e ambientais pertinentes.</w:t>
      </w:r>
    </w:p>
    <w:p w14:paraId="072DFF00" w14:textId="77777777" w:rsidR="00451BD6" w:rsidRPr="00044ACB" w:rsidRDefault="00451BD6" w:rsidP="00044ACB">
      <w:pPr>
        <w:spacing w:after="0" w:line="276" w:lineRule="auto"/>
        <w:jc w:val="both"/>
        <w:rPr>
          <w:rFonts w:ascii="Times New Roman" w:eastAsia="Arial Unicode MS" w:hAnsi="Times New Roman" w:cs="Times New Roman"/>
          <w:color w:val="000000" w:themeColor="text1"/>
          <w:sz w:val="20"/>
        </w:rPr>
      </w:pPr>
    </w:p>
    <w:p w14:paraId="7295AA81" w14:textId="77777777" w:rsidR="00ED4ACE" w:rsidRPr="00044ACB" w:rsidRDefault="00ED4ACE" w:rsidP="00044ACB">
      <w:pPr>
        <w:spacing w:after="0" w:line="276" w:lineRule="auto"/>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3 – DESCRIÇÃO DOS REQUISITOS DA CONTRATAÇÃO:</w:t>
      </w:r>
    </w:p>
    <w:p w14:paraId="0E627093"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3.1 – As planilhas orçamentárias, composições de custos e demais elementos integrantes das propostas deverão estar devidamente preenchidos e guardar compatibilidade com os serviços, quantitativos e especificações constantes do Projeto de Engenharia, Memorial Descritivo, Termo de Referência e demais documentos técnicos da contratação.</w:t>
      </w:r>
    </w:p>
    <w:p w14:paraId="2919AC1D"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3.1.1 – Os preços e composições apresentados deverão demonstrar coerência técnica e econômica, observando os referenciais adotados pela Administração, especialmente o Sistema Nacional de Pesquisa de Custos e Índices da Construção Civil – SINAPI, vedados valores ou composições manifestamente inexequíveis ou incompatíveis com as condições de mercado e com as especificações do objeto.</w:t>
      </w:r>
    </w:p>
    <w:p w14:paraId="0ADEEB11"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3.2 – O objeto caracteriza-se como obra e serviço comum de engenharia, envolvendo métodos construtivos padronizados, resultados objetivamente mensuráveis e responsabilidade técnica por profissional legalmente habilitado, circunstâncias que justificam a adoção de requisitos técnicos, operacionais e profissionais compatíveis com a natureza, o porte e os riscos da contratação.</w:t>
      </w:r>
    </w:p>
    <w:p w14:paraId="26F662AA"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3.3 – Serão de responsabilidade da Contratada todos os encargos tributários, trabalhistas, previdenciários, ambientais e operacionais decorrentes da execução, inclusive taxas, licenças, registros, transportes, materiais, insumos, equipamentos, ferramentas, mão de obra e demais recursos necessários ao cumprimento integral do objeto, sem ônus adicional ao Município além dos valores regularmente contratados, ressalvadas as obrigações expressamente atribuídas à Administração.</w:t>
      </w:r>
    </w:p>
    <w:p w14:paraId="442ED841"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3.4 – A execução dos serviços ficará sujeita à fiscalização da Administração Municipal, que verificará, especialmente:</w:t>
      </w:r>
    </w:p>
    <w:p w14:paraId="12EB6797"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a) o cumprimento das normas de segurança e saúde do trabalho, inclusive quanto ao fornecimento e à utilização adequada dos Equipamentos de Proteção Individual – EPIs e Equipamentos de Proteção Coletiva – </w:t>
      </w:r>
      <w:proofErr w:type="spellStart"/>
      <w:r w:rsidRPr="00044ACB">
        <w:rPr>
          <w:rFonts w:ascii="Times New Roman" w:eastAsia="Arial Unicode MS" w:hAnsi="Times New Roman" w:cs="Times New Roman"/>
          <w:color w:val="000000" w:themeColor="text1"/>
          <w:sz w:val="20"/>
        </w:rPr>
        <w:t>EPCs</w:t>
      </w:r>
      <w:proofErr w:type="spellEnd"/>
      <w:r w:rsidRPr="00044ACB">
        <w:rPr>
          <w:rFonts w:ascii="Times New Roman" w:eastAsia="Arial Unicode MS" w:hAnsi="Times New Roman" w:cs="Times New Roman"/>
          <w:color w:val="000000" w:themeColor="text1"/>
          <w:sz w:val="20"/>
        </w:rPr>
        <w:t xml:space="preserve"> e à adoção das medidas necessárias à prevenção de acidentes;</w:t>
      </w:r>
    </w:p>
    <w:p w14:paraId="37E947A6"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b) a conformidade dos materiais, equipamentos, métodos executivos e serviços realizados com o Projeto de Engenharia, Memorial Descritivo e demais documentos técnicos da contratação, bem como com as normas da ABNT, DNIT, CONTRAN e demais regulamentos aplicáveis;</w:t>
      </w:r>
    </w:p>
    <w:p w14:paraId="2B0AA1B3"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lastRenderedPageBreak/>
        <w:t>c) o atendimento aos padrões de qualidade e aos controles tecnológicos previstos para cada etapa da obra, inclusive mediante realização e apresentação dos ensaios e verificações exigíveis;</w:t>
      </w:r>
    </w:p>
    <w:p w14:paraId="1D77D0CA"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d) a organização, sinalização e segurança da frente de obra, de modo a reduzir riscos aos trabalhadores, moradores e usuários da via;</w:t>
      </w:r>
    </w:p>
    <w:p w14:paraId="26F37B47"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e) o cumprimento das medidas ambientais aplicáveis, especialmente quanto ao manejo e à destinação dos resíduos, prevenção de processos erosivos, controle de materiais e mitigação dos impactos decorrentes da execução; e</w:t>
      </w:r>
    </w:p>
    <w:p w14:paraId="0A785D10"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f) a regularidade dos equipamentos, instalações e procedimentos utilizados na produção, transporte, pesagem e aplicação dos materiais asfálticos, inclusive quanto à origem dos insumos, documentação dos veículos e equipamentos, controle das pesagens e rastreabilidade dos carregamentos destinados à obra.</w:t>
      </w:r>
    </w:p>
    <w:p w14:paraId="25E6FD62"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3.5 – O prazo para execução física da obra </w:t>
      </w:r>
      <w:r w:rsidRPr="00044ACB">
        <w:rPr>
          <w:rFonts w:ascii="Times New Roman" w:eastAsia="Arial Unicode MS" w:hAnsi="Times New Roman" w:cs="Times New Roman"/>
          <w:b/>
          <w:bCs/>
          <w:color w:val="000000" w:themeColor="text1"/>
          <w:sz w:val="20"/>
        </w:rPr>
        <w:t>será de 120 (cento e vinte) dias</w:t>
      </w:r>
      <w:r w:rsidRPr="00044ACB">
        <w:rPr>
          <w:rFonts w:ascii="Times New Roman" w:eastAsia="Arial Unicode MS" w:hAnsi="Times New Roman" w:cs="Times New Roman"/>
          <w:color w:val="000000" w:themeColor="text1"/>
          <w:sz w:val="20"/>
        </w:rPr>
        <w:t>, contados a partir da emissão da Ordem de Serviço, observados o Cronograma Físico-Financeiro e as condições previstas nos documentos técnicos da contratação.</w:t>
      </w:r>
    </w:p>
    <w:p w14:paraId="16D3FF2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3.5.1 – O prazo de </w:t>
      </w:r>
      <w:r w:rsidRPr="00044ACB">
        <w:rPr>
          <w:rFonts w:ascii="Times New Roman" w:eastAsia="Arial Unicode MS" w:hAnsi="Times New Roman" w:cs="Times New Roman"/>
          <w:b/>
          <w:bCs/>
          <w:color w:val="000000" w:themeColor="text1"/>
          <w:sz w:val="20"/>
        </w:rPr>
        <w:t>vigência contratual será de 12 (doze) meses</w:t>
      </w:r>
      <w:r w:rsidRPr="00044ACB">
        <w:rPr>
          <w:rFonts w:ascii="Times New Roman" w:eastAsia="Arial Unicode MS" w:hAnsi="Times New Roman" w:cs="Times New Roman"/>
          <w:color w:val="000000" w:themeColor="text1"/>
          <w:sz w:val="20"/>
        </w:rPr>
        <w:t>, em período suficiente para abranger a execução da obra, medições, recebimentos, correção de eventuais pendências e demais providências necessárias ao regular encerramento da contratação.</w:t>
      </w:r>
    </w:p>
    <w:p w14:paraId="6D803FC5"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3.5.2 – O prazo de vigência observará as disposições da Lei Federal nº 14.133/2021 aplicáveis aos contratos de escopo, admitindo-se sua extensão nas hipóteses legalmente previstas, sem prejuízo da responsabilização da Contratada quando eventual atraso lhe for imputável.</w:t>
      </w:r>
    </w:p>
    <w:p w14:paraId="6D989879" w14:textId="408A8FFD" w:rsidR="00ED4ACE" w:rsidRPr="00044ACB" w:rsidRDefault="00CB0BB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ED4ACE" w:rsidRPr="00044ACB">
        <w:rPr>
          <w:rFonts w:ascii="Times New Roman" w:eastAsia="Arial Unicode MS" w:hAnsi="Times New Roman" w:cs="Times New Roman"/>
          <w:color w:val="000000" w:themeColor="text1"/>
          <w:sz w:val="20"/>
        </w:rPr>
        <w:t>3.5.3 –</w:t>
      </w:r>
      <w:r w:rsidR="00224933" w:rsidRPr="00044ACB">
        <w:rPr>
          <w:rFonts w:ascii="Times New Roman" w:eastAsia="Arial Unicode MS" w:hAnsi="Times New Roman" w:cs="Times New Roman"/>
          <w:color w:val="000000" w:themeColor="text1"/>
          <w:sz w:val="20"/>
        </w:rPr>
        <w:t xml:space="preserve"> A emissão da Ordem de Serviço ficará condicionada ao cumprimento das condições técnicas e administrativas estabelecidas para o início da execução, inclusive à apresentação e aprovação dos documentos exigidos da Contratada e ao prévio aceite da Caixa Econômica Federal – CAIXA, no âmbito do Convênio Transferegov.br nº 999672/2026.</w:t>
      </w:r>
    </w:p>
    <w:p w14:paraId="2F75FFAA"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3.6 – A vistoria técnica no local da obra será facultativa, cabendo às licitantes avaliar a conveniência de sua realização para conhecimento das condições locais, acessos, características da via e demais elementos que possam interferir na execução.</w:t>
      </w:r>
    </w:p>
    <w:p w14:paraId="4636AC33"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3.6.1 – A licitante que optar pela realização da vistoria deverá observar os procedimentos definidos no Edital e receberá o correspondente atestado. A licitante que optar por não </w:t>
      </w:r>
      <w:proofErr w:type="gramStart"/>
      <w:r w:rsidRPr="00044ACB">
        <w:rPr>
          <w:rFonts w:ascii="Times New Roman" w:eastAsia="Arial Unicode MS" w:hAnsi="Times New Roman" w:cs="Times New Roman"/>
          <w:color w:val="000000" w:themeColor="text1"/>
          <w:sz w:val="20"/>
        </w:rPr>
        <w:t>realizá-la</w:t>
      </w:r>
      <w:proofErr w:type="gramEnd"/>
      <w:r w:rsidRPr="00044ACB">
        <w:rPr>
          <w:rFonts w:ascii="Times New Roman" w:eastAsia="Arial Unicode MS" w:hAnsi="Times New Roman" w:cs="Times New Roman"/>
          <w:color w:val="000000" w:themeColor="text1"/>
          <w:sz w:val="20"/>
        </w:rPr>
        <w:t xml:space="preserve"> deverá apresentar declaração formal de conhecimento das condições e peculiaridades da contratação, nos termos definidos no instrumento convocatório.</w:t>
      </w:r>
    </w:p>
    <w:p w14:paraId="4E0FDAFC"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3.6.2 – A facultatividade da vistoria tem por finalidade preservar a competitividade do certame, não sendo admitidas posteriormente alegações de desconhecimento de condições aparentes ou suficientemente identificáveis nos documentos disponibilizados ou mediante conhecimento ordinário do local como fundamento, por si só, para pleitos de reequilíbrio econômico-financeiro, prorrogações ou alterações contratuais indevidas.</w:t>
      </w:r>
    </w:p>
    <w:p w14:paraId="23EEBD9D"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3.7 – A execução do objeto não gerará, em nenhuma hipótese, vínculo empregatício entre os empregados, profissionais, prepostos ou demais colaboradores da Contratada e a Administração Pública, sendo vedada qualquer relação que caracterize pessoalidade ou subordinação direta, competindo exclusivamente à Contratada o cumprimento das obrigações trabalhistas, previdenciárias, fiscais e correlatas decorrentes das relações por ela estabelecidas.</w:t>
      </w:r>
    </w:p>
    <w:p w14:paraId="55846BDE"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3.8 – Para participação na licitação, os interessados deverão possuir ramo de atividade compatível com o objeto e comprovar o atendimento às condições de habilitação jurídica, fiscal, social, trabalhista, econômico-financeira e técnica previstas na Lei Federal nº 14.133/2021, mediante apresentação da documentação estabelecida no Edital, observados, especialmente, os seguintes requisitos:</w:t>
      </w:r>
    </w:p>
    <w:p w14:paraId="1492A4D0" w14:textId="77777777" w:rsidR="00ED4ACE" w:rsidRPr="00044ACB" w:rsidRDefault="00ED4ACE" w:rsidP="00044ACB">
      <w:pPr>
        <w:spacing w:after="0" w:line="276" w:lineRule="auto"/>
        <w:ind w:firstLine="708"/>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3.8.1 – HABILITAÇÃO JURÍDICA:</w:t>
      </w:r>
    </w:p>
    <w:p w14:paraId="43A8344C"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 no caso de empresário individual, inscrição no Registro Público de Empresas Mercantis;</w:t>
      </w:r>
    </w:p>
    <w:p w14:paraId="23780115" w14:textId="0C74742F" w:rsidR="00ED4ACE" w:rsidRPr="00044ACB" w:rsidRDefault="00CB0BB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ED4ACE" w:rsidRPr="00044ACB">
        <w:rPr>
          <w:rFonts w:ascii="Times New Roman" w:eastAsia="Arial Unicode MS" w:hAnsi="Times New Roman" w:cs="Times New Roman"/>
          <w:color w:val="000000" w:themeColor="text1"/>
          <w:sz w:val="20"/>
        </w:rPr>
        <w:t>b) em se tratando de Microempreendedor Individual – MEI, Certificado da Condição de Microempreendedor Individual – CCMEI;</w:t>
      </w:r>
    </w:p>
    <w:p w14:paraId="7F84E75C"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c) no caso de sociedade empresária, ato constitutivo, estatuto ou contrato social em vigor, devidamente registrado, acompanhado dos documentos de eleição ou designação de seus administradores, quando cabíveis;</w:t>
      </w:r>
    </w:p>
    <w:p w14:paraId="02DCA3D9" w14:textId="2BB4D6FC" w:rsidR="00ED4ACE" w:rsidRPr="00044ACB" w:rsidRDefault="00CB0BB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ED4ACE" w:rsidRPr="00044ACB">
        <w:rPr>
          <w:rFonts w:ascii="Times New Roman" w:eastAsia="Arial Unicode MS" w:hAnsi="Times New Roman" w:cs="Times New Roman"/>
          <w:color w:val="000000" w:themeColor="text1"/>
          <w:sz w:val="20"/>
        </w:rPr>
        <w:t>d) no caso de sucursal, filial ou agência, inscrição no registro competente, com as averbações legalmente exigíveis;</w:t>
      </w:r>
    </w:p>
    <w:p w14:paraId="6F55334C"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e) no caso de sociedade simples, inscrição do ato constitutivo no Registro Civil das Pessoas Jurídicas, acompanhada da comprovação de seus administradores;</w:t>
      </w:r>
    </w:p>
    <w:p w14:paraId="6C2CA300"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f) no caso de cooperativa, ato constitutivo, estatuto social e demais documentos exigidos pela legislação específica; e</w:t>
      </w:r>
    </w:p>
    <w:p w14:paraId="5C2543BD"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g) no caso de sociedade estrangeira autorizada a funcionar no País, documentação correspondente à autorização para exercício de suas atividades no Brasil, na forma da legislação aplicável.</w:t>
      </w:r>
    </w:p>
    <w:p w14:paraId="704CA08A" w14:textId="77777777" w:rsidR="00ED4ACE" w:rsidRPr="00044ACB" w:rsidRDefault="00ED4ACE" w:rsidP="00044ACB">
      <w:pPr>
        <w:spacing w:after="0" w:line="276" w:lineRule="auto"/>
        <w:ind w:firstLine="708"/>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3.8.2 – HABILITAÇÃO FISCAL, SOCIAL E TRABALHISTA:</w:t>
      </w:r>
    </w:p>
    <w:p w14:paraId="0FCAA096"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 prova de inscrição no Cadastro Nacional da Pessoa Jurídica – CNPJ;</w:t>
      </w:r>
    </w:p>
    <w:p w14:paraId="11236F23"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b) prova de inscrição no cadastro de contribuintes estadual e/ou municipal, se houver, relativo ao domicílio ou sede do licitante, pertinente ao seu ramo de atividade e compatível com o objeto da contratação;</w:t>
      </w:r>
    </w:p>
    <w:p w14:paraId="07BD8C53"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c) prova de regularidade perante a Fazenda Federal;</w:t>
      </w:r>
    </w:p>
    <w:p w14:paraId="2593A194" w14:textId="79236089" w:rsidR="00ED4ACE" w:rsidRPr="00044ACB" w:rsidRDefault="00CB0BB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ED4ACE" w:rsidRPr="00044ACB">
        <w:rPr>
          <w:rFonts w:ascii="Times New Roman" w:eastAsia="Arial Unicode MS" w:hAnsi="Times New Roman" w:cs="Times New Roman"/>
          <w:color w:val="000000" w:themeColor="text1"/>
          <w:sz w:val="20"/>
        </w:rPr>
        <w:t>d) prova de regularidade perante a Fazenda Estadual;</w:t>
      </w:r>
    </w:p>
    <w:p w14:paraId="43A8EE47"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e) prova de regularidade perante a Fazenda Municipal do domicílio ou sede do licitante;</w:t>
      </w:r>
    </w:p>
    <w:p w14:paraId="5B23C20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f) prova de regularidade relativa à Seguridade Social e ao Fundo de Garantia do Tempo de Serviço – FGTS;</w:t>
      </w:r>
    </w:p>
    <w:p w14:paraId="40F2FBFF"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g) prova de regularidade perante a Justiça do Trabalho, mediante apresentação da Certidão Negativa de Débitos Trabalhistas – CNDT ou certidão equivalente admitida pela legislação; e</w:t>
      </w:r>
    </w:p>
    <w:p w14:paraId="366D10A7"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h) declaração de cumprimento do disposto no art. 7º, inciso XXXIII, da Constituição Federal.</w:t>
      </w:r>
    </w:p>
    <w:p w14:paraId="43A62A2A" w14:textId="77777777" w:rsidR="00ED4ACE" w:rsidRPr="00044ACB" w:rsidRDefault="00ED4ACE" w:rsidP="00044ACB">
      <w:pPr>
        <w:spacing w:after="0" w:line="276" w:lineRule="auto"/>
        <w:ind w:firstLine="708"/>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3.8.3 – HABILITAÇÃO ECONÔMICO-FINANCEIRA:</w:t>
      </w:r>
    </w:p>
    <w:p w14:paraId="669A972B"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 certidão negativa de feitos sobre falência expedida pelo distribuidor da sede do licitante, observadas as condições e o prazo de validade estabelecidos no Edital;</w:t>
      </w:r>
    </w:p>
    <w:p w14:paraId="2C7F5C1A"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b) balanço patrimonial, Demonstração do Resultado do Exercício – DRE e demais demonstrações contábeis referentes aos 2 (dois) últimos exercícios sociais, exigíveis e apresentados na forma da legislação aplicável. Para pessoa jurídica constituída há menos de 2 (dois) anos, a documentação ficará limitada ao último exercício social encerrado e legalmente exigível. Para empresa constituída no próprio exercício financeiro da licitação, será admitida a apresentação do respectivo balanço de abertura, sem prejuízo do atendimento às demais exigências de qualificação econômico-financeira aplicáveis; e</w:t>
      </w:r>
    </w:p>
    <w:p w14:paraId="07FC5AFD"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c) Demonstrativo de Índices Econômico-Financeiros, elaborado com base no balanço patrimonial e nas demonstrações contábeis apresentadas, contendo os índices, fórmulas, resultados apurados e demais parâmetros de avaliação exigidos para aferição da situação econômico-financeira da licitante, conforme critérios expressamente definidos e justificados no Edital e nos documentos da fase preparatória, em conformidade com a Lei Federal nº 14.133/2021.</w:t>
      </w:r>
    </w:p>
    <w:p w14:paraId="386A25C2"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b/>
          <w:bCs/>
          <w:color w:val="000000" w:themeColor="text1"/>
          <w:sz w:val="20"/>
        </w:rPr>
        <w:t>3.8.4 – REGISTRO DA PESSOA JURÍDICA:</w:t>
      </w:r>
      <w:r w:rsidRPr="00044ACB">
        <w:rPr>
          <w:rFonts w:ascii="Times New Roman" w:eastAsia="Arial Unicode MS" w:hAnsi="Times New Roman" w:cs="Times New Roman"/>
          <w:color w:val="000000" w:themeColor="text1"/>
          <w:sz w:val="20"/>
        </w:rPr>
        <w:t xml:space="preserve"> A licitante deverá comprovar registro ou inscrição da pessoa jurídica no Conselho Regional de Engenharia e Agronomia – CREA ou no Conselho de Arquitetura e Urbanismo – CAU, conforme a natureza das atividades desenvolvidas e as atribuições profissionais necessárias à execução do objeto.</w:t>
      </w:r>
    </w:p>
    <w:p w14:paraId="77512F18"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b/>
          <w:bCs/>
          <w:color w:val="000000" w:themeColor="text1"/>
          <w:sz w:val="20"/>
        </w:rPr>
        <w:t>3.8.5 – REGISTRO DOS PROFISSIONAIS:</w:t>
      </w:r>
      <w:r w:rsidRPr="00044ACB">
        <w:rPr>
          <w:rFonts w:ascii="Times New Roman" w:eastAsia="Arial Unicode MS" w:hAnsi="Times New Roman" w:cs="Times New Roman"/>
          <w:color w:val="000000" w:themeColor="text1"/>
          <w:sz w:val="20"/>
        </w:rPr>
        <w:t xml:space="preserve"> A licitante deverá comprovar o registro dos profissionais responsáveis pela condução técnica da obra perante o respectivo conselho profissional competente, devendo dispor, no mínimo, de Engenheiro Civil ou profissional legalmente habilitado que possua atribuições compatíveis com os serviços objeto da contratação.</w:t>
      </w:r>
    </w:p>
    <w:p w14:paraId="1380ADC8"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b/>
          <w:bCs/>
          <w:color w:val="000000" w:themeColor="text1"/>
          <w:sz w:val="20"/>
        </w:rPr>
        <w:t>3.8.6 – CAPACIDADE TÉCNICO-PROFISSIONAL:</w:t>
      </w:r>
      <w:r w:rsidRPr="00044ACB">
        <w:rPr>
          <w:rFonts w:ascii="Times New Roman" w:eastAsia="Arial Unicode MS" w:hAnsi="Times New Roman" w:cs="Times New Roman"/>
          <w:color w:val="000000" w:themeColor="text1"/>
          <w:sz w:val="20"/>
        </w:rPr>
        <w:t xml:space="preserve"> A licitante deverá apresentar profissional devidamente registrado no conselho profissional competente e detentor de Certidão de Acervo Técnico – CAT, atestado de responsabilidade técnica ou documento equivalente regularmente reconhecido pelo respectivo conselho, que comprove experiência anterior na execução de obra ou serviço de características semelhantes às parcelas de maior relevância técnica ou valor significativo do objeto.</w:t>
      </w:r>
    </w:p>
    <w:p w14:paraId="32CF9B8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3.8.6.1 – As parcelas de maior relevância técnica ou valor significativo, para fins de comprovação da capacidade técnico-profissional, serão definidas no Edital, a partir da análise das características técnicas do objeto, da Planilha Orçamentária e dos serviços de maior relevância para a adequada execução da contratação, observados os limites e critérios estabelecidos no art. 67 da Lei Federal nº 14.133/2021.</w:t>
      </w:r>
    </w:p>
    <w:p w14:paraId="35BBF4A7"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3.8.6.2 – A definição dessas parcelas no Edital permitirá estabelecer, de forma objetiva e diretamente vinculada ao objeto licitado, as experiências profissionais efetivamente necessárias à comprovação da aptidão técnica, evitando exigências genéricas, excessivas ou sem correspondência com os serviços de maior relevância da contratação.</w:t>
      </w:r>
    </w:p>
    <w:p w14:paraId="158EAFC6"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b/>
          <w:bCs/>
          <w:color w:val="000000" w:themeColor="text1"/>
          <w:sz w:val="20"/>
        </w:rPr>
        <w:t>3.8.7 – VÍNCULO E DISPONIBILIDADE DOS PROFISSIONAIS:</w:t>
      </w:r>
      <w:r w:rsidRPr="00044ACB">
        <w:rPr>
          <w:rFonts w:ascii="Times New Roman" w:eastAsia="Arial Unicode MS" w:hAnsi="Times New Roman" w:cs="Times New Roman"/>
          <w:color w:val="000000" w:themeColor="text1"/>
          <w:sz w:val="20"/>
        </w:rPr>
        <w:t xml:space="preserve"> A licitante deverá comprovar a disponibilidade dos profissionais técnicos indicados para participação na execução da obra, observando-se que:</w:t>
      </w:r>
    </w:p>
    <w:p w14:paraId="1ACC5AD3"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 a comprovação poderá ser realizada mediante Carteira de Trabalho e Previdência Social, ficha ou registro de empregado, contrato de prestação de serviços, ato constitutivo da sociedade quando o profissional integrar seu quadro societário, ou declaração de contratação futura acompanhada da anuência expressa do profissional;</w:t>
      </w:r>
    </w:p>
    <w:p w14:paraId="1E530B1E"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b) os profissionais indicados deverão participar efetivamente da execução da obra até sua conclusão, admitindo-se sua substituição por profissional de experiência e qualificação equivalente ou superior, desde que previamente apresentada, justificada e aprovada pela Administração; e</w:t>
      </w:r>
    </w:p>
    <w:p w14:paraId="545D7BE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c) não será admitida a comprovação de disponibilidade ou vínculo de um mesmo profissional técnico para mais de uma licitante participante do mesmo certame, como medida destinada a assegurar a efetiva disponibilidade do responsável técnico indicado, preservar a independência entre as licitantes e prevenir situações que possam comprometer a regularidade, a isonomia e a integridade da competição, sob pena de inabilitação das empresas envolvidas, observadas as condições e os procedimentos estabelecidos no Edital.</w:t>
      </w:r>
    </w:p>
    <w:p w14:paraId="1CF93D5A" w14:textId="77777777" w:rsidR="00ED4ACE" w:rsidRPr="00044ACB" w:rsidRDefault="00ED4ACE" w:rsidP="00044ACB">
      <w:pPr>
        <w:spacing w:after="0" w:line="276" w:lineRule="auto"/>
        <w:ind w:firstLine="708"/>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3.9 – REQUISITOS ESPECÍFICOS DE CONTROLE, SEGURANÇA E RASTREABILIDADE DA PAVIMENTAÇÃO ASFÁLTICA:</w:t>
      </w:r>
    </w:p>
    <w:p w14:paraId="201C88DC"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3.9.1 – Deverá ser apresentado Certificado de Verificação Metrológica da balança rodoviária indicada para a pesagem dos carregamentos destinados à obra, emitido pelo INMETRO ou por entidade competente ou acreditada, com validade vigente na data estabelecida pelo Edital.</w:t>
      </w:r>
    </w:p>
    <w:p w14:paraId="029EADD0"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3.9.1.1 – Quando a balança estiver instalada em usina de asfalto pertencente a terceiro, o documento deverá permitir sua inequívoca vinculação à instalação indicada para atendimento da obra, acompanhado dos elementos necessários à comprovação de sua disponibilidade para utilização pela licitante.</w:t>
      </w:r>
    </w:p>
    <w:p w14:paraId="46F6A2D1"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3.9.1.2 – A exigência tem por finalidade assegurar a confiabilidade das pesagens, a rastreabilidade dos carregamentos de massa asfáltica e a segurança dos registros utilizados pela fiscalização, reduzindo riscos de divergências, manipulações ou inconsistências na comprovação dos materiais destinados ao empreendimento.</w:t>
      </w:r>
    </w:p>
    <w:p w14:paraId="34301DDE"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3.9.2 – O caminhão espargidor e os demais veículos ou equipamentos que realizem o transporte de emulsões asfálticas, asfaltos diluídos ou outros produtos sujeitos à regulamentação de transporte rodoviário de produtos perigosos deverão possuir a licença, autorização, certificado de inspeção ou documentação equivalente exigível pelos órgãos competentes, compatível com o produto e a modalidade de transporte realizada, com validade vigente na data estabelecida pelo Edital e durante a execução contratual.</w:t>
      </w:r>
    </w:p>
    <w:p w14:paraId="73900E95"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3.9.2.1 – A documentação deverá abranger, quando aplicáveis, os certificados e inspeções legalmente exigíveis para o veículo, equipamento ou tanque utilizado, sem prejuízo das demais autorizações ambientais, de trânsito e de transporte previstas na legislação.</w:t>
      </w:r>
    </w:p>
    <w:p w14:paraId="3C00A5D6"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3.9.2.2 – A exigência justifica-se pela necessidade de assegurar que o transporte dos materiais betuminosos empregados na obra ocorra em condições regulares de segurança e conformidade, reduzindo riscos de acidentes, vazamentos, danos ambientais, interrupções dos serviços e comprometimento da execução contratual.</w:t>
      </w:r>
    </w:p>
    <w:p w14:paraId="55729FC4"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3.9.3 – As instalações de britagem e a usina de asfalto indicadas para o fornecimento dos materiais empregados na obra deverão possuir regularidade ambiental compatível com as respectivas atividades, mediante Licença de Operação ou documento equivalente expedido pelo órgão ambiental competente e vigente durante a execução.</w:t>
      </w:r>
    </w:p>
    <w:p w14:paraId="18A6DC5B"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3.9.3.1 – A exigência destina-se a assegurar a procedência regular dos principais insumos utilizados na pavimentação, bem como a reduzir riscos ambientais, técnicos e operacionais associados ao fornecimento de agregados e da mistura asfáltica.</w:t>
      </w:r>
    </w:p>
    <w:p w14:paraId="0DCDFD76"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3.10 – São obrigações da empresa contratada:</w:t>
      </w:r>
    </w:p>
    <w:p w14:paraId="23A1D2C0"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 executar integralmente os serviços previstos para o trecho da EGP 09, em conformidade com os Projetos de Engenharia, Memorial Descritivo, especificações técnicas e demais documentos da contratação;</w:t>
      </w:r>
    </w:p>
    <w:p w14:paraId="183D71E3" w14:textId="5D3B600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b) empregar materiais, insumos, equipamentos e mão de obra adequados às especificações aplicáveis, realizando os controles tecnológicos, ensaios e verificações de qualidade exigidos;</w:t>
      </w:r>
    </w:p>
    <w:p w14:paraId="0846BE93"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c) manter a frente de obra organizada, sinalizada e em condições adequadas de segurança, adotando as medidas necessárias à prevenção de acidentes e à mitigação dos impactos ambientais decorrentes da execução;</w:t>
      </w:r>
    </w:p>
    <w:p w14:paraId="1C38F265"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d) apresentar as medições, registros, relatórios, tickets de pesagem, resultados de ensaios e demais documentos necessários ao acompanhamento da obra, prestar as informações solicitadas e assegurar à fiscalização acesso aos locais e elementos relacionados à execução;</w:t>
      </w:r>
    </w:p>
    <w:p w14:paraId="56908C16"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e) providenciar as </w:t>
      </w:r>
      <w:proofErr w:type="spellStart"/>
      <w:r w:rsidRPr="00044ACB">
        <w:rPr>
          <w:rFonts w:ascii="Times New Roman" w:eastAsia="Arial Unicode MS" w:hAnsi="Times New Roman" w:cs="Times New Roman"/>
          <w:color w:val="000000" w:themeColor="text1"/>
          <w:sz w:val="20"/>
        </w:rPr>
        <w:t>ARTs</w:t>
      </w:r>
      <w:proofErr w:type="spellEnd"/>
      <w:r w:rsidRPr="00044ACB">
        <w:rPr>
          <w:rFonts w:ascii="Times New Roman" w:eastAsia="Arial Unicode MS" w:hAnsi="Times New Roman" w:cs="Times New Roman"/>
          <w:color w:val="000000" w:themeColor="text1"/>
          <w:sz w:val="20"/>
        </w:rPr>
        <w:t>/</w:t>
      </w:r>
      <w:proofErr w:type="spellStart"/>
      <w:r w:rsidRPr="00044ACB">
        <w:rPr>
          <w:rFonts w:ascii="Times New Roman" w:eastAsia="Arial Unicode MS" w:hAnsi="Times New Roman" w:cs="Times New Roman"/>
          <w:color w:val="000000" w:themeColor="text1"/>
          <w:sz w:val="20"/>
        </w:rPr>
        <w:t>RRTs</w:t>
      </w:r>
      <w:proofErr w:type="spellEnd"/>
      <w:r w:rsidRPr="00044ACB">
        <w:rPr>
          <w:rFonts w:ascii="Times New Roman" w:eastAsia="Arial Unicode MS" w:hAnsi="Times New Roman" w:cs="Times New Roman"/>
          <w:color w:val="000000" w:themeColor="text1"/>
          <w:sz w:val="20"/>
        </w:rPr>
        <w:t xml:space="preserve"> relativas à execução da obra e, quando exigível, a inscrição no Cadastro Nacional de Obras – CNO;</w:t>
      </w:r>
    </w:p>
    <w:p w14:paraId="7A1146A6"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f) apresentar, em até 10 (dez) dias úteis após a contratação, Plano de Trabalho da Contratada compatível com o Cronograma Físico-Financeiro, como condição para emissão da Ordem de Serviço;</w:t>
      </w:r>
    </w:p>
    <w:p w14:paraId="68A8C22D"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g) apresentar, como condição para emissão da Ordem de Serviço, Projeto de Concreto Betuminoso Usinado a Quente – CBUQ referente à mistura asfáltica a ser empregada na pavimentação, elaborado por laboratório vinculado a instituição de ensino superior ou por laboratório tecnicamente habilitado nos termos definidos no Edital e no Termo de Referência, correspondente à usina responsável pela produção da mistura e acompanhado da identificação dos materiais constituintes, provenientes de fonte e instalação de britagem devidamente licenciada;</w:t>
      </w:r>
    </w:p>
    <w:p w14:paraId="5F174398"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h) assegurar que o Projeto de CBUQ estabeleça os parâmetros necessários à produção, aplicação e controle da mistura asfáltica, especialmente granulometria, teor de ligante, densidade, características dos materiais constituintes e demais elementos necessários à verificação da qualidade, compactação, desempenho e durabilidade do revestimento;</w:t>
      </w:r>
    </w:p>
    <w:p w14:paraId="1689A7A1"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i) submeter o Projeto de CBUQ à análise e aprovação prévia da fiscalização municipal, não sendo autorizada a emissão da Ordem de Serviço enquanto não ocorrer sua validação técnica;</w:t>
      </w:r>
    </w:p>
    <w:p w14:paraId="5B37F06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j) assegurar que todos os carregamentos de massa asfáltica destinados à obra sejam acompanhados dos respectivos tickets de pesagem, emitidos por balança rodoviária regularmente verificada e identificada, contendo os elementos necessários à vinculação do carregamento ao empreendimento;</w:t>
      </w:r>
    </w:p>
    <w:p w14:paraId="2CFC4FA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k) considerando que o Município não dispõe de balança rodoviária própria no local da obra, realizar a pesagem dos carregamentos no local de produção ou carregamento da usina de asfalto, mediante equipamento com regularidade metrológica vigente, ressalvada outra solução previamente aceita pela fiscalização;</w:t>
      </w:r>
    </w:p>
    <w:p w14:paraId="2B151AB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l) utilizar os parâmetros de densidade definidos no Projeto de CBUQ, em conjunto com os tickets de pesagem, registros de campo e controles tecnológicos, para fins de conferência, rastreabilidade e comprovação dos quantitativos de massa asfáltica destinados e incorporados à obra, sem que esses elementos constituam, isoladamente, critério de remuneração por preço unitário, preservado o regime de empreitada por preço global;</w:t>
      </w:r>
    </w:p>
    <w:p w14:paraId="488D3B22"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m) manter, durante toda a execução, a regularidade dos equipamentos, veículos, instalações, licenças, certificados e demais documentos relacionados à produção, transporte, pesagem e aplicação dos materiais empregados na obra;</w:t>
      </w:r>
    </w:p>
    <w:p w14:paraId="58C6DFB1"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n) atender às determinações da fiscalização e corrigir, refazer, remover, reconstruir ou substituir, às suas expensas, os serviços, materiais ou elementos executados em desacordo com as especificações ou que apresentem vícios ou não conformidades; e</w:t>
      </w:r>
    </w:p>
    <w:p w14:paraId="380C31E4"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o) responder pelos danos causados à Administração ou a terceiros decorrentes da execução do contrato.</w:t>
      </w:r>
    </w:p>
    <w:p w14:paraId="034544D2"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3.10.1 – A exigência de apresentação e aprovação prévia do Projeto de CBUQ fundamenta-se na necessidade de a Administração conhecer, antes do início da obra, as características da mistura asfáltica que será efetivamente utilizada, permitindo estabelecer parâmetros objetivos para os controles tecnológicos, fiscalização, conferência das pesagens, compactação e avaliação da qualidade do revestimento.</w:t>
      </w:r>
    </w:p>
    <w:p w14:paraId="76B5D053"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3.10.2 – A associação entre Projeto de CBUQ, densidade da mistura, tickets de pesagem, registros de execução e ensaios tecnológicos constitui mecanismo de controle destinado a assegurar maior rastreabilidade dos materiais aplicados e reduzir riscos de inconsistências entre os quantitativos previstos, fornecidos e efetivamente incorporados à obra.</w:t>
      </w:r>
    </w:p>
    <w:p w14:paraId="5A8D461E"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3.11 – São obrigações do Município:</w:t>
      </w:r>
    </w:p>
    <w:p w14:paraId="2242BC4B"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 disponibilizar os projetos, memoriais, especificações e demais informações sob sua responsabilidade necessárias à execução da obra, bem como assegurar o acesso às áreas de intervenção;</w:t>
      </w:r>
    </w:p>
    <w:p w14:paraId="712D858C" w14:textId="159F9EC2" w:rsidR="00ED4ACE" w:rsidRPr="00044ACB" w:rsidRDefault="00B74FE8"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ED4ACE" w:rsidRPr="00044ACB">
        <w:rPr>
          <w:rFonts w:ascii="Times New Roman" w:eastAsia="Arial Unicode MS" w:hAnsi="Times New Roman" w:cs="Times New Roman"/>
          <w:color w:val="000000" w:themeColor="text1"/>
          <w:sz w:val="20"/>
        </w:rPr>
        <w:t xml:space="preserve">b) </w:t>
      </w:r>
      <w:r w:rsidR="00224933" w:rsidRPr="00044ACB">
        <w:rPr>
          <w:rFonts w:ascii="Times New Roman" w:eastAsia="Arial Unicode MS" w:hAnsi="Times New Roman" w:cs="Times New Roman"/>
          <w:color w:val="000000" w:themeColor="text1"/>
          <w:sz w:val="20"/>
        </w:rPr>
        <w:t xml:space="preserve">emitir a Ordem de Serviço somente após o atendimento das condições estabelecidas para o início da execução, inclusive a apresentação e aprovação do Plano de Trabalho, </w:t>
      </w:r>
      <w:proofErr w:type="spellStart"/>
      <w:r w:rsidR="00224933" w:rsidRPr="00044ACB">
        <w:rPr>
          <w:rFonts w:ascii="Times New Roman" w:eastAsia="Arial Unicode MS" w:hAnsi="Times New Roman" w:cs="Times New Roman"/>
          <w:color w:val="000000" w:themeColor="text1"/>
          <w:sz w:val="20"/>
        </w:rPr>
        <w:t>ARTs</w:t>
      </w:r>
      <w:proofErr w:type="spellEnd"/>
      <w:r w:rsidR="00224933" w:rsidRPr="00044ACB">
        <w:rPr>
          <w:rFonts w:ascii="Times New Roman" w:eastAsia="Arial Unicode MS" w:hAnsi="Times New Roman" w:cs="Times New Roman"/>
          <w:color w:val="000000" w:themeColor="text1"/>
          <w:sz w:val="20"/>
        </w:rPr>
        <w:t>/</w:t>
      </w:r>
      <w:proofErr w:type="spellStart"/>
      <w:r w:rsidR="00224933" w:rsidRPr="00044ACB">
        <w:rPr>
          <w:rFonts w:ascii="Times New Roman" w:eastAsia="Arial Unicode MS" w:hAnsi="Times New Roman" w:cs="Times New Roman"/>
          <w:color w:val="000000" w:themeColor="text1"/>
          <w:sz w:val="20"/>
        </w:rPr>
        <w:t>RRTs</w:t>
      </w:r>
      <w:proofErr w:type="spellEnd"/>
      <w:r w:rsidR="00224933" w:rsidRPr="00044ACB">
        <w:rPr>
          <w:rFonts w:ascii="Times New Roman" w:eastAsia="Arial Unicode MS" w:hAnsi="Times New Roman" w:cs="Times New Roman"/>
          <w:color w:val="000000" w:themeColor="text1"/>
          <w:sz w:val="20"/>
        </w:rPr>
        <w:t>, Projeto de CBUQ e demais documentos exigidos, bem como após o prévio aceite da Caixa Econômica Federal – CAIXA;</w:t>
      </w:r>
    </w:p>
    <w:p w14:paraId="3241EE76"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c) acompanhar e fiscalizar a execução contratual, inclusive quanto à qualidade dos serviços, materiais, controles tecnológicos, regularidade dos equipamentos e instalações, tickets de pesagem e medições, determinando a correção das irregularidades constatadas;</w:t>
      </w:r>
    </w:p>
    <w:p w14:paraId="2F205780"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d) verificar, por intermédio da fiscalização, a correspondência entre os carregamentos destinados à obra, os tickets apresentados, os registros de aplicação e os controles tecnológicos realizados;</w:t>
      </w:r>
    </w:p>
    <w:p w14:paraId="7E69EAD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e) prestar os esclarecimentos necessários ao regular desenvolvimento dos serviços; e</w:t>
      </w:r>
    </w:p>
    <w:p w14:paraId="41CADDD9" w14:textId="77777777" w:rsidR="00ED4ACE" w:rsidRPr="00044ACB" w:rsidRDefault="00ED4ACE"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f) efetuar os pagamentos correspondentes às etapas ou eventos regularmente executados, medidos, atestados e liquidados, conforme as condições estabelecidas na contratação e o regime de empreitada por preço global.</w:t>
      </w:r>
    </w:p>
    <w:p w14:paraId="25475DF5" w14:textId="087ED238" w:rsidR="00F7435E" w:rsidRPr="00044ACB" w:rsidRDefault="00ED4ACE"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3.12 – Os critérios complementares de execução, habilitação, medição, pagamento, controle tecnológico, recebimento, garantia, fiscalização, verificação dos veículos e equipamentos, utilização da balança rodoviária, emissão e conferência dos tickets de pesagem e demais procedimentos relacionados à produção e aplicação do CBUQ serão estabelecidos no Termo de Referência, Edital, Contrato e demais documentos da contratação, em compatibilidade com o presente Estudo Técnico Preliminar.</w:t>
      </w:r>
    </w:p>
    <w:p w14:paraId="06889338" w14:textId="77777777" w:rsidR="00ED4ACE" w:rsidRPr="00044ACB" w:rsidRDefault="00ED4ACE" w:rsidP="00044ACB">
      <w:pPr>
        <w:spacing w:after="0" w:line="276" w:lineRule="auto"/>
        <w:jc w:val="both"/>
        <w:rPr>
          <w:rFonts w:ascii="Times New Roman" w:eastAsia="Arial Unicode MS" w:hAnsi="Times New Roman" w:cs="Times New Roman"/>
          <w:color w:val="000000" w:themeColor="text1"/>
          <w:sz w:val="20"/>
        </w:rPr>
      </w:pPr>
    </w:p>
    <w:p w14:paraId="5077A9A5" w14:textId="77777777" w:rsidR="006E786C" w:rsidRPr="00044ACB" w:rsidRDefault="00F640AA"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4</w:t>
      </w:r>
      <w:r w:rsidR="006E786C" w:rsidRPr="00044ACB">
        <w:rPr>
          <w:rFonts w:ascii="Times New Roman" w:eastAsia="Arial Unicode MS" w:hAnsi="Times New Roman" w:cs="Times New Roman"/>
          <w:b/>
          <w:color w:val="000000" w:themeColor="text1"/>
          <w:sz w:val="20"/>
        </w:rPr>
        <w:t xml:space="preserve"> - LEVANTAMENTO DO MERCADO:</w:t>
      </w:r>
    </w:p>
    <w:p w14:paraId="38BDE0CF" w14:textId="434CC21B"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4.1 – </w:t>
      </w:r>
      <w:r w:rsidR="005C7A46" w:rsidRPr="00044ACB">
        <w:rPr>
          <w:rFonts w:ascii="Times New Roman" w:eastAsia="Arial Unicode MS" w:hAnsi="Times New Roman" w:cs="Times New Roman"/>
          <w:color w:val="000000" w:themeColor="text1"/>
          <w:sz w:val="20"/>
        </w:rPr>
        <w:t>O levantamento de mercado foi realizado com o objetivo de identificar e comparar as soluções tecnicamente disponíveis para a pavimentação do trecho da EGP 09 e as formas possíveis de viabilização de sua execução, considerando as características da via, o tráfego existente, a necessidade de durabilidade, a disponibilidade de materiais, equipamentos e fornecedores, a capacidade operacional da Administração e a relação entre custo, desempenho, riscos e eficiência da solução.</w:t>
      </w:r>
    </w:p>
    <w:p w14:paraId="67663166" w14:textId="77777777"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4.2 – Foram consideradas, dentre as soluções usualmente empregadas em infraestrutura viária, as seguintes alternativas:</w:t>
      </w:r>
    </w:p>
    <w:p w14:paraId="56820BD7" w14:textId="296ABF2A"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a) Pavimentação asfáltica em Concreto Betuminoso Usinado a Quente – CBUQ: pavimento flexível executado com mistura usinada de agregados minerais e ligante asfáltico, caracterizado pela adequada capacidade estrutural, regularidade da superfície de rolamento, agilidade de execução e ampla utilização em vias submetidas a tráfego de veículos leves e pesados;</w:t>
      </w:r>
    </w:p>
    <w:p w14:paraId="560D25A0" w14:textId="7F3469F9"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b) Pavimentação com blocos intertravados de concreto – PVS: solução composta por peças pré-moldadas assentadas sobre estrutura granular, com facilidade de manutenção localizada e possibilidade de reaproveitamento das peças, sendo usualmente empregada em diferentes tipos de vias conforme o dimensionamento estrutural adotado; e</w:t>
      </w:r>
    </w:p>
    <w:p w14:paraId="516941E4" w14:textId="18D26CBF"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c) Pavimentação em concreto rígido: solução constituída por placas de concreto de cimento Portland, caracterizada por elevada resistência e durabilidade, porém com maior investimento inicial e processo executivo específico.</w:t>
      </w:r>
    </w:p>
    <w:p w14:paraId="4E11AEB4" w14:textId="77777777"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4.3 – A comparação das alternativas considerou, especialmente, o desempenho estrutural esperado, durabilidade, conforto de rolamento, facilidade e prazo de execução, necessidade de manutenção, disponibilidade de materiais e equipamentos, adequação às características da EGP 09 e custo de implantação.</w:t>
      </w:r>
    </w:p>
    <w:p w14:paraId="02CA3D38" w14:textId="325AFF3F" w:rsidR="005E5775" w:rsidRPr="00044ACB" w:rsidRDefault="005E5775" w:rsidP="00044ACB">
      <w:pPr>
        <w:spacing w:after="0" w:line="276" w:lineRule="auto"/>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 xml:space="preserve">4.4 – </w:t>
      </w:r>
      <w:r w:rsidR="00090D5F" w:rsidRPr="00044ACB">
        <w:rPr>
          <w:rFonts w:ascii="Times New Roman" w:eastAsia="Arial Unicode MS" w:hAnsi="Times New Roman" w:cs="Times New Roman"/>
          <w:b/>
          <w:bCs/>
          <w:color w:val="000000" w:themeColor="text1"/>
          <w:sz w:val="20"/>
        </w:rPr>
        <w:t>QUADRO COMPARATIVO DAS ALTERNATIVAS TÉCNICAS:</w:t>
      </w:r>
    </w:p>
    <w:tbl>
      <w:tblPr>
        <w:tblStyle w:val="Tabelacomgrade"/>
        <w:tblW w:w="9923" w:type="dxa"/>
        <w:tblInd w:w="-431" w:type="dxa"/>
        <w:tblLook w:val="04A0" w:firstRow="1" w:lastRow="0" w:firstColumn="1" w:lastColumn="0" w:noHBand="0" w:noVBand="1"/>
      </w:tblPr>
      <w:tblGrid>
        <w:gridCol w:w="3403"/>
        <w:gridCol w:w="1418"/>
        <w:gridCol w:w="3402"/>
        <w:gridCol w:w="1700"/>
      </w:tblGrid>
      <w:tr w:rsidR="00714ADF" w:rsidRPr="00044ACB" w14:paraId="245B6815" w14:textId="77777777" w:rsidTr="00044ACB">
        <w:tc>
          <w:tcPr>
            <w:tcW w:w="3403" w:type="dxa"/>
            <w:vAlign w:val="center"/>
          </w:tcPr>
          <w:p w14:paraId="55BE40F0" w14:textId="2BD8CE00"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b/>
                <w:bCs/>
                <w:sz w:val="20"/>
                <w:szCs w:val="20"/>
              </w:rPr>
              <w:t>Critério</w:t>
            </w:r>
          </w:p>
        </w:tc>
        <w:tc>
          <w:tcPr>
            <w:tcW w:w="1418" w:type="dxa"/>
            <w:vAlign w:val="center"/>
          </w:tcPr>
          <w:p w14:paraId="7ECE0F26" w14:textId="04219684" w:rsidR="00714ADF" w:rsidRPr="00044ACB" w:rsidRDefault="00714ADF" w:rsidP="00044ACB">
            <w:pPr>
              <w:spacing w:line="276" w:lineRule="auto"/>
              <w:rPr>
                <w:rFonts w:ascii="Times New Roman" w:eastAsia="Arial Unicode MS" w:hAnsi="Times New Roman" w:cs="Times New Roman"/>
                <w:b/>
                <w:color w:val="000000" w:themeColor="text1"/>
                <w:sz w:val="20"/>
                <w:szCs w:val="20"/>
              </w:rPr>
            </w:pPr>
            <w:r w:rsidRPr="00044ACB">
              <w:rPr>
                <w:rFonts w:ascii="Times New Roman" w:eastAsia="Arial Unicode MS" w:hAnsi="Times New Roman" w:cs="Times New Roman"/>
                <w:b/>
                <w:bCs/>
                <w:sz w:val="20"/>
                <w:szCs w:val="20"/>
              </w:rPr>
              <w:t>CBUQ</w:t>
            </w:r>
          </w:p>
        </w:tc>
        <w:tc>
          <w:tcPr>
            <w:tcW w:w="3402" w:type="dxa"/>
            <w:vAlign w:val="center"/>
          </w:tcPr>
          <w:p w14:paraId="42282E73" w14:textId="3E624A73" w:rsidR="00714ADF" w:rsidRPr="00044ACB" w:rsidRDefault="00714ADF" w:rsidP="00044ACB">
            <w:pPr>
              <w:spacing w:line="276" w:lineRule="auto"/>
              <w:rPr>
                <w:rFonts w:ascii="Times New Roman" w:eastAsia="Arial Unicode MS" w:hAnsi="Times New Roman" w:cs="Times New Roman"/>
                <w:b/>
                <w:color w:val="000000" w:themeColor="text1"/>
                <w:sz w:val="20"/>
                <w:szCs w:val="20"/>
              </w:rPr>
            </w:pPr>
            <w:r w:rsidRPr="00044ACB">
              <w:rPr>
                <w:rFonts w:ascii="Times New Roman" w:eastAsia="Arial Unicode MS" w:hAnsi="Times New Roman" w:cs="Times New Roman"/>
                <w:b/>
                <w:bCs/>
                <w:sz w:val="20"/>
                <w:szCs w:val="20"/>
              </w:rPr>
              <w:t>PVS</w:t>
            </w:r>
          </w:p>
        </w:tc>
        <w:tc>
          <w:tcPr>
            <w:tcW w:w="1700" w:type="dxa"/>
            <w:vAlign w:val="center"/>
          </w:tcPr>
          <w:p w14:paraId="57D5138A" w14:textId="2D6BA0AB"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b/>
                <w:bCs/>
                <w:sz w:val="20"/>
                <w:szCs w:val="20"/>
              </w:rPr>
              <w:t>Concreto rígido</w:t>
            </w:r>
          </w:p>
        </w:tc>
      </w:tr>
      <w:tr w:rsidR="00714ADF" w:rsidRPr="00044ACB" w14:paraId="5AD60039" w14:textId="77777777" w:rsidTr="00044ACB">
        <w:tc>
          <w:tcPr>
            <w:tcW w:w="3403" w:type="dxa"/>
            <w:vAlign w:val="center"/>
          </w:tcPr>
          <w:p w14:paraId="61B4A406" w14:textId="29B18759"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Custo inicial</w:t>
            </w:r>
          </w:p>
        </w:tc>
        <w:tc>
          <w:tcPr>
            <w:tcW w:w="1418" w:type="dxa"/>
            <w:vAlign w:val="center"/>
          </w:tcPr>
          <w:p w14:paraId="6A05756F" w14:textId="58D3E60C"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Intermediário</w:t>
            </w:r>
          </w:p>
        </w:tc>
        <w:tc>
          <w:tcPr>
            <w:tcW w:w="3402" w:type="dxa"/>
            <w:vAlign w:val="center"/>
          </w:tcPr>
          <w:p w14:paraId="6E771BCE" w14:textId="6934CC49"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Intermediário</w:t>
            </w:r>
          </w:p>
        </w:tc>
        <w:tc>
          <w:tcPr>
            <w:tcW w:w="1700" w:type="dxa"/>
            <w:vAlign w:val="center"/>
          </w:tcPr>
          <w:p w14:paraId="4CFE8235" w14:textId="48B35094"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Elevado</w:t>
            </w:r>
          </w:p>
        </w:tc>
      </w:tr>
      <w:tr w:rsidR="00714ADF" w:rsidRPr="00044ACB" w14:paraId="6256A770" w14:textId="77777777" w:rsidTr="00044ACB">
        <w:tc>
          <w:tcPr>
            <w:tcW w:w="3403" w:type="dxa"/>
            <w:vAlign w:val="center"/>
          </w:tcPr>
          <w:p w14:paraId="5ED363CC" w14:textId="51038401"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Desempenho para tráfego misto</w:t>
            </w:r>
          </w:p>
        </w:tc>
        <w:tc>
          <w:tcPr>
            <w:tcW w:w="1418" w:type="dxa"/>
            <w:vAlign w:val="center"/>
          </w:tcPr>
          <w:p w14:paraId="6EA861D2" w14:textId="0FFDFE4B"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Alto</w:t>
            </w:r>
          </w:p>
        </w:tc>
        <w:tc>
          <w:tcPr>
            <w:tcW w:w="3402" w:type="dxa"/>
            <w:vAlign w:val="center"/>
          </w:tcPr>
          <w:p w14:paraId="4CBDB7E3" w14:textId="186CA65A"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Adequado, conforme dimensionamento</w:t>
            </w:r>
          </w:p>
        </w:tc>
        <w:tc>
          <w:tcPr>
            <w:tcW w:w="1700" w:type="dxa"/>
            <w:vAlign w:val="center"/>
          </w:tcPr>
          <w:p w14:paraId="4D982F2D" w14:textId="16567B5B"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Alto</w:t>
            </w:r>
          </w:p>
        </w:tc>
      </w:tr>
      <w:tr w:rsidR="00714ADF" w:rsidRPr="00044ACB" w14:paraId="57433836" w14:textId="77777777" w:rsidTr="00044ACB">
        <w:tc>
          <w:tcPr>
            <w:tcW w:w="3403" w:type="dxa"/>
            <w:vAlign w:val="center"/>
          </w:tcPr>
          <w:p w14:paraId="31626894" w14:textId="04E1424C"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Regularidade e conforto de rolamento</w:t>
            </w:r>
          </w:p>
        </w:tc>
        <w:tc>
          <w:tcPr>
            <w:tcW w:w="1418" w:type="dxa"/>
            <w:vAlign w:val="center"/>
          </w:tcPr>
          <w:p w14:paraId="2752B708" w14:textId="68161C0C"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Alto</w:t>
            </w:r>
          </w:p>
        </w:tc>
        <w:tc>
          <w:tcPr>
            <w:tcW w:w="3402" w:type="dxa"/>
            <w:vAlign w:val="center"/>
          </w:tcPr>
          <w:p w14:paraId="2B446967" w14:textId="10F527F2"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Médio</w:t>
            </w:r>
          </w:p>
        </w:tc>
        <w:tc>
          <w:tcPr>
            <w:tcW w:w="1700" w:type="dxa"/>
            <w:vAlign w:val="center"/>
          </w:tcPr>
          <w:p w14:paraId="73F69F1E" w14:textId="295476CD"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Alto</w:t>
            </w:r>
          </w:p>
        </w:tc>
      </w:tr>
      <w:tr w:rsidR="00714ADF" w:rsidRPr="00044ACB" w14:paraId="26953532" w14:textId="77777777" w:rsidTr="00044ACB">
        <w:tc>
          <w:tcPr>
            <w:tcW w:w="3403" w:type="dxa"/>
            <w:vAlign w:val="center"/>
          </w:tcPr>
          <w:p w14:paraId="48D04243" w14:textId="484FB285"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Rapidez de execução</w:t>
            </w:r>
          </w:p>
        </w:tc>
        <w:tc>
          <w:tcPr>
            <w:tcW w:w="1418" w:type="dxa"/>
            <w:vAlign w:val="center"/>
          </w:tcPr>
          <w:p w14:paraId="788AEB97" w14:textId="4117FE24"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Alta</w:t>
            </w:r>
          </w:p>
        </w:tc>
        <w:tc>
          <w:tcPr>
            <w:tcW w:w="3402" w:type="dxa"/>
            <w:vAlign w:val="center"/>
          </w:tcPr>
          <w:p w14:paraId="047CE53D" w14:textId="7886B261"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Média</w:t>
            </w:r>
          </w:p>
        </w:tc>
        <w:tc>
          <w:tcPr>
            <w:tcW w:w="1700" w:type="dxa"/>
            <w:vAlign w:val="center"/>
          </w:tcPr>
          <w:p w14:paraId="44C076AA" w14:textId="69F9BABB"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Média</w:t>
            </w:r>
          </w:p>
        </w:tc>
      </w:tr>
      <w:tr w:rsidR="00714ADF" w:rsidRPr="00044ACB" w14:paraId="6D123799" w14:textId="77777777" w:rsidTr="00044ACB">
        <w:tc>
          <w:tcPr>
            <w:tcW w:w="3403" w:type="dxa"/>
            <w:vAlign w:val="center"/>
          </w:tcPr>
          <w:p w14:paraId="4526860C" w14:textId="67FD7700"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Facilidade de manutenção</w:t>
            </w:r>
          </w:p>
        </w:tc>
        <w:tc>
          <w:tcPr>
            <w:tcW w:w="1418" w:type="dxa"/>
            <w:vAlign w:val="center"/>
          </w:tcPr>
          <w:p w14:paraId="71F14DC0" w14:textId="67A6255E"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Alta</w:t>
            </w:r>
          </w:p>
        </w:tc>
        <w:tc>
          <w:tcPr>
            <w:tcW w:w="3402" w:type="dxa"/>
            <w:vAlign w:val="center"/>
          </w:tcPr>
          <w:p w14:paraId="5140C552" w14:textId="1F020FFC"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Alta</w:t>
            </w:r>
          </w:p>
        </w:tc>
        <w:tc>
          <w:tcPr>
            <w:tcW w:w="1700" w:type="dxa"/>
            <w:vAlign w:val="center"/>
          </w:tcPr>
          <w:p w14:paraId="4811C728" w14:textId="0B361D67"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Média</w:t>
            </w:r>
          </w:p>
        </w:tc>
      </w:tr>
      <w:tr w:rsidR="00714ADF" w:rsidRPr="00044ACB" w14:paraId="76DFA680" w14:textId="77777777" w:rsidTr="00044ACB">
        <w:tc>
          <w:tcPr>
            <w:tcW w:w="3403" w:type="dxa"/>
            <w:vAlign w:val="center"/>
          </w:tcPr>
          <w:p w14:paraId="6EEBE243" w14:textId="07646A54"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Disponibilidade no mercado regional</w:t>
            </w:r>
          </w:p>
        </w:tc>
        <w:tc>
          <w:tcPr>
            <w:tcW w:w="1418" w:type="dxa"/>
            <w:vAlign w:val="center"/>
          </w:tcPr>
          <w:p w14:paraId="6A5423F1" w14:textId="3CD583FA"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Alta</w:t>
            </w:r>
          </w:p>
        </w:tc>
        <w:tc>
          <w:tcPr>
            <w:tcW w:w="3402" w:type="dxa"/>
            <w:vAlign w:val="center"/>
          </w:tcPr>
          <w:p w14:paraId="38F3BB47" w14:textId="163AD4FC"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Alta</w:t>
            </w:r>
          </w:p>
        </w:tc>
        <w:tc>
          <w:tcPr>
            <w:tcW w:w="1700" w:type="dxa"/>
            <w:vAlign w:val="center"/>
          </w:tcPr>
          <w:p w14:paraId="1CD37296" w14:textId="0928E233"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Média</w:t>
            </w:r>
          </w:p>
        </w:tc>
      </w:tr>
      <w:tr w:rsidR="00714ADF" w:rsidRPr="00044ACB" w14:paraId="50004DA2" w14:textId="77777777" w:rsidTr="00044ACB">
        <w:tc>
          <w:tcPr>
            <w:tcW w:w="3403" w:type="dxa"/>
            <w:vAlign w:val="center"/>
          </w:tcPr>
          <w:p w14:paraId="7D037DAC" w14:textId="75269A04"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Adequação ao trecho estudado</w:t>
            </w:r>
          </w:p>
        </w:tc>
        <w:tc>
          <w:tcPr>
            <w:tcW w:w="1418" w:type="dxa"/>
            <w:vAlign w:val="center"/>
          </w:tcPr>
          <w:p w14:paraId="09F93563" w14:textId="50F0B5CE"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Alta</w:t>
            </w:r>
          </w:p>
        </w:tc>
        <w:tc>
          <w:tcPr>
            <w:tcW w:w="3402" w:type="dxa"/>
            <w:vAlign w:val="center"/>
          </w:tcPr>
          <w:p w14:paraId="3881BADB" w14:textId="45848D2F"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Média</w:t>
            </w:r>
          </w:p>
        </w:tc>
        <w:tc>
          <w:tcPr>
            <w:tcW w:w="1700" w:type="dxa"/>
            <w:vAlign w:val="center"/>
          </w:tcPr>
          <w:p w14:paraId="2C4AE357" w14:textId="07D81DEB" w:rsidR="00714ADF" w:rsidRPr="00044ACB" w:rsidRDefault="00714ADF" w:rsidP="00044ACB">
            <w:pPr>
              <w:spacing w:line="276" w:lineRule="auto"/>
              <w:rPr>
                <w:rFonts w:ascii="Times New Roman" w:eastAsia="Arial Unicode MS" w:hAnsi="Times New Roman" w:cs="Times New Roman"/>
                <w:bCs/>
                <w:color w:val="000000" w:themeColor="text1"/>
                <w:sz w:val="20"/>
                <w:szCs w:val="20"/>
              </w:rPr>
            </w:pPr>
            <w:r w:rsidRPr="00044ACB">
              <w:rPr>
                <w:rFonts w:ascii="Times New Roman" w:eastAsia="Arial Unicode MS" w:hAnsi="Times New Roman" w:cs="Times New Roman"/>
                <w:sz w:val="20"/>
                <w:szCs w:val="20"/>
              </w:rPr>
              <w:t>Média</w:t>
            </w:r>
          </w:p>
        </w:tc>
      </w:tr>
    </w:tbl>
    <w:p w14:paraId="473C71E7" w14:textId="77777777"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p>
    <w:p w14:paraId="16CF2596" w14:textId="42A17619"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4.5 – A partir da avaliação das alternativas, define-se como solução técnica a pavimentação em Concreto Betuminoso Usinado a Quente – CBUQ, por apresentar maior adequação às características e à finalidade da intervenção pretendida para a EGP 09.</w:t>
      </w:r>
    </w:p>
    <w:p w14:paraId="23E1B167" w14:textId="2299A867"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4.5.1 – A escolha fundamenta-se especialmente:</w:t>
      </w:r>
    </w:p>
    <w:p w14:paraId="245F81F4" w14:textId="382DBC25"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Pr="00044ACB">
        <w:rPr>
          <w:rFonts w:ascii="Times New Roman" w:eastAsia="Arial Unicode MS" w:hAnsi="Times New Roman" w:cs="Times New Roman"/>
          <w:color w:val="000000" w:themeColor="text1"/>
          <w:sz w:val="20"/>
        </w:rPr>
        <w:tab/>
        <w:t xml:space="preserve">I – </w:t>
      </w:r>
      <w:proofErr w:type="gramStart"/>
      <w:r w:rsidRPr="00044ACB">
        <w:rPr>
          <w:rFonts w:ascii="Times New Roman" w:eastAsia="Arial Unicode MS" w:hAnsi="Times New Roman" w:cs="Times New Roman"/>
          <w:color w:val="000000" w:themeColor="text1"/>
          <w:sz w:val="20"/>
        </w:rPr>
        <w:t>na</w:t>
      </w:r>
      <w:proofErr w:type="gramEnd"/>
      <w:r w:rsidRPr="00044ACB">
        <w:rPr>
          <w:rFonts w:ascii="Times New Roman" w:eastAsia="Arial Unicode MS" w:hAnsi="Times New Roman" w:cs="Times New Roman"/>
          <w:color w:val="000000" w:themeColor="text1"/>
          <w:sz w:val="20"/>
        </w:rPr>
        <w:t xml:space="preserve"> capacidade de atendimento ao tráfego misto existente na via, incluindo </w:t>
      </w:r>
      <w:r w:rsidR="00451BD6" w:rsidRPr="00044ACB">
        <w:rPr>
          <w:rFonts w:ascii="Times New Roman" w:eastAsia="Arial Unicode MS" w:hAnsi="Times New Roman" w:cs="Times New Roman"/>
          <w:color w:val="000000" w:themeColor="text1"/>
          <w:sz w:val="20"/>
        </w:rPr>
        <w:t>diferentes tipos de veículos</w:t>
      </w:r>
      <w:r w:rsidRPr="00044ACB">
        <w:rPr>
          <w:rFonts w:ascii="Times New Roman" w:eastAsia="Arial Unicode MS" w:hAnsi="Times New Roman" w:cs="Times New Roman"/>
          <w:color w:val="000000" w:themeColor="text1"/>
          <w:sz w:val="20"/>
        </w:rPr>
        <w:t xml:space="preserve"> e aqueles relacionados às atividades produtivas locais;</w:t>
      </w:r>
    </w:p>
    <w:p w14:paraId="7F0936B1" w14:textId="11FCD44A"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Pr="00044ACB">
        <w:rPr>
          <w:rFonts w:ascii="Times New Roman" w:eastAsia="Arial Unicode MS" w:hAnsi="Times New Roman" w:cs="Times New Roman"/>
          <w:color w:val="000000" w:themeColor="text1"/>
          <w:sz w:val="20"/>
        </w:rPr>
        <w:tab/>
        <w:t xml:space="preserve">II – </w:t>
      </w:r>
      <w:proofErr w:type="gramStart"/>
      <w:r w:rsidRPr="00044ACB">
        <w:rPr>
          <w:rFonts w:ascii="Times New Roman" w:eastAsia="Arial Unicode MS" w:hAnsi="Times New Roman" w:cs="Times New Roman"/>
          <w:color w:val="000000" w:themeColor="text1"/>
          <w:sz w:val="20"/>
        </w:rPr>
        <w:t>na</w:t>
      </w:r>
      <w:proofErr w:type="gramEnd"/>
      <w:r w:rsidRPr="00044ACB">
        <w:rPr>
          <w:rFonts w:ascii="Times New Roman" w:eastAsia="Arial Unicode MS" w:hAnsi="Times New Roman" w:cs="Times New Roman"/>
          <w:color w:val="000000" w:themeColor="text1"/>
          <w:sz w:val="20"/>
        </w:rPr>
        <w:t xml:space="preserve"> obtenção de superfície de rolamento regular e contínua, proporcionando melhores condições de trafegabilidade, conforto e segurança aos usuários;</w:t>
      </w:r>
    </w:p>
    <w:p w14:paraId="1F842854" w14:textId="6DDB7B70"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Pr="00044ACB">
        <w:rPr>
          <w:rFonts w:ascii="Times New Roman" w:eastAsia="Arial Unicode MS" w:hAnsi="Times New Roman" w:cs="Times New Roman"/>
          <w:color w:val="000000" w:themeColor="text1"/>
          <w:sz w:val="20"/>
        </w:rPr>
        <w:tab/>
        <w:t>III – na compatibilidade da solução com a estrutura de terraplenagem, sub-base, base e drenagem prevista para o trecho;</w:t>
      </w:r>
    </w:p>
    <w:p w14:paraId="2C0BD417" w14:textId="6E6C1340"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Pr="00044ACB">
        <w:rPr>
          <w:rFonts w:ascii="Times New Roman" w:eastAsia="Arial Unicode MS" w:hAnsi="Times New Roman" w:cs="Times New Roman"/>
          <w:color w:val="000000" w:themeColor="text1"/>
          <w:sz w:val="20"/>
        </w:rPr>
        <w:tab/>
        <w:t xml:space="preserve">IV – </w:t>
      </w:r>
      <w:proofErr w:type="gramStart"/>
      <w:r w:rsidRPr="00044ACB">
        <w:rPr>
          <w:rFonts w:ascii="Times New Roman" w:eastAsia="Arial Unicode MS" w:hAnsi="Times New Roman" w:cs="Times New Roman"/>
          <w:color w:val="000000" w:themeColor="text1"/>
          <w:sz w:val="20"/>
        </w:rPr>
        <w:t>na</w:t>
      </w:r>
      <w:proofErr w:type="gramEnd"/>
      <w:r w:rsidRPr="00044ACB">
        <w:rPr>
          <w:rFonts w:ascii="Times New Roman" w:eastAsia="Arial Unicode MS" w:hAnsi="Times New Roman" w:cs="Times New Roman"/>
          <w:color w:val="000000" w:themeColor="text1"/>
          <w:sz w:val="20"/>
        </w:rPr>
        <w:t xml:space="preserve"> rapidez de execução, aspecto relevante para reduzir o período de interferência no tráfego e nas atividades desenvolvidas ao longo da via;</w:t>
      </w:r>
    </w:p>
    <w:p w14:paraId="5CD44B53" w14:textId="71C8118D"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Pr="00044ACB">
        <w:rPr>
          <w:rFonts w:ascii="Times New Roman" w:eastAsia="Arial Unicode MS" w:hAnsi="Times New Roman" w:cs="Times New Roman"/>
          <w:color w:val="000000" w:themeColor="text1"/>
          <w:sz w:val="20"/>
        </w:rPr>
        <w:tab/>
        <w:t xml:space="preserve">V – </w:t>
      </w:r>
      <w:proofErr w:type="gramStart"/>
      <w:r w:rsidRPr="00044ACB">
        <w:rPr>
          <w:rFonts w:ascii="Times New Roman" w:eastAsia="Arial Unicode MS" w:hAnsi="Times New Roman" w:cs="Times New Roman"/>
          <w:color w:val="000000" w:themeColor="text1"/>
          <w:sz w:val="20"/>
        </w:rPr>
        <w:t>na</w:t>
      </w:r>
      <w:proofErr w:type="gramEnd"/>
      <w:r w:rsidRPr="00044ACB">
        <w:rPr>
          <w:rFonts w:ascii="Times New Roman" w:eastAsia="Arial Unicode MS" w:hAnsi="Times New Roman" w:cs="Times New Roman"/>
          <w:color w:val="000000" w:themeColor="text1"/>
          <w:sz w:val="20"/>
        </w:rPr>
        <w:t xml:space="preserve"> disponibilidade de equipamentos, materiais, usinas e empresas especializadas para execução dessa modalidade de pavimentação; e</w:t>
      </w:r>
    </w:p>
    <w:p w14:paraId="575A883E" w14:textId="3CF24CA0"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Pr="00044ACB">
        <w:rPr>
          <w:rFonts w:ascii="Times New Roman" w:eastAsia="Arial Unicode MS" w:hAnsi="Times New Roman" w:cs="Times New Roman"/>
          <w:color w:val="000000" w:themeColor="text1"/>
          <w:sz w:val="20"/>
        </w:rPr>
        <w:tab/>
        <w:t xml:space="preserve">VI – </w:t>
      </w:r>
      <w:proofErr w:type="gramStart"/>
      <w:r w:rsidRPr="00044ACB">
        <w:rPr>
          <w:rFonts w:ascii="Times New Roman" w:eastAsia="Arial Unicode MS" w:hAnsi="Times New Roman" w:cs="Times New Roman"/>
          <w:color w:val="000000" w:themeColor="text1"/>
          <w:sz w:val="20"/>
        </w:rPr>
        <w:t>na</w:t>
      </w:r>
      <w:proofErr w:type="gramEnd"/>
      <w:r w:rsidRPr="00044ACB">
        <w:rPr>
          <w:rFonts w:ascii="Times New Roman" w:eastAsia="Arial Unicode MS" w:hAnsi="Times New Roman" w:cs="Times New Roman"/>
          <w:color w:val="000000" w:themeColor="text1"/>
          <w:sz w:val="20"/>
        </w:rPr>
        <w:t xml:space="preserve"> relação entre custo de implantação, desempenho esperado, durabilidade e manutenção ao longo da utilização da infraestrutura.</w:t>
      </w:r>
    </w:p>
    <w:p w14:paraId="4275CB46" w14:textId="77777777" w:rsidR="00451BD6"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4.6 –</w:t>
      </w:r>
      <w:r w:rsidR="00451BD6" w:rsidRPr="00044ACB">
        <w:rPr>
          <w:rFonts w:ascii="Times New Roman" w:eastAsia="Arial Unicode MS" w:hAnsi="Times New Roman" w:cs="Times New Roman"/>
          <w:b/>
          <w:bCs/>
          <w:color w:val="000000" w:themeColor="text1"/>
          <w:sz w:val="20"/>
        </w:rPr>
        <w:t xml:space="preserve"> </w:t>
      </w:r>
      <w:r w:rsidR="00451BD6" w:rsidRPr="00044ACB">
        <w:rPr>
          <w:rFonts w:ascii="Times New Roman" w:eastAsia="Arial Unicode MS" w:hAnsi="Times New Roman" w:cs="Times New Roman"/>
          <w:color w:val="000000" w:themeColor="text1"/>
          <w:sz w:val="20"/>
        </w:rPr>
        <w:t xml:space="preserve">A solução em blocos intertravados de concreto – PVS, embora tecnicamente aplicável mediante adequado dimensionamento e execução, não foi considerada a mais adequada para o trecho analisado diante das características de circulação da EGP 09, da necessidade de maior continuidade e regularidade da superfície de rolamento e da solução estrutural projetada para a intervenção. </w:t>
      </w:r>
    </w:p>
    <w:p w14:paraId="47298B3D" w14:textId="55532149" w:rsidR="00714ADF" w:rsidRPr="00044ACB" w:rsidRDefault="00451BD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4.6.1 – Considerou-se, ainda, a experiência observada no trecho da própria EGP 09 anteriormente pavimentado com PVS, executado no final de 2023 e início de 2024, o qual já apresenta irregularidades e perda de qualidade da superfície de rolamento, reforçando a conveniência de adoção, para o segmento ora estudado, de solução com maior adequação às condições de tráfego e desempenho pretendidas.</w:t>
      </w:r>
    </w:p>
    <w:p w14:paraId="1FCF7F66" w14:textId="77777777"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4.7 – O pavimento em concreto rígido, por sua vez, apresenta elevada resistência e durabilidade, porém demanda investimento inicial superior e procedimentos executivos específicos, não tendo sido identificada, para as condições desta obra, vantagem técnica ou econômica suficiente que justifique sua adoção em substituição ao pavimento asfáltico.</w:t>
      </w:r>
    </w:p>
    <w:p w14:paraId="76573688" w14:textId="77777777"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4.8 – Quanto ao mercado fornecedor, a pavimentação em CBUQ constitui solução consolidada no setor de infraestrutura viária, com existência de empresas especializadas, equipamentos, mão de obra e cadeia de fornecimento compatíveis com os serviços necessários à execução da obra, favorecendo a competitividade do procedimento licitatório.</w:t>
      </w:r>
    </w:p>
    <w:p w14:paraId="0AD3EE61" w14:textId="77777777" w:rsidR="00714ADF" w:rsidRPr="00044ACB" w:rsidRDefault="00714AD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4.9 – Dessa forma, considerando conjuntamente as condições da EGP 09, o desempenho requerido, a solução estrutural prevista, a disponibilidade de mercado e a relação entre custos e benefícios, fica adotada a pavimentação asfáltica em CBUQ como solução mais adequada para atendimento da necessidade identificada, devendo suas características, espessuras, materiais, controles tecnológicos e demais condições de execução observar os Projetos de Engenharia, Memorial Descritivo, planilha orçamentária e demais documentos técnicos da contratação.</w:t>
      </w:r>
    </w:p>
    <w:p w14:paraId="26F910B2" w14:textId="268ADB51"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4.10 –</w:t>
      </w:r>
      <w:r w:rsid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Definida a pavimentação asfáltica em CBUQ como solução técnica mais adequada, foram analisadas as principais formas disponíveis para viabilização de sua execução, considerando a capacidade operacional do Município, a disponibilidade de pessoal, máquinas e equipamentos, a necessidade de aquisição de insumos, a especialização exigida para determinadas etapas, os controles tecnológicos necessários, os riscos de execução e a possibilidade de utilização de instrumentos de contratação ou cooperação com outros entes públicos.</w:t>
      </w:r>
    </w:p>
    <w:p w14:paraId="3C2B792C" w14:textId="51A21E94" w:rsidR="005C7A46" w:rsidRPr="00044ACB" w:rsidRDefault="005C7A46"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4.10.</w:t>
      </w:r>
      <w:r w:rsidR="00044ACB">
        <w:rPr>
          <w:rFonts w:ascii="Times New Roman" w:eastAsia="Arial Unicode MS" w:hAnsi="Times New Roman" w:cs="Times New Roman"/>
          <w:color w:val="000000" w:themeColor="text1"/>
          <w:sz w:val="20"/>
        </w:rPr>
        <w:t>1</w:t>
      </w:r>
      <w:r w:rsidRPr="00044ACB">
        <w:rPr>
          <w:rFonts w:ascii="Times New Roman" w:eastAsia="Arial Unicode MS" w:hAnsi="Times New Roman" w:cs="Times New Roman"/>
          <w:color w:val="000000" w:themeColor="text1"/>
          <w:sz w:val="20"/>
        </w:rPr>
        <w:t xml:space="preserve"> – Foram identificadas, em tese, as seguintes alternativas:</w:t>
      </w:r>
    </w:p>
    <w:p w14:paraId="6FCD3197" w14:textId="77777777" w:rsidR="005C7A46" w:rsidRPr="00044ACB" w:rsidRDefault="005C7A46"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 execução integral mediante contratação de empresa especializada, por procedimento licitatório: consiste na contratação de empresa responsável pelo fornecimento de materiais, mão de obra, equipamentos, logística, controles tecnológicos e execução integrada dos serviços de terraplenagem, drenagem, estrutura do pavimento, revestimento em CBUQ, sinalização e demais serviços previstos no projeto;</w:t>
      </w:r>
    </w:p>
    <w:p w14:paraId="15294775" w14:textId="1BB40645"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b) execução direta pela Administração Municipal: compreende a realização da obra com utilização de servidores, máquinas e equipamentos municipais, mediante aquisição direta dos materiais e insumos necessários e eventual locação de equipamentos ou contratação de serviços especializados complementares;</w:t>
      </w:r>
    </w:p>
    <w:p w14:paraId="03F9E362" w14:textId="019A9479"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c) execução direta com contratação ou locação complementar de máquinas, equipamentos e serviços especializados: alternativa intermediária em que o Município executaria determinadas etapas com estrutura própria e contrataria separadamente equipamentos, transporte, produção ou fornecimento de materiais, controles tecnológicos ou outras atividades que não possam ser atendidas adequadamente pela estrutura municipal;</w:t>
      </w:r>
    </w:p>
    <w:p w14:paraId="7C820E51" w14:textId="562C6D86"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d) execução mista, com divisão das etapas entre Administração e terceiros: possibilidade de execução, pelo Município, de serviços para os quais disponha de capacidade operacional, como determinados serviços preliminares, movimentação de solo ou apoio operacional, contratando-se de empresa especializada as etapas de maior especialização, particularmente aquelas relacionadas à produção, transporte, aplicação e controle tecnológico da mistura asfáltica;</w:t>
      </w:r>
    </w:p>
    <w:p w14:paraId="63B58C38" w14:textId="220C37C9"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e) contratação compartilhada ou execução por intermédio de consórcio público: possibilidade de utilização de estrutura de consórcio público do qual o Município participe, quando seu contrato, estatuto e instrumentos de planejamento admitirem a realização de licitação compartilhada, contratação de serviços, disponibilização de máquinas ou outras soluções de interesse comum aos entes consorciados;</w:t>
      </w:r>
    </w:p>
    <w:p w14:paraId="6407F3A4" w14:textId="1F934CB9"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f) utilização de Ata de Registro de Preços ou instrumento de contratação compartilhada: possibilidade de utilização de registro de preços regularmente constituído, inclusive por consórcio público, quando juridicamente admissível, tecnicamente compatível com o projeto, vantajoso para a Administração e atendidos os requisitos da Lei Federal nº 14.133/2021, especialmente quanto à adequação do objeto, dos quantitativos, dos preços e das condições de execução;</w:t>
      </w:r>
    </w:p>
    <w:p w14:paraId="40AFA32F" w14:textId="3AFF20F0"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g) adesão a Ata de Registro de Preços gerenciada por outro órgão ou entidade: alternativa excepcionalmente possível quando presentes os requisitos legais para adesão, demonstrada a compatibilidade integral do objeto, a vantagem econômica e a adequação das condições da Ata às especificações do empreendimento, observadas ainda as limitações próprias do Sistema de Registro de Preços para obras e serviços de engenharia;</w:t>
      </w:r>
    </w:p>
    <w:p w14:paraId="75AB26C2" w14:textId="48EADDC4"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h) execução mediante cooperação </w:t>
      </w:r>
      <w:proofErr w:type="spellStart"/>
      <w:r w:rsidRPr="00044ACB">
        <w:rPr>
          <w:rFonts w:ascii="Times New Roman" w:eastAsia="Arial Unicode MS" w:hAnsi="Times New Roman" w:cs="Times New Roman"/>
          <w:color w:val="000000" w:themeColor="text1"/>
          <w:sz w:val="20"/>
        </w:rPr>
        <w:t>interadministrativa</w:t>
      </w:r>
      <w:proofErr w:type="spellEnd"/>
      <w:r w:rsidRPr="00044ACB">
        <w:rPr>
          <w:rFonts w:ascii="Times New Roman" w:eastAsia="Arial Unicode MS" w:hAnsi="Times New Roman" w:cs="Times New Roman"/>
          <w:color w:val="000000" w:themeColor="text1"/>
          <w:sz w:val="20"/>
        </w:rPr>
        <w:t>: possibilidade de utilização de instrumentos de cooperação com outros órgãos ou entidades públicas para cessão de máquinas, equipamentos, pessoal técnico ou apoio operacional, sem prejuízo da necessidade de contratação ou aquisição dos materiais, insumos e serviços que não possam ser disponibilizados por meio da cooperação; e</w:t>
      </w:r>
    </w:p>
    <w:p w14:paraId="4DA78645" w14:textId="455D7DD3"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i) contratação separada por etapas ou especialidades: possibilidade de realização de contratações distintas para terraplenagem, drenagem, pavimentação asfáltica, sinalização ou outros componentes da obra, mantendo-se sob responsabilidade da Administração a coordenação e compatibilização das diferentes frentes de execução.</w:t>
      </w:r>
    </w:p>
    <w:p w14:paraId="03F5DEAC" w14:textId="77777777"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4.11 – A execução direta pela Administração apresenta como potencial vantagem a utilização de estrutura municipal já disponível e a possibilidade de redução da contratação de mão de obra externa em determinadas etapas. Entretanto, para a execução integral de uma obra dessa natureza, exige disponibilidade simultânea de pessoal, máquinas, equipamentos especializados, transporte, materiais, insumos, estrutura de produção ou fornecimento da mistura asfáltica, controle tecnológico e capacidade de acompanhamento técnico durante todo o período de execução.</w:t>
      </w:r>
    </w:p>
    <w:p w14:paraId="727A41DF" w14:textId="77777777" w:rsidR="005C7A46" w:rsidRPr="00044ACB" w:rsidRDefault="005C7A46"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4.11.1 – A adoção desse modelo implicaria, ainda, a necessidade de diversas aquisições e contratações complementares, especialmente para fornecimento de agregados e materiais betuminosos, massa asfáltica, locação ou disponibilização de equipamentos específicos, transporte, ensaios e controles tecnológicos, além de demandar capacidade municipal para programação, coordenação e gerenciamento integrado dessas atividades.</w:t>
      </w:r>
    </w:p>
    <w:p w14:paraId="7F4734E6" w14:textId="77777777" w:rsidR="005C7A46" w:rsidRPr="00044ACB" w:rsidRDefault="005C7A46"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4.11.2 – A execução mista apresenta características semelhantes, podendo ser adequada para intervenções em que seja possível separar objetivamente etapas executáveis pela Administração. Para a obra em análise, contudo, a divisão excessiva das responsabilidades pode aumentar as interfaces entre executores, dificultar a coordenação do cronograma, a identificação de responsabilidades por eventuais defeitos e a compatibilização entre terraplenagem, drenagem, camadas estruturais e revestimento asfáltico.</w:t>
      </w:r>
    </w:p>
    <w:p w14:paraId="509DB2FB" w14:textId="4BDB1CCD"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4.12 – A utilização de consórcio público, contratação compartilhada ou Ata de Registro de Preços constitui alternativa possível quando existente instrumento regularmente constituído e compatível com a necessidade municipal. Sua utilização, entretanto, depende da efetiva disponibilidade de solução que corresponda ao projeto específico da EGP 09, aos quantitativos, às especificações técnicas, às condições de medição e fiscalização e à estrutura financeira definida para o empreendimento.</w:t>
      </w:r>
    </w:p>
    <w:p w14:paraId="2AF8B738" w14:textId="0421A87F" w:rsidR="00714ADF" w:rsidRPr="00044ACB" w:rsidRDefault="005C7A46"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4.12.1 – Especialmente em razão da utilização de recursos vinculados ao Convênio Transferegov.br nº 999672/2026, eventual solução por consórcio, contratação compartilhada ou adesão deverá ser previamente verificada quanto à sua compatibilidade com o Plano de Trabalho, as condições do instrumento de transferência e as regras aplicáveis à contratação e à prestação de contas.</w:t>
      </w:r>
    </w:p>
    <w:p w14:paraId="6135FA12" w14:textId="4160130E" w:rsidR="00224933" w:rsidRPr="00044ACB" w:rsidRDefault="00224933" w:rsidP="00044ACB">
      <w:pPr>
        <w:spacing w:after="0" w:line="276" w:lineRule="auto"/>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4.13 – QUADRO COMPARATIVO DAS FORMAS DE EXECUÇÃO:</w:t>
      </w:r>
    </w:p>
    <w:tbl>
      <w:tblPr>
        <w:tblStyle w:val="Tabelacomgrade"/>
        <w:tblW w:w="0" w:type="auto"/>
        <w:tblInd w:w="-147" w:type="dxa"/>
        <w:tblLook w:val="04A0" w:firstRow="1" w:lastRow="0" w:firstColumn="1" w:lastColumn="0" w:noHBand="0" w:noVBand="1"/>
      </w:tblPr>
      <w:tblGrid>
        <w:gridCol w:w="2116"/>
        <w:gridCol w:w="3616"/>
        <w:gridCol w:w="3336"/>
      </w:tblGrid>
      <w:tr w:rsidR="005C7A46" w:rsidRPr="00044ACB" w14:paraId="194C00D0" w14:textId="77777777" w:rsidTr="00A74098">
        <w:tc>
          <w:tcPr>
            <w:tcW w:w="2127" w:type="dxa"/>
            <w:vAlign w:val="center"/>
            <w:hideMark/>
          </w:tcPr>
          <w:p w14:paraId="76CCA8B6" w14:textId="77777777" w:rsidR="005C7A46" w:rsidRPr="00A74098" w:rsidRDefault="005C7A46" w:rsidP="00044ACB">
            <w:pPr>
              <w:spacing w:line="276" w:lineRule="auto"/>
              <w:rPr>
                <w:rFonts w:ascii="Times New Roman" w:eastAsia="Times New Roman" w:hAnsi="Times New Roman" w:cs="Times New Roman"/>
                <w:b/>
                <w:bCs/>
                <w:sz w:val="18"/>
                <w:szCs w:val="18"/>
                <w:lang w:eastAsia="pt-BR"/>
              </w:rPr>
            </w:pPr>
            <w:r w:rsidRPr="00A74098">
              <w:rPr>
                <w:rFonts w:ascii="Times New Roman" w:eastAsia="Times New Roman" w:hAnsi="Times New Roman" w:cs="Times New Roman"/>
                <w:b/>
                <w:bCs/>
                <w:sz w:val="18"/>
                <w:szCs w:val="18"/>
                <w:lang w:eastAsia="pt-BR"/>
              </w:rPr>
              <w:t>Alternativa</w:t>
            </w:r>
          </w:p>
        </w:tc>
        <w:tc>
          <w:tcPr>
            <w:tcW w:w="3685" w:type="dxa"/>
            <w:vAlign w:val="center"/>
            <w:hideMark/>
          </w:tcPr>
          <w:p w14:paraId="247140D6" w14:textId="77777777" w:rsidR="005C7A46" w:rsidRPr="00A74098" w:rsidRDefault="005C7A46" w:rsidP="00044ACB">
            <w:pPr>
              <w:spacing w:line="276" w:lineRule="auto"/>
              <w:rPr>
                <w:rFonts w:ascii="Times New Roman" w:eastAsia="Times New Roman" w:hAnsi="Times New Roman" w:cs="Times New Roman"/>
                <w:b/>
                <w:bCs/>
                <w:sz w:val="18"/>
                <w:szCs w:val="18"/>
                <w:lang w:eastAsia="pt-BR"/>
              </w:rPr>
            </w:pPr>
            <w:r w:rsidRPr="00A74098">
              <w:rPr>
                <w:rFonts w:ascii="Times New Roman" w:eastAsia="Times New Roman" w:hAnsi="Times New Roman" w:cs="Times New Roman"/>
                <w:b/>
                <w:bCs/>
                <w:sz w:val="18"/>
                <w:szCs w:val="18"/>
                <w:lang w:eastAsia="pt-BR"/>
              </w:rPr>
              <w:t>Potenciais vantagens</w:t>
            </w:r>
          </w:p>
        </w:tc>
        <w:tc>
          <w:tcPr>
            <w:tcW w:w="3396" w:type="dxa"/>
            <w:vAlign w:val="center"/>
            <w:hideMark/>
          </w:tcPr>
          <w:p w14:paraId="27D108D1" w14:textId="77777777" w:rsidR="005C7A46" w:rsidRPr="00A74098" w:rsidRDefault="005C7A46" w:rsidP="00044ACB">
            <w:pPr>
              <w:spacing w:line="276" w:lineRule="auto"/>
              <w:rPr>
                <w:rFonts w:ascii="Times New Roman" w:eastAsia="Times New Roman" w:hAnsi="Times New Roman" w:cs="Times New Roman"/>
                <w:b/>
                <w:bCs/>
                <w:sz w:val="18"/>
                <w:szCs w:val="18"/>
                <w:lang w:eastAsia="pt-BR"/>
              </w:rPr>
            </w:pPr>
            <w:r w:rsidRPr="00A74098">
              <w:rPr>
                <w:rFonts w:ascii="Times New Roman" w:eastAsia="Times New Roman" w:hAnsi="Times New Roman" w:cs="Times New Roman"/>
                <w:b/>
                <w:bCs/>
                <w:sz w:val="18"/>
                <w:szCs w:val="18"/>
                <w:lang w:eastAsia="pt-BR"/>
              </w:rPr>
              <w:t>Principais limitações</w:t>
            </w:r>
          </w:p>
        </w:tc>
      </w:tr>
      <w:tr w:rsidR="005C7A46" w:rsidRPr="00044ACB" w14:paraId="10EF7570" w14:textId="77777777" w:rsidTr="00A74098">
        <w:tc>
          <w:tcPr>
            <w:tcW w:w="2127" w:type="dxa"/>
            <w:vAlign w:val="center"/>
            <w:hideMark/>
          </w:tcPr>
          <w:p w14:paraId="13C7D899"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Contratação integral de empresa especializada</w:t>
            </w:r>
          </w:p>
        </w:tc>
        <w:tc>
          <w:tcPr>
            <w:tcW w:w="3685" w:type="dxa"/>
            <w:vAlign w:val="center"/>
            <w:hideMark/>
          </w:tcPr>
          <w:p w14:paraId="74CD1F6C"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Responsabilidade concentrada; estrutura especializada; integração das etapas; maior facilidade de fiscalização e responsabilização</w:t>
            </w:r>
          </w:p>
        </w:tc>
        <w:tc>
          <w:tcPr>
            <w:tcW w:w="3396" w:type="dxa"/>
            <w:vAlign w:val="center"/>
            <w:hideMark/>
          </w:tcPr>
          <w:p w14:paraId="7C3B7B20"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Dependência de procedimento licitatório e mobilização da contratada</w:t>
            </w:r>
          </w:p>
        </w:tc>
      </w:tr>
      <w:tr w:rsidR="005C7A46" w:rsidRPr="00044ACB" w14:paraId="18D29F6A" w14:textId="77777777" w:rsidTr="00A74098">
        <w:tc>
          <w:tcPr>
            <w:tcW w:w="2127" w:type="dxa"/>
            <w:vAlign w:val="center"/>
            <w:hideMark/>
          </w:tcPr>
          <w:p w14:paraId="4D78F213"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Execução direta pelo Município</w:t>
            </w:r>
          </w:p>
        </w:tc>
        <w:tc>
          <w:tcPr>
            <w:tcW w:w="3685" w:type="dxa"/>
            <w:vAlign w:val="center"/>
            <w:hideMark/>
          </w:tcPr>
          <w:p w14:paraId="33EB9912"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Aproveitamento da estrutura própria; maior controle direto das atividades</w:t>
            </w:r>
          </w:p>
        </w:tc>
        <w:tc>
          <w:tcPr>
            <w:tcW w:w="3396" w:type="dxa"/>
            <w:vAlign w:val="center"/>
            <w:hideMark/>
          </w:tcPr>
          <w:p w14:paraId="705C1D08"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Necessidade de pessoal, máquinas, equipamentos, insumos, logística e controles tecnológicos especializados</w:t>
            </w:r>
          </w:p>
        </w:tc>
      </w:tr>
      <w:tr w:rsidR="005C7A46" w:rsidRPr="00044ACB" w14:paraId="74ECEF3B" w14:textId="77777777" w:rsidTr="00A74098">
        <w:tc>
          <w:tcPr>
            <w:tcW w:w="2127" w:type="dxa"/>
            <w:vAlign w:val="center"/>
            <w:hideMark/>
          </w:tcPr>
          <w:p w14:paraId="633A6160"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Execução direta com locações/contratações complementares</w:t>
            </w:r>
          </w:p>
        </w:tc>
        <w:tc>
          <w:tcPr>
            <w:tcW w:w="3685" w:type="dxa"/>
            <w:vAlign w:val="center"/>
            <w:hideMark/>
          </w:tcPr>
          <w:p w14:paraId="51B67EBC"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Aproveitamento parcial da capacidade municipal</w:t>
            </w:r>
          </w:p>
        </w:tc>
        <w:tc>
          <w:tcPr>
            <w:tcW w:w="3396" w:type="dxa"/>
            <w:vAlign w:val="center"/>
            <w:hideMark/>
          </w:tcPr>
          <w:p w14:paraId="6128CA7C"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Multiplicidade de aquisições e contratos; maior esforço de coordenação</w:t>
            </w:r>
          </w:p>
        </w:tc>
      </w:tr>
      <w:tr w:rsidR="005C7A46" w:rsidRPr="00044ACB" w14:paraId="1E514F5C" w14:textId="77777777" w:rsidTr="00A74098">
        <w:tc>
          <w:tcPr>
            <w:tcW w:w="2127" w:type="dxa"/>
            <w:vAlign w:val="center"/>
            <w:hideMark/>
          </w:tcPr>
          <w:p w14:paraId="40A291C3"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Execução mista</w:t>
            </w:r>
          </w:p>
        </w:tc>
        <w:tc>
          <w:tcPr>
            <w:tcW w:w="3685" w:type="dxa"/>
            <w:vAlign w:val="center"/>
            <w:hideMark/>
          </w:tcPr>
          <w:p w14:paraId="37BEABE6"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Possibilidade de executar internamente etapas compatíveis com a capacidade municipal</w:t>
            </w:r>
          </w:p>
        </w:tc>
        <w:tc>
          <w:tcPr>
            <w:tcW w:w="3396" w:type="dxa"/>
            <w:vAlign w:val="center"/>
            <w:hideMark/>
          </w:tcPr>
          <w:p w14:paraId="28D56A07"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Interfaces entre executores; maior dificuldade de atribuição de responsabilidades</w:t>
            </w:r>
          </w:p>
        </w:tc>
      </w:tr>
      <w:tr w:rsidR="005C7A46" w:rsidRPr="00044ACB" w14:paraId="6930F775" w14:textId="77777777" w:rsidTr="00A74098">
        <w:tc>
          <w:tcPr>
            <w:tcW w:w="2127" w:type="dxa"/>
            <w:vAlign w:val="center"/>
            <w:hideMark/>
          </w:tcPr>
          <w:p w14:paraId="305E3478"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Consórcio público/contratação compartilhada</w:t>
            </w:r>
          </w:p>
        </w:tc>
        <w:tc>
          <w:tcPr>
            <w:tcW w:w="3685" w:type="dxa"/>
            <w:vAlign w:val="center"/>
            <w:hideMark/>
          </w:tcPr>
          <w:p w14:paraId="290FB457"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Ganho de escala e utilização de estrutura regional</w:t>
            </w:r>
          </w:p>
        </w:tc>
        <w:tc>
          <w:tcPr>
            <w:tcW w:w="3396" w:type="dxa"/>
            <w:vAlign w:val="center"/>
            <w:hideMark/>
          </w:tcPr>
          <w:p w14:paraId="5A8631CA"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Dependência de instrumento disponível e tecnicamente compatível com o projeto</w:t>
            </w:r>
          </w:p>
        </w:tc>
      </w:tr>
      <w:tr w:rsidR="005C7A46" w:rsidRPr="00044ACB" w14:paraId="0E2E4996" w14:textId="77777777" w:rsidTr="00A74098">
        <w:tc>
          <w:tcPr>
            <w:tcW w:w="2127" w:type="dxa"/>
            <w:vAlign w:val="center"/>
            <w:hideMark/>
          </w:tcPr>
          <w:p w14:paraId="169244FC"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Adesão ou utilização de Ata de Registro de Preços</w:t>
            </w:r>
          </w:p>
        </w:tc>
        <w:tc>
          <w:tcPr>
            <w:tcW w:w="3685" w:type="dxa"/>
            <w:vAlign w:val="center"/>
            <w:hideMark/>
          </w:tcPr>
          <w:p w14:paraId="046D263B"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Potencial redução do tempo administrativo quando legalmente cabível</w:t>
            </w:r>
          </w:p>
        </w:tc>
        <w:tc>
          <w:tcPr>
            <w:tcW w:w="3396" w:type="dxa"/>
            <w:vAlign w:val="center"/>
            <w:hideMark/>
          </w:tcPr>
          <w:p w14:paraId="6A605F20"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Compatibilidade restrita; requisitos específicos do SRP; necessidade de comprovação da vantagem</w:t>
            </w:r>
          </w:p>
        </w:tc>
      </w:tr>
      <w:tr w:rsidR="005C7A46" w:rsidRPr="00044ACB" w14:paraId="2A5F1219" w14:textId="77777777" w:rsidTr="00A74098">
        <w:tc>
          <w:tcPr>
            <w:tcW w:w="2127" w:type="dxa"/>
            <w:vAlign w:val="center"/>
            <w:hideMark/>
          </w:tcPr>
          <w:p w14:paraId="20C9B5BE"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 xml:space="preserve">Cooperação </w:t>
            </w:r>
            <w:proofErr w:type="spellStart"/>
            <w:r w:rsidRPr="00A74098">
              <w:rPr>
                <w:rFonts w:ascii="Times New Roman" w:eastAsia="Times New Roman" w:hAnsi="Times New Roman" w:cs="Times New Roman"/>
                <w:sz w:val="18"/>
                <w:szCs w:val="18"/>
                <w:lang w:eastAsia="pt-BR"/>
              </w:rPr>
              <w:t>interadministrativa</w:t>
            </w:r>
            <w:proofErr w:type="spellEnd"/>
          </w:p>
        </w:tc>
        <w:tc>
          <w:tcPr>
            <w:tcW w:w="3685" w:type="dxa"/>
            <w:vAlign w:val="center"/>
            <w:hideMark/>
          </w:tcPr>
          <w:p w14:paraId="754E00FA"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Possibilidade de compartilhamento de máquinas, equipamentos ou apoio técnico</w:t>
            </w:r>
          </w:p>
        </w:tc>
        <w:tc>
          <w:tcPr>
            <w:tcW w:w="3396" w:type="dxa"/>
            <w:vAlign w:val="center"/>
            <w:hideMark/>
          </w:tcPr>
          <w:p w14:paraId="4C88778C"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Geralmente insuficiente para assegurar, isoladamente, a execução integral da obra</w:t>
            </w:r>
          </w:p>
        </w:tc>
      </w:tr>
      <w:tr w:rsidR="005C7A46" w:rsidRPr="00044ACB" w14:paraId="633C10A4" w14:textId="77777777" w:rsidTr="00A74098">
        <w:tc>
          <w:tcPr>
            <w:tcW w:w="2127" w:type="dxa"/>
            <w:vAlign w:val="center"/>
            <w:hideMark/>
          </w:tcPr>
          <w:p w14:paraId="1C461390"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Contratações separadas por etapas</w:t>
            </w:r>
          </w:p>
        </w:tc>
        <w:tc>
          <w:tcPr>
            <w:tcW w:w="3685" w:type="dxa"/>
            <w:vAlign w:val="center"/>
            <w:hideMark/>
          </w:tcPr>
          <w:p w14:paraId="476943EB"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Especialização individual das contratações</w:t>
            </w:r>
          </w:p>
        </w:tc>
        <w:tc>
          <w:tcPr>
            <w:tcW w:w="3396" w:type="dxa"/>
            <w:vAlign w:val="center"/>
            <w:hideMark/>
          </w:tcPr>
          <w:p w14:paraId="2C5F6896" w14:textId="77777777" w:rsidR="005C7A46" w:rsidRPr="00A74098" w:rsidRDefault="005C7A46" w:rsidP="00044ACB">
            <w:pPr>
              <w:spacing w:line="276" w:lineRule="auto"/>
              <w:rPr>
                <w:rFonts w:ascii="Times New Roman" w:eastAsia="Times New Roman" w:hAnsi="Times New Roman" w:cs="Times New Roman"/>
                <w:sz w:val="18"/>
                <w:szCs w:val="18"/>
                <w:lang w:eastAsia="pt-BR"/>
              </w:rPr>
            </w:pPr>
            <w:r w:rsidRPr="00A74098">
              <w:rPr>
                <w:rFonts w:ascii="Times New Roman" w:eastAsia="Times New Roman" w:hAnsi="Times New Roman" w:cs="Times New Roman"/>
                <w:sz w:val="18"/>
                <w:szCs w:val="18"/>
                <w:lang w:eastAsia="pt-BR"/>
              </w:rPr>
              <w:t>Maior complexidade de gestão, interfaces, cronograma e responsabilização</w:t>
            </w:r>
          </w:p>
        </w:tc>
      </w:tr>
    </w:tbl>
    <w:p w14:paraId="28567459" w14:textId="77777777"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p>
    <w:p w14:paraId="69C793E8" w14:textId="77777777"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4.14 – Após a avaliação das alternativas disponíveis, verifica-se que a contratação de empresa especializada para execução integral da obra, mediante procedimento licitatório, apresenta maior adequação às características do empreendimento, considerando a necessidade de integração entre as diversas etapas, a utilização de equipamentos e estruturas especializadas, o fornecimento dos materiais e insumos, a execução dos controles tecnológicos e a concentração das responsabilidades técnicas e contratuais em um único executor.</w:t>
      </w:r>
    </w:p>
    <w:p w14:paraId="20C31426" w14:textId="78B05342"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4.14.1 – A alternativa também reduz a necessidade de múltiplas aquisições, locações e contratações complementares pela Administração e permite estabelecer, de forma integrada, responsabilidades quanto à qualidade dos materiais, método executivo, controles tecnológicos, cumprimento do cronograma, correção de eventuais defeitos e garantia da obra.</w:t>
      </w:r>
    </w:p>
    <w:p w14:paraId="187BA357" w14:textId="3259D376" w:rsidR="005C7A46" w:rsidRPr="00044ACB" w:rsidRDefault="005C7A46"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4.14.2 – As demais alternativas permanecem tecnicamente possíveis em contextos específicos, porém não apresentam, para o empreendimento ora analisado, vantagem suficiente que justifique sua adoção em substituição à contratação integral da execução, especialmente diante da necessidade de compatibilização com o Projeto de Engenharia, o Cronograma Físico-Financeiro, as condições do Convênio e os mecanismos de controle e fiscalização previstos para a obra.</w:t>
      </w:r>
    </w:p>
    <w:p w14:paraId="74D70B2E" w14:textId="77777777" w:rsidR="00FC6A11" w:rsidRPr="00044ACB" w:rsidRDefault="00FC6A11" w:rsidP="00044ACB">
      <w:pPr>
        <w:spacing w:after="0" w:line="276" w:lineRule="auto"/>
        <w:jc w:val="both"/>
        <w:rPr>
          <w:rFonts w:ascii="Times New Roman" w:eastAsia="Arial Unicode MS" w:hAnsi="Times New Roman" w:cs="Times New Roman"/>
          <w:color w:val="000000" w:themeColor="text1"/>
          <w:sz w:val="20"/>
        </w:rPr>
      </w:pPr>
    </w:p>
    <w:p w14:paraId="54122700" w14:textId="77777777" w:rsidR="006E786C" w:rsidRPr="00044ACB" w:rsidRDefault="00F640AA"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5</w:t>
      </w:r>
      <w:r w:rsidR="006E786C" w:rsidRPr="00044ACB">
        <w:rPr>
          <w:rFonts w:ascii="Times New Roman" w:eastAsia="Arial Unicode MS" w:hAnsi="Times New Roman" w:cs="Times New Roman"/>
          <w:b/>
          <w:color w:val="000000" w:themeColor="text1"/>
          <w:sz w:val="20"/>
        </w:rPr>
        <w:t xml:space="preserve"> – DESCRIÇÃO DA SOLUÇÃO COMO UM TODO:</w:t>
      </w:r>
    </w:p>
    <w:p w14:paraId="097804DC" w14:textId="692A7EA0"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5.1 – A solução adotada consiste na contratação de empresa especializada para execução da obra de pavimentação asfáltica </w:t>
      </w:r>
      <w:r w:rsidR="00451BD6" w:rsidRPr="00044ACB">
        <w:rPr>
          <w:rFonts w:ascii="Times New Roman" w:eastAsia="Arial Unicode MS" w:hAnsi="Times New Roman" w:cs="Times New Roman"/>
          <w:color w:val="000000" w:themeColor="text1"/>
          <w:sz w:val="20"/>
        </w:rPr>
        <w:t>de trecho da</w:t>
      </w:r>
      <w:r w:rsidRPr="00044ACB">
        <w:rPr>
          <w:rFonts w:ascii="Times New Roman" w:eastAsia="Arial Unicode MS" w:hAnsi="Times New Roman" w:cs="Times New Roman"/>
          <w:color w:val="000000" w:themeColor="text1"/>
          <w:sz w:val="20"/>
        </w:rPr>
        <w:t xml:space="preserve"> EGP 09, mediante implantação de pavimento em Concreto Betuminoso Usinado a Quente, compreendendo, de forma integrada, os serviços de terraplenagem, regularização e compactação do subleito, </w:t>
      </w:r>
      <w:proofErr w:type="spellStart"/>
      <w:r w:rsidRPr="00044ACB">
        <w:rPr>
          <w:rFonts w:ascii="Times New Roman" w:eastAsia="Arial Unicode MS" w:hAnsi="Times New Roman" w:cs="Times New Roman"/>
          <w:color w:val="000000" w:themeColor="text1"/>
          <w:sz w:val="20"/>
        </w:rPr>
        <w:t>microdrenagem</w:t>
      </w:r>
      <w:proofErr w:type="spellEnd"/>
      <w:r w:rsidRPr="00044ACB">
        <w:rPr>
          <w:rFonts w:ascii="Times New Roman" w:eastAsia="Arial Unicode MS" w:hAnsi="Times New Roman" w:cs="Times New Roman"/>
          <w:color w:val="000000" w:themeColor="text1"/>
          <w:sz w:val="20"/>
        </w:rPr>
        <w:t xml:space="preserve"> pluvial, execução das camadas estruturais do pavimento, imprimação, pintura de ligação, revestimento asfáltico, sinalização viária horizontal e vertical e demais serviços complementares previstos nos projetos, Memorial Descritivo e demais documentos técnicos da contratação.</w:t>
      </w:r>
    </w:p>
    <w:p w14:paraId="4AED9F13" w14:textId="64E52C44"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5.2 – A execução terá início após a emissão da Ordem de Serviço, mediante prévia mobilização da estrutura operacional necessária, incluindo equipe técnica, máquinas, equipamentos, instalações provisórias e logística de materiais, observados o cronograma físico-financeiro e as orientações da fiscalização. </w:t>
      </w:r>
    </w:p>
    <w:p w14:paraId="2B48C8A6" w14:textId="66602B1C"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5.3 – Os serviços deverão ser executados de forma tecnicamente sequencial, respeitando a interdependência entre terraplenagem, subleito, drenagem, sub-base, base e revestimento asfáltico, vedada a execução da etapa subsequente antes da conclusão e aceitação das condições técnicas necessárias da etapa antecedente. </w:t>
      </w:r>
    </w:p>
    <w:p w14:paraId="22465D6D" w14:textId="77777777"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5.4 – A execução da estrutura do pavimento e do revestimento asfáltico ficará condicionada aos controles tecnológicos e ensaios estabelecidos no Memorial Descritivo e nas normas técnicas aplicáveis. Deverão ser realizadas as verificações necessárias quanto à compactação e umidade das camadas granulares, características dos materiais e qualidade da mistura asfáltica, mantendo-se os respectivos registros à disposição da fiscalização.</w:t>
      </w:r>
    </w:p>
    <w:p w14:paraId="04D3DDD1" w14:textId="77777777"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5.5 – A fiscalização municipal acompanhará a execução das diferentes etapas, verificando sua conformidade com os projetos, Memorial Descritivo, planilha orçamentária e demais especificações, podendo determinar correções, rejeitar materiais ou serviços em desconformidade e impedir o prosseguimento de etapas cuja execução dependa da prévia aceitação dos serviços anteriores.</w:t>
      </w:r>
    </w:p>
    <w:p w14:paraId="20EB34AC" w14:textId="77777777" w:rsidR="00B35350"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5.5.1 – Durante a execução, a Contratada deverá observar as condições locais, técnicas e operacionais da obra e comunicar tempestivamente à fiscalização qualquer situação superveniente capaz de interferir na execução. </w:t>
      </w:r>
    </w:p>
    <w:p w14:paraId="4EF1518D" w14:textId="36D1ED3D" w:rsidR="008830A4" w:rsidRPr="00044ACB" w:rsidRDefault="00B35350"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5.5.2 – </w:t>
      </w:r>
      <w:r w:rsidR="008830A4" w:rsidRPr="00044ACB">
        <w:rPr>
          <w:rFonts w:ascii="Times New Roman" w:eastAsia="Arial Unicode MS" w:hAnsi="Times New Roman" w:cs="Times New Roman"/>
          <w:color w:val="000000" w:themeColor="text1"/>
          <w:sz w:val="20"/>
        </w:rPr>
        <w:t>Não serão admitidos pleitos baseados exclusivamente em circunstâncias ordinárias, previsíveis ou inerentes ao objeto que pudessem ser identificadas mediante análise dos documentos técnicos e das condições conhecidas da contratação, sem prejuízo da análise de fatos efetivamente imprevisíveis ou de consequências incalculáveis nos termos da legislação.</w:t>
      </w:r>
    </w:p>
    <w:p w14:paraId="1AD25D28" w14:textId="0A0DFD73"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5.6 – Será exigida garantia destinada a assegurar o fiel cumprimento das obrigações assumidas pela Contratada, nos termos dos </w:t>
      </w:r>
      <w:proofErr w:type="spellStart"/>
      <w:r w:rsidRPr="00044ACB">
        <w:rPr>
          <w:rFonts w:ascii="Times New Roman" w:eastAsia="Arial Unicode MS" w:hAnsi="Times New Roman" w:cs="Times New Roman"/>
          <w:color w:val="000000" w:themeColor="text1"/>
          <w:sz w:val="20"/>
        </w:rPr>
        <w:t>arts</w:t>
      </w:r>
      <w:proofErr w:type="spellEnd"/>
      <w:r w:rsidRPr="00044ACB">
        <w:rPr>
          <w:rFonts w:ascii="Times New Roman" w:eastAsia="Arial Unicode MS" w:hAnsi="Times New Roman" w:cs="Times New Roman"/>
          <w:color w:val="000000" w:themeColor="text1"/>
          <w:sz w:val="20"/>
        </w:rPr>
        <w:t>. 96 a 100 da Lei Federal nº 14.133/2021.</w:t>
      </w:r>
    </w:p>
    <w:p w14:paraId="134C9456" w14:textId="55C0D0AF"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5.6.1 – A garantia contratual corresponderá a 5% (cinco por cento) do valor inicial do contrato, percentual considerado compatível com a natureza e os riscos ordinários da obra, sem prejuízo de eventual revisão dessa definição caso a análise de riscos da contratação demonstre circunstâncias que justifiquem tratamento diverso dentro dos limites legais.</w:t>
      </w:r>
    </w:p>
    <w:p w14:paraId="7BE361AF" w14:textId="6112B458"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5.6.2 – Caberá à Contratada optar por uma das modalidades admitidas pelo art. 96, § 1º, da Lei nº 14.133/2021: caução em dinheiro ou títulos da dívida pública; seguro-garantia; fiança bancária; ou título de capitalização custeado por pagamento único, com resgate pelo valor total. Na hipótese de opção pelo seguro-garantia, deverão ser observados o prazo e as condições específicos previstos na legislação. </w:t>
      </w:r>
    </w:p>
    <w:p w14:paraId="5D276A7D" w14:textId="259D8DF4"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5.6.3 – A garantia deverá permanecer válida durante o período necessário ao fiel cumprimento das obrigações contratuais e será liberada ou restituída após a execução do contrato, observadas as hipóteses previstas na Lei nº 14.133/2021. A garantia de execução não substitui nem limita as responsabilidades legais da Contratada por vícios, defeitos, incorreções ou danos relacionados à obra. </w:t>
      </w:r>
    </w:p>
    <w:p w14:paraId="4C2D1740" w14:textId="285B9864"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5.6.4 – Caso a proposta vencedora se enquadre na hipótese prevista no art. 59, § 5º, da Lei nº 14.133/2021, será exigida, adicionalmente, a garantia correspondente à diferença entre o valor orçado pela Administração e o valor da proposta, quando esta for inferior a 85% (oitenta e cinco por cento) do orçamento estimado, sem prejuízo da garantia contratual prevista neste capítulo. </w:t>
      </w:r>
    </w:p>
    <w:p w14:paraId="5B82F9CE" w14:textId="5CC2C66A" w:rsidR="00B35350" w:rsidRPr="00044ACB" w:rsidRDefault="00B35350"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5.7 – Concluídos os serviços, o objeto será recebido provisoriamente em até 10 (dez) </w:t>
      </w:r>
      <w:r w:rsidR="00224933" w:rsidRPr="00044ACB">
        <w:rPr>
          <w:rFonts w:ascii="Times New Roman" w:eastAsia="Arial Unicode MS" w:hAnsi="Times New Roman" w:cs="Times New Roman"/>
          <w:color w:val="000000" w:themeColor="text1"/>
          <w:sz w:val="20"/>
        </w:rPr>
        <w:t>dias úteis</w:t>
      </w:r>
      <w:r w:rsidRPr="00044ACB">
        <w:rPr>
          <w:rFonts w:ascii="Times New Roman" w:eastAsia="Arial Unicode MS" w:hAnsi="Times New Roman" w:cs="Times New Roman"/>
          <w:color w:val="000000" w:themeColor="text1"/>
          <w:sz w:val="20"/>
        </w:rPr>
        <w:t>, pelo responsável por seu acompanhamento e fiscalização, mediante termo detalhado, após verificação do atendimento das exigências técnicas, inclusive quanto à execução das etapas previstas, resultados dos controles tecnológicos, condições do pavimento, funcionamento da drenagem, sinalização e conclusão dos serviços complementares.</w:t>
      </w:r>
    </w:p>
    <w:p w14:paraId="4AB644D4" w14:textId="4D6F89DE" w:rsidR="00B35350" w:rsidRPr="00044ACB" w:rsidRDefault="00B35350"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5.8 – O recebimento definitivo será realizado por servidor ou comissão designada pela autoridade competente, mediante termo detalhado que comprove o atendimento das exigências contratuais, no prazo de até 90 (noventa) dias </w:t>
      </w:r>
      <w:r w:rsidR="00224933" w:rsidRPr="00044ACB">
        <w:rPr>
          <w:rFonts w:ascii="Times New Roman" w:eastAsia="Arial Unicode MS" w:hAnsi="Times New Roman" w:cs="Times New Roman"/>
          <w:color w:val="000000" w:themeColor="text1"/>
          <w:sz w:val="20"/>
        </w:rPr>
        <w:t xml:space="preserve">corridos </w:t>
      </w:r>
      <w:r w:rsidRPr="00044ACB">
        <w:rPr>
          <w:rFonts w:ascii="Times New Roman" w:eastAsia="Arial Unicode MS" w:hAnsi="Times New Roman" w:cs="Times New Roman"/>
          <w:color w:val="000000" w:themeColor="text1"/>
          <w:sz w:val="20"/>
        </w:rPr>
        <w:t>após o recebimento provisório, período destinado à verificação final da conformidade da obra e à correção de eventuais pendências identificadas.</w:t>
      </w:r>
    </w:p>
    <w:p w14:paraId="78E1C3EB" w14:textId="273D38FC"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5.</w:t>
      </w:r>
      <w:r w:rsidR="00B35350" w:rsidRPr="00044ACB">
        <w:rPr>
          <w:rFonts w:ascii="Times New Roman" w:eastAsia="Arial Unicode MS" w:hAnsi="Times New Roman" w:cs="Times New Roman"/>
          <w:color w:val="000000" w:themeColor="text1"/>
          <w:sz w:val="20"/>
        </w:rPr>
        <w:t>9</w:t>
      </w:r>
      <w:r w:rsidRPr="00044ACB">
        <w:rPr>
          <w:rFonts w:ascii="Times New Roman" w:eastAsia="Arial Unicode MS" w:hAnsi="Times New Roman" w:cs="Times New Roman"/>
          <w:color w:val="000000" w:themeColor="text1"/>
          <w:sz w:val="20"/>
        </w:rPr>
        <w:t xml:space="preserve"> – O recebimento provisório ou definitivo não excluirá a responsabilidade civil, técnico-profissional ou contratual da Contratada pela qualidade e correta execução da obra.</w:t>
      </w:r>
    </w:p>
    <w:p w14:paraId="51F224FA" w14:textId="4B08F5EB"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5.</w:t>
      </w:r>
      <w:r w:rsidR="00B35350" w:rsidRPr="00044ACB">
        <w:rPr>
          <w:rFonts w:ascii="Times New Roman" w:eastAsia="Arial Unicode MS" w:hAnsi="Times New Roman" w:cs="Times New Roman"/>
          <w:color w:val="000000" w:themeColor="text1"/>
          <w:sz w:val="20"/>
        </w:rPr>
        <w:t>9</w:t>
      </w:r>
      <w:r w:rsidRPr="00044ACB">
        <w:rPr>
          <w:rFonts w:ascii="Times New Roman" w:eastAsia="Arial Unicode MS" w:hAnsi="Times New Roman" w:cs="Times New Roman"/>
          <w:color w:val="000000" w:themeColor="text1"/>
          <w:sz w:val="20"/>
        </w:rPr>
        <w:t>.1 – Nos termos do art. 140, § 6º, da Lei Federal nº 14.133/2021 e do art. 618 do Código Civil, a Contratada responderá pelo prazo mínimo e irredutível de 5 (cinco) anos pela solidez e segurança dos materiais e serviços executados, inclusive quanto às condições do solo, bem como pela funcionalidade da obra, permanecendo obrigada, durante esse período, a reparar, corrigir, reconstruir ou substituir, às suas expensas e sem ônus para a Administração, quaisquer vícios, defeitos ou incorreções decorrentes da execução contratual.</w:t>
      </w:r>
    </w:p>
    <w:p w14:paraId="54C61ABA" w14:textId="01B55887"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234F5A" w:rsidRPr="00044ACB">
        <w:rPr>
          <w:rFonts w:ascii="Times New Roman" w:eastAsia="Arial Unicode MS" w:hAnsi="Times New Roman" w:cs="Times New Roman"/>
          <w:color w:val="000000" w:themeColor="text1"/>
          <w:sz w:val="20"/>
        </w:rPr>
        <w:t>5.</w:t>
      </w:r>
      <w:r w:rsidR="00B35350" w:rsidRPr="00044ACB">
        <w:rPr>
          <w:rFonts w:ascii="Times New Roman" w:eastAsia="Arial Unicode MS" w:hAnsi="Times New Roman" w:cs="Times New Roman"/>
          <w:color w:val="000000" w:themeColor="text1"/>
          <w:sz w:val="20"/>
        </w:rPr>
        <w:t>9</w:t>
      </w:r>
      <w:r w:rsidR="00234F5A" w:rsidRPr="00044ACB">
        <w:rPr>
          <w:rFonts w:ascii="Times New Roman" w:eastAsia="Arial Unicode MS" w:hAnsi="Times New Roman" w:cs="Times New Roman"/>
          <w:color w:val="000000" w:themeColor="text1"/>
          <w:sz w:val="20"/>
        </w:rPr>
        <w:t>.2 – A responsabilidade legal prevista neste item é autônoma em relação à garantia de execução contratual prevista no item 5.6 e seus subitens, não se confundindo com ela nem se limitando ao respectivo prazo de vigência.</w:t>
      </w:r>
    </w:p>
    <w:p w14:paraId="6A738CF8" w14:textId="3AC54DFE"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5.9.</w:t>
      </w:r>
      <w:r w:rsidR="00B35350" w:rsidRPr="00044ACB">
        <w:rPr>
          <w:rFonts w:ascii="Times New Roman" w:eastAsia="Arial Unicode MS" w:hAnsi="Times New Roman" w:cs="Times New Roman"/>
          <w:color w:val="000000" w:themeColor="text1"/>
          <w:sz w:val="20"/>
        </w:rPr>
        <w:t>3</w:t>
      </w:r>
      <w:r w:rsidRPr="00044ACB">
        <w:rPr>
          <w:rFonts w:ascii="Times New Roman" w:eastAsia="Arial Unicode MS" w:hAnsi="Times New Roman" w:cs="Times New Roman"/>
          <w:color w:val="000000" w:themeColor="text1"/>
          <w:sz w:val="20"/>
        </w:rPr>
        <w:t xml:space="preserve"> – O recebimento definitivo não importará quitação irrestrita das obrigações da Contratada, nem afastará sua responsabilidade pelos vícios ocultos ou defeitos posteriormente constatados, especialmente aquelas decorrentes do art. 140, §§ 2º e 6º, da Lei nº 14.133/2021 e do art. 618 do Código Civil. </w:t>
      </w:r>
    </w:p>
    <w:p w14:paraId="6DF3F057" w14:textId="77777777" w:rsidR="008830A4" w:rsidRPr="00044ACB" w:rsidRDefault="008830A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5.10 – A solução será considerada concluída após a execução integral dos serviços previstos, realização e aceitação dos controles e ensaios exigíveis, conclusão da sinalização e dos serviços complementares, correção das pendências apontadas pela fiscalização e formalização do recebimento definitivo, permanecendo vigentes, após esse marco, as responsabilidades legais e contratuais aplicáveis à qualidade, solidez, segurança e funcionalidade da obra.</w:t>
      </w:r>
    </w:p>
    <w:p w14:paraId="74EB3D28" w14:textId="77777777" w:rsidR="00ED0FB6" w:rsidRPr="00044ACB" w:rsidRDefault="00ED0FB6" w:rsidP="00044ACB">
      <w:pPr>
        <w:spacing w:after="0" w:line="276" w:lineRule="auto"/>
        <w:jc w:val="both"/>
        <w:rPr>
          <w:rFonts w:ascii="Times New Roman" w:eastAsia="Arial Unicode MS" w:hAnsi="Times New Roman" w:cs="Times New Roman"/>
          <w:b/>
          <w:color w:val="000000" w:themeColor="text1"/>
          <w:sz w:val="20"/>
        </w:rPr>
      </w:pPr>
    </w:p>
    <w:p w14:paraId="5F506869" w14:textId="0FBA30B5" w:rsidR="006E786C" w:rsidRPr="00044ACB" w:rsidRDefault="00652924"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6</w:t>
      </w:r>
      <w:r w:rsidR="006E786C" w:rsidRPr="00044ACB">
        <w:rPr>
          <w:rFonts w:ascii="Times New Roman" w:eastAsia="Arial Unicode MS" w:hAnsi="Times New Roman" w:cs="Times New Roman"/>
          <w:b/>
          <w:color w:val="000000" w:themeColor="text1"/>
          <w:sz w:val="20"/>
        </w:rPr>
        <w:t xml:space="preserve"> - ESTIMATIVA DAS QUANTIDADES A SEREM CONTRATADAS: </w:t>
      </w:r>
    </w:p>
    <w:p w14:paraId="259F2378" w14:textId="77777777" w:rsidR="00B35350" w:rsidRPr="00044ACB" w:rsidRDefault="00FE2E45"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6.1 – A estimativa das quantidades foi elaborada especificamente para a obra de pavimentação </w:t>
      </w:r>
      <w:r w:rsidR="00B35350" w:rsidRPr="00044ACB">
        <w:rPr>
          <w:rFonts w:ascii="Times New Roman" w:eastAsia="Arial Unicode MS" w:hAnsi="Times New Roman" w:cs="Times New Roman"/>
          <w:color w:val="000000" w:themeColor="text1"/>
          <w:sz w:val="20"/>
        </w:rPr>
        <w:t xml:space="preserve">em trecho da </w:t>
      </w:r>
      <w:r w:rsidRPr="00044ACB">
        <w:rPr>
          <w:rFonts w:ascii="Times New Roman" w:eastAsia="Arial Unicode MS" w:hAnsi="Times New Roman" w:cs="Times New Roman"/>
          <w:color w:val="000000" w:themeColor="text1"/>
          <w:sz w:val="20"/>
        </w:rPr>
        <w:t xml:space="preserve">EGP 09 com base nos levantamentos e nos elementos técnicos que compõem o projeto de engenharia, especialmente o Memorial Descritivo, a Planilha de Levantamento de Quantidades e a Planilha Orçamentária. </w:t>
      </w:r>
    </w:p>
    <w:p w14:paraId="515FE087" w14:textId="4009ACA7" w:rsidR="00FE2E45" w:rsidRPr="00044ACB" w:rsidRDefault="00B35350"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6.1.1 – </w:t>
      </w:r>
      <w:r w:rsidR="00FE2E45" w:rsidRPr="00044ACB">
        <w:rPr>
          <w:rFonts w:ascii="Times New Roman" w:eastAsia="Arial Unicode MS" w:hAnsi="Times New Roman" w:cs="Times New Roman"/>
          <w:color w:val="000000" w:themeColor="text1"/>
          <w:sz w:val="20"/>
        </w:rPr>
        <w:t>Por se tratar de obra com localização, dimensões e solução previamente definidas, os quantitativos não decorrem de históricos de consumo, médias de contratações anteriores ou projeções genéricas de demanda, mas diretamente das características e parâmetros estabelecidos para o trecho objeto da intervenção.</w:t>
      </w:r>
    </w:p>
    <w:p w14:paraId="6635801F" w14:textId="77777777" w:rsidR="00FE2E45" w:rsidRPr="00044ACB" w:rsidRDefault="00FE2E45"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6.2 – O segmento projetado possui extensão de 580,00 metros e área de pavimentação correspondente a 4.092,85 m², parâmetros que constituem a base para o dimensionamento dos serviços necessários à execução integral da solução. A apuração foi realizada individualmente para cada serviço previsto, mediante aplicação das respectivas unidades de medição, encontrando-se as correspondentes memórias de cálculo registradas na PLQ.</w:t>
      </w:r>
    </w:p>
    <w:p w14:paraId="4F81A080" w14:textId="77777777" w:rsidR="00B35350" w:rsidRPr="00044ACB" w:rsidRDefault="00FE2E45"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6.3 – A estimativa contempla a totalidade dos serviços necessários à execução da obra, abrangendo serviços iniciais, terraplenagem e preparação do subleito, </w:t>
      </w:r>
      <w:proofErr w:type="spellStart"/>
      <w:r w:rsidRPr="00044ACB">
        <w:rPr>
          <w:rFonts w:ascii="Times New Roman" w:eastAsia="Arial Unicode MS" w:hAnsi="Times New Roman" w:cs="Times New Roman"/>
          <w:color w:val="000000" w:themeColor="text1"/>
          <w:sz w:val="20"/>
        </w:rPr>
        <w:t>microdrenagem</w:t>
      </w:r>
      <w:proofErr w:type="spellEnd"/>
      <w:r w:rsidRPr="00044ACB">
        <w:rPr>
          <w:rFonts w:ascii="Times New Roman" w:eastAsia="Arial Unicode MS" w:hAnsi="Times New Roman" w:cs="Times New Roman"/>
          <w:color w:val="000000" w:themeColor="text1"/>
          <w:sz w:val="20"/>
        </w:rPr>
        <w:t xml:space="preserve">, pavimentação asfáltica e sinalização viária, em conformidade com o Memorial Descritivo e os demais documentos do projeto. </w:t>
      </w:r>
    </w:p>
    <w:p w14:paraId="2D810060" w14:textId="6B0822A6" w:rsidR="00FE2E45" w:rsidRPr="00044ACB" w:rsidRDefault="00B35350"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6.3.1 – </w:t>
      </w:r>
      <w:r w:rsidR="00FE2E45" w:rsidRPr="00044ACB">
        <w:rPr>
          <w:rFonts w:ascii="Times New Roman" w:eastAsia="Arial Unicode MS" w:hAnsi="Times New Roman" w:cs="Times New Roman"/>
          <w:color w:val="000000" w:themeColor="text1"/>
          <w:sz w:val="20"/>
        </w:rPr>
        <w:t xml:space="preserve">Entre os quantitativos de maior expressão física, destacam-se 5.255,45 m² de regularização e compactação do subleito, 1.576,64 m³ de sub-base em rachão, 840,87 m³ de base em brita graduada, 5.255,45 m² de imprimação, 4.092,85 m² de pintura de ligação e 204,82 m³ de pavimento em concreto asfáltico, além dos quantitativos correspondentes à terraplenagem, </w:t>
      </w:r>
      <w:proofErr w:type="spellStart"/>
      <w:r w:rsidR="00FE2E45" w:rsidRPr="00044ACB">
        <w:rPr>
          <w:rFonts w:ascii="Times New Roman" w:eastAsia="Arial Unicode MS" w:hAnsi="Times New Roman" w:cs="Times New Roman"/>
          <w:color w:val="000000" w:themeColor="text1"/>
          <w:sz w:val="20"/>
        </w:rPr>
        <w:t>microdrenagem</w:t>
      </w:r>
      <w:proofErr w:type="spellEnd"/>
      <w:r w:rsidR="00FE2E45" w:rsidRPr="00044ACB">
        <w:rPr>
          <w:rFonts w:ascii="Times New Roman" w:eastAsia="Arial Unicode MS" w:hAnsi="Times New Roman" w:cs="Times New Roman"/>
          <w:color w:val="000000" w:themeColor="text1"/>
          <w:sz w:val="20"/>
        </w:rPr>
        <w:t xml:space="preserve"> e sinalização.</w:t>
      </w:r>
    </w:p>
    <w:p w14:paraId="48F837EB" w14:textId="77777777" w:rsidR="00FE2E45" w:rsidRPr="00044ACB" w:rsidRDefault="00FE2E45"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6.4 – A metodologia adotada assegura a rastreabilidade entre o projeto, as memórias de cálculo e o orçamento da contratação, permitindo à Administração e aos órgãos de controle identificar a origem dos quantitativos, verificar sua compatibilidade com a solução projetada e avaliar sua repercussão sobre o valor estimado da obra. Não foi adotada margem genérica de acréscimo nem reserva quantitativa desvinculada dos elementos técnicos do projeto.</w:t>
      </w:r>
    </w:p>
    <w:p w14:paraId="337DDA8E" w14:textId="5C5BDE5C" w:rsidR="00FE2E45" w:rsidRPr="00044ACB" w:rsidRDefault="00FE2E45"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6.5 –</w:t>
      </w:r>
      <w:r w:rsidR="00F7435E"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Considera-se, portanto, que as quantidades estimadas possuem fundamento técnico identificável, memória de cálculo própria e documentação suficiente para subsidiar a elaboração do orçamento, a formulação das propostas, o julgamento da licitação, a fiscalização e a medição dos serviços, sem prejuízo da responsabilidade técnica pelos elementos integrantes do projeto da obra.</w:t>
      </w:r>
    </w:p>
    <w:p w14:paraId="67CB3558" w14:textId="77777777" w:rsidR="00982FDC" w:rsidRPr="00044ACB" w:rsidRDefault="00982FDC" w:rsidP="00044ACB">
      <w:pPr>
        <w:spacing w:after="0" w:line="276" w:lineRule="auto"/>
        <w:jc w:val="both"/>
        <w:rPr>
          <w:rFonts w:ascii="Times New Roman" w:eastAsia="Arial Unicode MS" w:hAnsi="Times New Roman" w:cs="Times New Roman"/>
          <w:bCs/>
          <w:color w:val="000000" w:themeColor="text1"/>
          <w:sz w:val="20"/>
        </w:rPr>
      </w:pPr>
    </w:p>
    <w:p w14:paraId="79CA53DF" w14:textId="77777777" w:rsidR="006E786C" w:rsidRPr="00044ACB" w:rsidRDefault="00652924"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7</w:t>
      </w:r>
      <w:r w:rsidR="006E786C" w:rsidRPr="00044ACB">
        <w:rPr>
          <w:rFonts w:ascii="Times New Roman" w:eastAsia="Arial Unicode MS" w:hAnsi="Times New Roman" w:cs="Times New Roman"/>
          <w:b/>
          <w:color w:val="000000" w:themeColor="text1"/>
          <w:sz w:val="20"/>
        </w:rPr>
        <w:t xml:space="preserve"> – ESTIMATIVA DO VALOR DA CONTRATAÇÃO:</w:t>
      </w:r>
    </w:p>
    <w:p w14:paraId="52FB8909" w14:textId="24204273" w:rsidR="006345A3" w:rsidRPr="00044ACB" w:rsidRDefault="006345A3"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7.1 – A estimativa do valor da contratação foi elaborada com base no Projeto de Engenharia desenvolvido por profissional técnico habilitado para a execução da obra de pavimentação asfáltica </w:t>
      </w:r>
      <w:r w:rsidR="00F7435E" w:rsidRPr="00044ACB">
        <w:rPr>
          <w:rFonts w:ascii="Times New Roman" w:eastAsia="Arial Unicode MS" w:hAnsi="Times New Roman" w:cs="Times New Roman"/>
          <w:color w:val="000000" w:themeColor="text1"/>
          <w:sz w:val="20"/>
        </w:rPr>
        <w:t>do trecho da EGP 09</w:t>
      </w:r>
      <w:r w:rsidRPr="00044ACB">
        <w:rPr>
          <w:rFonts w:ascii="Times New Roman" w:eastAsia="Arial Unicode MS" w:hAnsi="Times New Roman" w:cs="Times New Roman"/>
          <w:color w:val="000000" w:themeColor="text1"/>
          <w:sz w:val="20"/>
        </w:rPr>
        <w:t>. O orçamento está estruturado a partir dos quantitativos definidos no projeto, das composições unitárias de custos e dos insumos correspondentes aos serviços previstos, utilizando como referência principal o Sistema Nacional de Pesquisa de Custos e Índices da Construção Civil – SINAPI, complementado, quando necessário, por composições específicas e cotações devidamente incorporadas ao orçamento.</w:t>
      </w:r>
    </w:p>
    <w:p w14:paraId="16C508AC" w14:textId="543F30F5" w:rsidR="006345A3" w:rsidRPr="00044ACB" w:rsidRDefault="006345A3"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7.1.1 – A adoção predominante do SINAPI decorre da metodologia utilizada na elaboração do orçamento do empreendimento e da aderência de suas composições aos serviços efetivamente previstos no Projeto de Engenharia. As referências utilizadas apresentam correspondência com os métodos executivos, equipamentos, insumos, produtividades e unidades de medição adotados para a obra, assegurando compatibilidade entre o projeto, a Planilha de Levantamento de Quantidades – PLQ, as composições de custos e a Planilha Orçamentária.</w:t>
      </w:r>
    </w:p>
    <w:p w14:paraId="61500E2E" w14:textId="7BC2E4FF" w:rsidR="006345A3" w:rsidRPr="00044ACB" w:rsidRDefault="006345A3"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7.1.2 –</w:t>
      </w:r>
      <w:r w:rsidR="00F7435E" w:rsidRPr="00044ACB">
        <w:rPr>
          <w:rFonts w:ascii="Times New Roman" w:eastAsia="Arial Unicode MS" w:hAnsi="Times New Roman" w:cs="Times New Roman"/>
          <w:color w:val="000000" w:themeColor="text1"/>
          <w:sz w:val="20"/>
        </w:rPr>
        <w:t xml:space="preserve"> </w:t>
      </w:r>
      <w:r w:rsidRPr="00044ACB">
        <w:rPr>
          <w:rFonts w:ascii="Times New Roman" w:eastAsia="Arial Unicode MS" w:hAnsi="Times New Roman" w:cs="Times New Roman"/>
          <w:color w:val="000000" w:themeColor="text1"/>
          <w:sz w:val="20"/>
        </w:rPr>
        <w:t>Sobre os custos diretos da obra incide BDI de 20,73%, destinado à composição do preço final da contratação mediante incorporação das despesas indiretas e demais parcelas pertinentes, conforme demonstrativo próprio integrante do orçamento.</w:t>
      </w:r>
    </w:p>
    <w:p w14:paraId="573CD91F" w14:textId="77777777" w:rsidR="006345A3" w:rsidRPr="00044ACB" w:rsidRDefault="006345A3"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7.2 – A metodologia adotada assegura que os valores estimados mantenham compatibilidade com os custos necessários à execução da obra, mediante utilização de referenciais públicos, composições de custos e cotações associadas aos quantitativos definidos no projeto. Essa sistemática proporciona objetividade e rastreabilidade à formação do orçamento e reduz os riscos de sobrepreço, subavaliação ou inadequação dos valores utilizados como referência no procedimento licitatório.</w:t>
      </w:r>
    </w:p>
    <w:p w14:paraId="54624F01" w14:textId="77777777" w:rsidR="006345A3" w:rsidRPr="00044ACB" w:rsidRDefault="006345A3"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7.3 – O orçamento estimativo encontra-se detalhado na Planilha Orçamentária, nas composições de custos, nas cotações e nas respectivas memórias de cálculo, documentos que permitem identificar os serviços previstos, seus quantitativos, unidades de medição, custos unitários e valores totais. A correspondência entre esses elementos possibilita a verificação da formação do preço estimado e de sua compatibilidade com o escopo definido no Projeto de Engenharia e no Memorial Descritivo.</w:t>
      </w:r>
    </w:p>
    <w:p w14:paraId="5A7DC3E9" w14:textId="77777777" w:rsidR="006345A3" w:rsidRPr="00044ACB" w:rsidRDefault="006345A3"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7.4 – Conforme apurado no orçamento da obra, o valor total estimado da contratação corresponde a </w:t>
      </w:r>
      <w:r w:rsidRPr="00044ACB">
        <w:rPr>
          <w:rFonts w:ascii="Times New Roman" w:eastAsia="Arial Unicode MS" w:hAnsi="Times New Roman" w:cs="Times New Roman"/>
          <w:b/>
          <w:bCs/>
          <w:color w:val="000000" w:themeColor="text1"/>
          <w:sz w:val="20"/>
        </w:rPr>
        <w:t>R$ 1.055.236,63 (um milhão, cinquenta e cinco mil, duzentos e trinta e seis reais e sessenta e três centavos)</w:t>
      </w:r>
      <w:r w:rsidRPr="00044ACB">
        <w:rPr>
          <w:rFonts w:ascii="Times New Roman" w:eastAsia="Arial Unicode MS" w:hAnsi="Times New Roman" w:cs="Times New Roman"/>
          <w:color w:val="000000" w:themeColor="text1"/>
          <w:sz w:val="20"/>
        </w:rPr>
        <w:t>, compreendendo a totalidade dos serviços previstos para a execução do objeto.</w:t>
      </w:r>
    </w:p>
    <w:p w14:paraId="76F5E251" w14:textId="76425B5D" w:rsidR="006345A3" w:rsidRPr="00044ACB" w:rsidRDefault="006345A3"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7.5 – A formação do valor estimado, mediante associação entre quantitativos de projeto, custos unitários referenciais, composições específicas, cotações e incidência do BDI, confere suporte técnico à definição do orçamento da contratação e permite sua utilização como parâmetro para o julgamento das propostas, observados os princípios da economicidade, eficiência, planejamento e transparência previstos na Lei Federal nº 14.133/2021.</w:t>
      </w:r>
    </w:p>
    <w:p w14:paraId="54413D6A" w14:textId="77777777" w:rsidR="0040363F" w:rsidRPr="00044ACB" w:rsidRDefault="0040363F" w:rsidP="00044ACB">
      <w:pPr>
        <w:spacing w:after="0" w:line="276" w:lineRule="auto"/>
        <w:jc w:val="both"/>
        <w:rPr>
          <w:rFonts w:ascii="Times New Roman" w:eastAsia="Arial Unicode MS" w:hAnsi="Times New Roman" w:cs="Times New Roman"/>
          <w:color w:val="000000" w:themeColor="text1"/>
          <w:sz w:val="20"/>
        </w:rPr>
      </w:pPr>
    </w:p>
    <w:p w14:paraId="696DD5F0" w14:textId="349486E7" w:rsidR="006E786C" w:rsidRPr="00044ACB" w:rsidRDefault="00652924"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8</w:t>
      </w:r>
      <w:r w:rsidR="006E786C" w:rsidRPr="00044ACB">
        <w:rPr>
          <w:rFonts w:ascii="Times New Roman" w:eastAsia="Arial Unicode MS" w:hAnsi="Times New Roman" w:cs="Times New Roman"/>
          <w:b/>
          <w:color w:val="000000" w:themeColor="text1"/>
          <w:sz w:val="20"/>
        </w:rPr>
        <w:t xml:space="preserve"> – JUSTIFICATIVA PARA O PARCELAMENTO OU NÃO DA SOLUÇÃO:</w:t>
      </w:r>
    </w:p>
    <w:p w14:paraId="3B46279E" w14:textId="77777777" w:rsidR="0040363F" w:rsidRPr="00044ACB" w:rsidRDefault="0040363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8.1 – Nos termos do art. 47 da Lei Federal nº 14.133/2021, as licitações devem observar o princípio do parcelamento sempre que tecnicamente viável e economicamente vantajoso, considerando-se, conforme o § 1º do referido dispositivo, aspectos relacionados à responsabilidade técnica, aos custos administrativos decorrentes da gestão contratual, à ampliação da competitividade e à eficiência da execução. A aplicação desse princípio exige análise compatível com as características do objeto e os riscos envolvidos.</w:t>
      </w:r>
    </w:p>
    <w:p w14:paraId="0D6AB84F" w14:textId="55EF4D62" w:rsidR="0040363F" w:rsidRPr="00044ACB" w:rsidRDefault="0040363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8.2 – No caso da presente contratação, o objeto consiste na execução de obra única de pavimentação asfáltica </w:t>
      </w:r>
      <w:r w:rsidR="00F7435E" w:rsidRPr="00044ACB">
        <w:rPr>
          <w:rFonts w:ascii="Times New Roman" w:eastAsia="Arial Unicode MS" w:hAnsi="Times New Roman" w:cs="Times New Roman"/>
          <w:color w:val="000000" w:themeColor="text1"/>
          <w:sz w:val="20"/>
        </w:rPr>
        <w:t xml:space="preserve">do trecho </w:t>
      </w:r>
      <w:r w:rsidRPr="00044ACB">
        <w:rPr>
          <w:rFonts w:ascii="Times New Roman" w:eastAsia="Arial Unicode MS" w:hAnsi="Times New Roman" w:cs="Times New Roman"/>
          <w:color w:val="000000" w:themeColor="text1"/>
          <w:sz w:val="20"/>
        </w:rPr>
        <w:t>da EGP 09, compreendendo um conjunto integrado de serviços de engenharia interdependentes, que devem ser executados de forma sequencial, contínua e tecnicamente articulada.</w:t>
      </w:r>
    </w:p>
    <w:p w14:paraId="522D755B" w14:textId="77777777" w:rsidR="0040363F" w:rsidRPr="00044ACB" w:rsidRDefault="0040363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8.3 – Diante dessas características, não se mostra tecnicamente recomendável o parcelamento do objeto em múltiplos lotes ou contratos, uma vez que os serviços que compõem a obra apresentam elevada interdependência técnica e operacional. A eventual fragmentação poderia comprometer a adequada coordenação entre as etapas construtivas, dificultar o controle da execução e ampliar o risco de incompatibilidades entre serviços realizados por diferentes empresas.</w:t>
      </w:r>
    </w:p>
    <w:p w14:paraId="34FC08EA" w14:textId="77777777" w:rsidR="0040363F" w:rsidRPr="00044ACB" w:rsidRDefault="0040363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8.4 – A subdivisão do objeto também poderia acarretar aumento dos custos indiretos, perda de economia de escala, maior complexidade na gestão e fiscalização contratual e elevação dos riscos de atrasos, retrabalhos e inconsistências na qualidade final da obra, especialmente quanto à integração entre drenagem, estrutura do pavimento e revestimento asfáltico.</w:t>
      </w:r>
    </w:p>
    <w:p w14:paraId="43EEBF37" w14:textId="77777777" w:rsidR="0040363F" w:rsidRPr="00044ACB" w:rsidRDefault="0040363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8.5 – A execução integral da obra por uma única empresa contratada favorece a uniformidade dos métodos executivos, a coordenação das frentes de trabalho, a otimização do uso de equipamentos e recursos e o controle dos prazos, da qualidade e da responsabilidade pela execução do objeto.</w:t>
      </w:r>
    </w:p>
    <w:p w14:paraId="392A8263" w14:textId="77777777" w:rsidR="0040363F" w:rsidRPr="00044ACB" w:rsidRDefault="0040363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8.6 – Ademais, trata-se de objeto compatível com a atuação ordinária de empresas do setor de infraestrutura viária, não se identificando, em princípio, restrição indevida à competitividade decorrente da contratação em lote único. Assim, conclui-se que o não parcelamento se mostra técnica e administrativamente mais adequado para a presente contratação.</w:t>
      </w:r>
    </w:p>
    <w:p w14:paraId="74B30FC3" w14:textId="77777777" w:rsidR="00DE7945" w:rsidRPr="00044ACB" w:rsidRDefault="00DE7945" w:rsidP="00044ACB">
      <w:pPr>
        <w:spacing w:after="0" w:line="276" w:lineRule="auto"/>
        <w:jc w:val="both"/>
        <w:rPr>
          <w:rFonts w:ascii="Times New Roman" w:eastAsia="Arial Unicode MS" w:hAnsi="Times New Roman" w:cs="Times New Roman"/>
          <w:bCs/>
          <w:color w:val="000000" w:themeColor="text1"/>
          <w:sz w:val="20"/>
        </w:rPr>
      </w:pPr>
    </w:p>
    <w:p w14:paraId="14709F02" w14:textId="77777777" w:rsidR="006E786C" w:rsidRPr="00044ACB" w:rsidRDefault="001B28EE"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 xml:space="preserve">9 </w:t>
      </w:r>
      <w:r w:rsidR="006E786C" w:rsidRPr="00044ACB">
        <w:rPr>
          <w:rFonts w:ascii="Times New Roman" w:eastAsia="Arial Unicode MS" w:hAnsi="Times New Roman" w:cs="Times New Roman"/>
          <w:b/>
          <w:color w:val="000000" w:themeColor="text1"/>
          <w:sz w:val="20"/>
        </w:rPr>
        <w:t xml:space="preserve">– CONTRATAÇÕES CORRELATAS E/OU INTERDEPENDENTES </w:t>
      </w:r>
    </w:p>
    <w:p w14:paraId="60818C35" w14:textId="3C7BCD57" w:rsidR="006B356D" w:rsidRPr="00044ACB" w:rsidRDefault="006B356D"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9.1 – Considerando o escopo definido para a pavimentação asfáltica </w:t>
      </w:r>
      <w:r w:rsidR="00F7435E" w:rsidRPr="00044ACB">
        <w:rPr>
          <w:rFonts w:ascii="Times New Roman" w:eastAsia="Arial Unicode MS" w:hAnsi="Times New Roman" w:cs="Times New Roman"/>
          <w:color w:val="000000" w:themeColor="text1"/>
          <w:sz w:val="20"/>
        </w:rPr>
        <w:t xml:space="preserve">do trecho </w:t>
      </w:r>
      <w:r w:rsidRPr="00044ACB">
        <w:rPr>
          <w:rFonts w:ascii="Times New Roman" w:eastAsia="Arial Unicode MS" w:hAnsi="Times New Roman" w:cs="Times New Roman"/>
          <w:color w:val="000000" w:themeColor="text1"/>
          <w:sz w:val="20"/>
        </w:rPr>
        <w:t xml:space="preserve">da EGP 09 não foram identificadas, nesta etapa do planejamento, contratações autônomas cuja execução constitua condição necessária para a realização do objeto principal. Os serviços de terraplenagem, preparação do subleito, </w:t>
      </w:r>
      <w:proofErr w:type="spellStart"/>
      <w:r w:rsidRPr="00044ACB">
        <w:rPr>
          <w:rFonts w:ascii="Times New Roman" w:eastAsia="Arial Unicode MS" w:hAnsi="Times New Roman" w:cs="Times New Roman"/>
          <w:color w:val="000000" w:themeColor="text1"/>
          <w:sz w:val="20"/>
        </w:rPr>
        <w:t>microdrenagem</w:t>
      </w:r>
      <w:proofErr w:type="spellEnd"/>
      <w:r w:rsidRPr="00044ACB">
        <w:rPr>
          <w:rFonts w:ascii="Times New Roman" w:eastAsia="Arial Unicode MS" w:hAnsi="Times New Roman" w:cs="Times New Roman"/>
          <w:color w:val="000000" w:themeColor="text1"/>
          <w:sz w:val="20"/>
        </w:rPr>
        <w:t>, pavimentação e sinalização integram a própria solução projetada e serão executados de forma conjunta no âmbito desta contratação.</w:t>
      </w:r>
    </w:p>
    <w:p w14:paraId="64ECC1EA" w14:textId="77777777" w:rsidR="006B356D" w:rsidRPr="00044ACB" w:rsidRDefault="006B356D"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9.2 – Não obstante, em razão da natureza da intervenção viária, poderão ser identificadas interferências pontuais com infraestruturas existentes, especialmente redes de abastecimento de água, energia elétrica, telecomunicações, iluminação pública ou outros serviços instalados na área de influência da obra. Nessas situações, a Administração deverá promover previamente a compatibilização necessária com os respectivos responsáveis, de modo a evitar prejuízos à execução, ao cronograma e às estruturas existentes.</w:t>
      </w:r>
    </w:p>
    <w:p w14:paraId="69D82717" w14:textId="77777777" w:rsidR="006B356D" w:rsidRPr="00044ACB" w:rsidRDefault="006B356D"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9.3 – Eventuais remanejamentos, adequações ou serviços que não integrem o projeto e que sejam de responsabilidade de concessionárias, permissionárias ou terceiros deverão ser tratados separadamente, mediante articulação institucional ou contratação própria, quando necessária, observadas a responsabilidade pelo serviço, a disponibilidade orçamentária e a legislação aplicável.</w:t>
      </w:r>
    </w:p>
    <w:p w14:paraId="24608B94" w14:textId="77777777" w:rsidR="006B356D" w:rsidRPr="00044ACB" w:rsidRDefault="006B356D"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9.4 – Caso sejam constatadas, durante a execução, condições supervenientes não contempladas nos elementos técnicos da contratação e que demandem providências adicionais, sua necessidade deverá ser previamente avaliada e formalmente justificada pelo setor técnico competente, vedada a inclusão automática de serviços estranhos ao objeto contratado.</w:t>
      </w:r>
    </w:p>
    <w:p w14:paraId="26D767A9" w14:textId="77777777" w:rsidR="006B356D" w:rsidRPr="00044ACB" w:rsidRDefault="006B356D"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9.5 – Assim, a presente contratação possui autonomia técnica e funcional, não dependendo, neste momento, de outra contratação para sua execução. Eventuais intervenções correlatas que venham a ser identificadas deverão ser coordenadas pela Administração de forma compatível com o cronograma da obra, buscando evitar paralisações, retrabalhos, custos adicionais e interferências indevidas na execução do objeto principal.</w:t>
      </w:r>
    </w:p>
    <w:p w14:paraId="5354B5F2" w14:textId="77777777" w:rsidR="00CD63BF" w:rsidRPr="00044ACB" w:rsidRDefault="00CD63BF" w:rsidP="00044ACB">
      <w:pPr>
        <w:spacing w:after="0" w:line="276" w:lineRule="auto"/>
        <w:jc w:val="both"/>
        <w:rPr>
          <w:rFonts w:ascii="Times New Roman" w:eastAsia="Arial Unicode MS" w:hAnsi="Times New Roman" w:cs="Times New Roman"/>
          <w:bCs/>
          <w:color w:val="000000" w:themeColor="text1"/>
          <w:sz w:val="20"/>
        </w:rPr>
      </w:pPr>
    </w:p>
    <w:p w14:paraId="73D4D90E" w14:textId="77777777" w:rsidR="006E786C" w:rsidRPr="00044ACB" w:rsidRDefault="006E786C"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1</w:t>
      </w:r>
      <w:r w:rsidR="001B28EE" w:rsidRPr="00044ACB">
        <w:rPr>
          <w:rFonts w:ascii="Times New Roman" w:eastAsia="Arial Unicode MS" w:hAnsi="Times New Roman" w:cs="Times New Roman"/>
          <w:b/>
          <w:color w:val="000000" w:themeColor="text1"/>
          <w:sz w:val="20"/>
        </w:rPr>
        <w:t>0</w:t>
      </w:r>
      <w:r w:rsidRPr="00044ACB">
        <w:rPr>
          <w:rFonts w:ascii="Times New Roman" w:eastAsia="Arial Unicode MS" w:hAnsi="Times New Roman" w:cs="Times New Roman"/>
          <w:b/>
          <w:color w:val="000000" w:themeColor="text1"/>
          <w:sz w:val="20"/>
        </w:rPr>
        <w:t xml:space="preserve"> – ALINHAMENTO ENTRE A CONTRATAÇÃO E O PLANEJAMENTO:</w:t>
      </w:r>
    </w:p>
    <w:p w14:paraId="4C549425" w14:textId="76B55C9D" w:rsidR="001865C4" w:rsidRPr="00044ACB" w:rsidRDefault="001865C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10.1 – A presente contratação refere-se à execução da obra de pavimentação asfáltica do trecho da EGP 09, inserindo-se no planejamento municipal de investimentos destinados à qualificação da infraestrutura viária, à melhoria da mobilidade e à integração entre a área urbana e as localidades atendidas.</w:t>
      </w:r>
    </w:p>
    <w:p w14:paraId="63C42A67" w14:textId="0A7FBD7D" w:rsidR="001865C4" w:rsidRPr="00044ACB" w:rsidRDefault="001865C4" w:rsidP="00044ACB">
      <w:pPr>
        <w:spacing w:after="0" w:line="276" w:lineRule="auto"/>
        <w:ind w:firstLine="709"/>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10.1.1 – O empreendimento encontra-se vinculado ao Convênio Transferegov.br nº 999672/2026, celebrado entre a União, por intermédio do Ministério da Integração e do Desenvolvimento Regional, e o Município de Paveram</w:t>
      </w:r>
      <w:r w:rsidR="00A74098">
        <w:rPr>
          <w:rFonts w:ascii="Times New Roman" w:eastAsia="Arial Unicode MS" w:hAnsi="Times New Roman" w:cs="Times New Roman"/>
          <w:color w:val="000000" w:themeColor="text1"/>
          <w:sz w:val="20"/>
        </w:rPr>
        <w:t>a</w:t>
      </w:r>
      <w:r w:rsidRPr="00044ACB">
        <w:rPr>
          <w:rFonts w:ascii="Times New Roman" w:eastAsia="Arial Unicode MS" w:hAnsi="Times New Roman" w:cs="Times New Roman"/>
          <w:color w:val="000000" w:themeColor="text1"/>
          <w:sz w:val="20"/>
        </w:rPr>
        <w:t>, destinado à pavimentação de estradas vicinais, conforme o respectivo Plano de Trabalho.</w:t>
      </w:r>
    </w:p>
    <w:p w14:paraId="1A26D316" w14:textId="77777777" w:rsidR="00044ACB" w:rsidRPr="00044ACB" w:rsidRDefault="00044ACB" w:rsidP="00044ACB">
      <w:pPr>
        <w:spacing w:after="0" w:line="276" w:lineRule="auto"/>
        <w:ind w:firstLine="709"/>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10.1.2 – Para fins de composição financeira do empreendimento, o valor de R$ 477.500,00 (quatrocentos e setenta e sete mil e quinhentos reais) corresponde ao repasse da União vinculado ao Convênio Transferegov.br nº 999672/2026, destinado à execução do objeto pactuado.</w:t>
      </w:r>
    </w:p>
    <w:p w14:paraId="74BC1912" w14:textId="6F1AB53B" w:rsidR="00044ACB" w:rsidRPr="00044ACB" w:rsidRDefault="00044ACB"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 xml:space="preserve">10.1.3 – Considerando que o valor estimado da obra corresponde a R$ 1.055.236,63, o montante remanescente necessário à sua execução, correspondente a R$ 577.736,63 (quinhentos e setenta e sete mil, setecentos e trinta e seis reais e sessenta e três centavos), será suportado por recursos provenientes de operação de crédito – financiamento junto ao </w:t>
      </w:r>
      <w:proofErr w:type="spellStart"/>
      <w:r w:rsidRPr="00044ACB">
        <w:rPr>
          <w:rFonts w:ascii="Times New Roman" w:eastAsia="Arial Unicode MS" w:hAnsi="Times New Roman" w:cs="Times New Roman"/>
          <w:color w:val="000000" w:themeColor="text1"/>
          <w:sz w:val="20"/>
        </w:rPr>
        <w:t>Badesul</w:t>
      </w:r>
      <w:proofErr w:type="spellEnd"/>
      <w:r w:rsidRPr="00044ACB">
        <w:rPr>
          <w:rFonts w:ascii="Times New Roman" w:eastAsia="Arial Unicode MS" w:hAnsi="Times New Roman" w:cs="Times New Roman"/>
          <w:color w:val="000000" w:themeColor="text1"/>
          <w:sz w:val="20"/>
        </w:rPr>
        <w:t>, assegurando a cobertura integral da despesa prevista.</w:t>
      </w:r>
    </w:p>
    <w:p w14:paraId="2112FD0D" w14:textId="316E6F99" w:rsidR="001865C4" w:rsidRPr="00044ACB" w:rsidRDefault="001865C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10.2 – A contratação não se encontra originalmente prevista no Plano de Contratações Anual – PCA vigente, razão pela qual sua inclusão deverá ser formalmente autorizada pela autoridade competente, conforme consignado no Documento de Formalização de Demanda – DFD. A inclusão decorre da formalização da transferência de recursos e da necessidade de viabilizar a execução do empreendimento nas condições estabelecidas no instrumento celebrado.</w:t>
      </w:r>
    </w:p>
    <w:p w14:paraId="032F1BD9" w14:textId="4C77A6ED" w:rsidR="00044ACB" w:rsidRPr="00044ACB" w:rsidRDefault="00044ACB"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10.3 – Sob o aspecto orçamentário e financeiro, a contratação encontra respaldo no repasse federal vinculado ao Convênio Transferegov.br nº 999672/2026 e nos recursos provenientes da operação de crédito – financiamento junto a agência de fomento, destinados à complementação do valor necessário à execução integral da obra, observadas as disposições da Lei Federal nº 4.320/1964, da Lei Complementar nº 101/2000 e dos demais instrumentos de planejamento e orçamento do Município.</w:t>
      </w:r>
    </w:p>
    <w:p w14:paraId="5D34F842" w14:textId="1B4004B5" w:rsidR="001865C4" w:rsidRPr="00044ACB" w:rsidRDefault="001865C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10.4 – A execução deverá observar as condições estabelecidas no Convênio e em seu Plano de Trabalho, especialmente quanto ao cronograma físico-financeiro, cumprimento das metas, aplicação dos recursos nas finalidades pactuadas, realização das contratações e prestação de contas.</w:t>
      </w:r>
    </w:p>
    <w:p w14:paraId="7EF61914" w14:textId="006FD38F" w:rsidR="00276039" w:rsidRPr="00044ACB" w:rsidRDefault="00044ACB"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10.5 – Dessa forma, a contratação mostra-se alinhada ao planejamento administrativo e financeiro do Município, observada a compatibilidade entre o Convênio, o orçamento municipal, a operação de crédito junto a agência de fomento, o Cronograma Físico-Financeiro e os demais documentos relacionados à execução da obra.</w:t>
      </w:r>
    </w:p>
    <w:p w14:paraId="27B16EC0" w14:textId="77777777" w:rsidR="00044ACB" w:rsidRPr="00044ACB" w:rsidRDefault="00044ACB" w:rsidP="00044ACB">
      <w:pPr>
        <w:spacing w:after="0" w:line="276" w:lineRule="auto"/>
        <w:jc w:val="both"/>
        <w:rPr>
          <w:rFonts w:ascii="Times New Roman" w:eastAsia="Arial Unicode MS" w:hAnsi="Times New Roman" w:cs="Times New Roman"/>
          <w:color w:val="000000" w:themeColor="text1"/>
          <w:sz w:val="20"/>
        </w:rPr>
      </w:pPr>
    </w:p>
    <w:p w14:paraId="1CC931E6" w14:textId="77777777" w:rsidR="006E786C" w:rsidRPr="00044ACB" w:rsidRDefault="006E786C"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1</w:t>
      </w:r>
      <w:r w:rsidR="0024760C" w:rsidRPr="00044ACB">
        <w:rPr>
          <w:rFonts w:ascii="Times New Roman" w:eastAsia="Arial Unicode MS" w:hAnsi="Times New Roman" w:cs="Times New Roman"/>
          <w:b/>
          <w:color w:val="000000" w:themeColor="text1"/>
          <w:sz w:val="20"/>
        </w:rPr>
        <w:t>1</w:t>
      </w:r>
      <w:r w:rsidRPr="00044ACB">
        <w:rPr>
          <w:rFonts w:ascii="Times New Roman" w:eastAsia="Arial Unicode MS" w:hAnsi="Times New Roman" w:cs="Times New Roman"/>
          <w:b/>
          <w:color w:val="000000" w:themeColor="text1"/>
          <w:sz w:val="20"/>
        </w:rPr>
        <w:t xml:space="preserve"> – RESULTADOS PRETENDIDOS:</w:t>
      </w:r>
    </w:p>
    <w:p w14:paraId="11806ACC" w14:textId="26AEE42E"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11.1 – A contratação tem por finalidade promover a qualificação da infraestrutura viária da EGP 09, mediante a implantação de solução destinada a proporcionar melhores condições de trafegabilidade, segurança, durabilidade e funcionalidade da via, em conformidade com as características de utilização do trecho e com as necessidades identificadas no presente estudo.</w:t>
      </w:r>
    </w:p>
    <w:p w14:paraId="068DBFCC"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11.2 – Com a execução da obra, pretende-se melhorar as condições de circulação ao longo do segmento objeto da intervenção, reduzindo os efeitos decorrentes da atual superfície não pavimentada, especialmente a formação de poeira nos períodos secos, lama, buracos e irregularidades nos períodos chuvosos, bem como os problemas relacionados ao escoamento inadequado das águas pluviais.</w:t>
      </w:r>
    </w:p>
    <w:p w14:paraId="0703A49E"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11.3 – No âmbito da segurança viária, busca-se proporcionar superfície de rolamento mais regular e adequada, associada à implantação da sinalização horizontal e vertical e dos demais dispositivos previstos no projeto, favorecendo a organização do tráfego e melhores condições de circulação para os diferentes usuários da via.</w:t>
      </w:r>
    </w:p>
    <w:p w14:paraId="31CEFB05"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11.4 – Sob o aspecto funcional e socioeconômico, a intervenção deverá favorecer os deslocamentos cotidianos da população, o transporte escolar, o acesso aos serviços públicos, a circulação de trabalhadores e o transporte relacionado às atividades produtivas desenvolvidas nas localidades atendidas, contribuindo para maior integração entre o Centro, Recanto dos Brandt, Santa Manoela e demais áreas de influência da EGP 09.</w:t>
      </w:r>
    </w:p>
    <w:p w14:paraId="6C80BC71"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11.5 – Pretende-se, ainda, proporcionar maior estabilidade e durabilidade à infraestrutura implantada, mediante solução que contemple conjuntamente a preparação da plataforma, a estrutura do pavimento, a drenagem e a sinalização, reduzindo a necessidade de intervenções corretivas recorrentes no trecho e proporcionando melhores condições para a conservação futura da via.</w:t>
      </w:r>
    </w:p>
    <w:p w14:paraId="21CA1BC9"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11.6 – Sob a perspectiva da gestão pública, espera-se assegurar aplicação eficiente dos recursos destinados ao empreendimento, mediante execução integral da solução projetada, adequada fiscalização, controle da qualidade dos serviços e compatibilidade entre o investimento realizado e os benefícios esperados para a população atendida.</w:t>
      </w:r>
    </w:p>
    <w:p w14:paraId="6198B4AD"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11.7 – Dessa forma, os resultados pretendidos concentram-se na melhoria efetiva das condições de infraestrutura, mobilidade, segurança e integração territorial proporcionadas pela EGP 09, com repercussões positivas sobre o atendimento das comunidades locais, as atividades produtivas e a prestação dos serviços públicos que dependem da adequada utilização da via.</w:t>
      </w:r>
    </w:p>
    <w:p w14:paraId="494BA053" w14:textId="77777777" w:rsidR="0024760C" w:rsidRPr="00044ACB" w:rsidRDefault="0024760C" w:rsidP="00044ACB">
      <w:pPr>
        <w:spacing w:after="0" w:line="276" w:lineRule="auto"/>
        <w:jc w:val="both"/>
        <w:rPr>
          <w:rFonts w:ascii="Times New Roman" w:eastAsia="Arial Unicode MS" w:hAnsi="Times New Roman" w:cs="Times New Roman"/>
          <w:bCs/>
          <w:color w:val="000000" w:themeColor="text1"/>
          <w:sz w:val="20"/>
        </w:rPr>
      </w:pPr>
    </w:p>
    <w:p w14:paraId="5409918F" w14:textId="77777777" w:rsidR="00A807E7" w:rsidRPr="00044ACB" w:rsidRDefault="00A807E7"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12 – PROVIDÊNCIAS A SEREM ADOTADAS PREVIAMENTE À CELEBRAÇÃO DO CONTRATO E AO INÍCIO DA EXECUÇÃO:</w:t>
      </w:r>
    </w:p>
    <w:p w14:paraId="73459B3F" w14:textId="7828E5EC"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12.1 – A celebração do contrato será precedida das providências técnicas, orçamentárias, administrativas e jurídicas necessárias à adequada instrução do procedimento licitatório, assegurando a consolidação do escopo, quantitativos, custos, condições de execução, responsabilidades e fontes de financiamento, de modo a reduzir riscos de alterações evitáveis, paralisações e incompatibilidades documentais.</w:t>
      </w:r>
    </w:p>
    <w:p w14:paraId="4FAE9423" w14:textId="77777777"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12.2 – A partir deste Estudo Técnico Preliminar e dos documentos de engenharia que instruem o processo, serão consolidados o Termo de Referência, a Matriz de Riscos e os demais elementos necessários à licitação, assegurando compatibilidade entre Projeto de Engenharia, Memorial Descritivo, Planilha de Levantamento de Quantidades, Planilha Orçamentária, Cronograma Físico-Financeiro e demais especificações. Eventuais divergências deverão ser corrigidas pelo responsável técnico antes da publicação do Edital.</w:t>
      </w:r>
    </w:p>
    <w:p w14:paraId="5EAFE85F" w14:textId="1D727488" w:rsidR="00044ACB" w:rsidRPr="00044ACB" w:rsidRDefault="00044ACB"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12.3 – A contratação deverá observar o planejamento municipal e ser submetida à certificação orçamentária e financeira pelo Setor de Contabilidade quanto às dotações e fontes destinadas ao empreendimento, considerando o repasse da União vinculado ao Convênio Transferegov.br nº 999672/2026 e os recursos provenientes da operação de crédito, destinados à complementação do valor necessário à cobertura integral da obra.</w:t>
      </w:r>
    </w:p>
    <w:p w14:paraId="6CA8FD23" w14:textId="7D7A7A39"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12.4 – Concluída a instrução técnica e orçamentária, o processo será submetido à Assessoria Jurídica do Município para exame prévio da legalidade da contratação, especialmente quanto à fase preparatória, modalidade licitatória, critérios de julgamento e habilitação, minuta do Edital, instrumento contratual e demais exigências da Lei Federal nº 14.133/2021 e do instrumento de transferência.</w:t>
      </w:r>
    </w:p>
    <w:p w14:paraId="7CF7CEA1" w14:textId="77777777"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12.5 – Após a manifestação jurídica e o atendimento das recomendações pertinentes, será promovida a Concorrência Eletrônica, com divulgação do Edital e de seus anexos nos meios legalmente exigidos e nos sistemas utilizados pelo Município, inclusive no Portal Nacional de Contratações Públicas – PNCP, </w:t>
      </w:r>
      <w:proofErr w:type="spellStart"/>
      <w:r w:rsidRPr="00044ACB">
        <w:rPr>
          <w:rFonts w:ascii="Times New Roman" w:eastAsia="Arial Unicode MS" w:hAnsi="Times New Roman" w:cs="Times New Roman"/>
          <w:color w:val="000000" w:themeColor="text1"/>
          <w:sz w:val="20"/>
        </w:rPr>
        <w:t>LicitaCon</w:t>
      </w:r>
      <w:proofErr w:type="spellEnd"/>
      <w:r w:rsidRPr="00044ACB">
        <w:rPr>
          <w:rFonts w:ascii="Times New Roman" w:eastAsia="Arial Unicode MS" w:hAnsi="Times New Roman" w:cs="Times New Roman"/>
          <w:color w:val="000000" w:themeColor="text1"/>
          <w:sz w:val="20"/>
        </w:rPr>
        <w:t>/RS, sítio eletrônico municipal e plataforma eletrônica destinada à sessão pública.</w:t>
      </w:r>
    </w:p>
    <w:p w14:paraId="3C80E7D7" w14:textId="77777777"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12.6 – O julgamento das propostas e a habilitação observarão os critérios estabelecidos no Edital, compreendendo a análise da documentação jurídica, fiscal, social, trabalhista, econômico-financeira e técnico-profissional, inclusive dos registros e acervos exigidos perante o CREA ou CAU, conforme as parcelas de maior relevância técnica ou valor significativo definidas no próprio Edital.</w:t>
      </w:r>
    </w:p>
    <w:p w14:paraId="303B3D10" w14:textId="77777777"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12.7 – Concluído o procedimento licitatório, com a adjudicação e homologação, serão verificadas, previamente à assinatura do contrato, a manutenção das condições de habilitação da vencedora e o atendimento das demais condições previstas no Edital. A Contratada deverá apresentar a garantia de execução no percentual e nas modalidades definidos nos documentos da contratação, observados os </w:t>
      </w:r>
      <w:proofErr w:type="spellStart"/>
      <w:r w:rsidRPr="00044ACB">
        <w:rPr>
          <w:rFonts w:ascii="Times New Roman" w:eastAsia="Arial Unicode MS" w:hAnsi="Times New Roman" w:cs="Times New Roman"/>
          <w:color w:val="000000" w:themeColor="text1"/>
          <w:sz w:val="20"/>
        </w:rPr>
        <w:t>arts</w:t>
      </w:r>
      <w:proofErr w:type="spellEnd"/>
      <w:r w:rsidRPr="00044ACB">
        <w:rPr>
          <w:rFonts w:ascii="Times New Roman" w:eastAsia="Arial Unicode MS" w:hAnsi="Times New Roman" w:cs="Times New Roman"/>
          <w:color w:val="000000" w:themeColor="text1"/>
          <w:sz w:val="20"/>
        </w:rPr>
        <w:t>. 96 a 100 da Lei Federal nº 14.133/2021.</w:t>
      </w:r>
    </w:p>
    <w:p w14:paraId="4C26336C" w14:textId="77777777"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12.8 – Serão formalmente designados o Gestor e os Fiscais Administrativo e Técnico do contrato, com definição de suas atribuições quanto ao acompanhamento da execução física e financeira, medições, controle dos serviços e materiais, registros de ocorrências e cumprimento das obrigações contratuais.</w:t>
      </w:r>
    </w:p>
    <w:p w14:paraId="5103DEA4" w14:textId="77777777"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12.9 – Os critérios de medição, recebimento, pagamento, controle tecnológico, comprovação dos serviços executados e tratamento de não conformidades deverão estar previamente estabelecidos no Termo de Referência, Projetos, Edital e Contrato, assegurando parâmetros objetivos para a fiscalização e a liquidação da despesa.</w:t>
      </w:r>
    </w:p>
    <w:p w14:paraId="1D9C4F83" w14:textId="77777777"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12.10 – Após a conclusão do procedimento licitatório e a formalização dos atos de competência municipal, deverão ser encaminhados à Caixa Econômica Federal – CAIXA os documentos e informações exigidos no âmbito do empreendimento, para análise e aceite, de acordo com os procedimentos aplicáveis ao instrumento de transferência e ao acompanhamento da execução.</w:t>
      </w:r>
    </w:p>
    <w:p w14:paraId="5CDD5ECA" w14:textId="77777777" w:rsidR="007925C2" w:rsidRPr="00044ACB" w:rsidRDefault="007925C2" w:rsidP="00044ACB">
      <w:pPr>
        <w:spacing w:after="0" w:line="276" w:lineRule="auto"/>
        <w:ind w:firstLine="708"/>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12.10.1 – A emissão da Ordem de Serviço ou Ordem de Início da Obra ficará expressamente condicionada ao prévio aceite da CAIXA, não sendo autorizado o início da execução física dos serviços enquanto não houver a correspondente manifestação favorável da instituição.</w:t>
      </w:r>
    </w:p>
    <w:p w14:paraId="5DB3492B" w14:textId="3F569EA0" w:rsidR="007925C2" w:rsidRPr="00044ACB" w:rsidRDefault="007925C2"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12.10.2 – Eventuais exigências, ressalvas ou solicitações de complementação formuladas pela CAIXA deverão ser previamente atendidas pelo Município e, quando relacionadas à futura execução contratual, pela Contratada, no âmbito de suas respectivas responsabilidades, antes da emissão da Ordem de Início.</w:t>
      </w:r>
    </w:p>
    <w:p w14:paraId="3162158F" w14:textId="3367D67D" w:rsidR="00BC497D" w:rsidRPr="00044ACB" w:rsidRDefault="007925C2" w:rsidP="00044ACB">
      <w:pPr>
        <w:spacing w:after="0" w:line="276" w:lineRule="auto"/>
        <w:jc w:val="both"/>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color w:val="000000" w:themeColor="text1"/>
          <w:sz w:val="20"/>
        </w:rPr>
        <w:t xml:space="preserve">12.11 – Atendidas as condições contratuais, apresentada e aceita a documentação técnica exigida para o início da execução, inclusive </w:t>
      </w:r>
      <w:proofErr w:type="spellStart"/>
      <w:r w:rsidRPr="00044ACB">
        <w:rPr>
          <w:rFonts w:ascii="Times New Roman" w:eastAsia="Arial Unicode MS" w:hAnsi="Times New Roman" w:cs="Times New Roman"/>
          <w:color w:val="000000" w:themeColor="text1"/>
          <w:sz w:val="20"/>
        </w:rPr>
        <w:t>ARTs</w:t>
      </w:r>
      <w:proofErr w:type="spellEnd"/>
      <w:r w:rsidRPr="00044ACB">
        <w:rPr>
          <w:rFonts w:ascii="Times New Roman" w:eastAsia="Arial Unicode MS" w:hAnsi="Times New Roman" w:cs="Times New Roman"/>
          <w:color w:val="000000" w:themeColor="text1"/>
          <w:sz w:val="20"/>
        </w:rPr>
        <w:t>/</w:t>
      </w:r>
      <w:proofErr w:type="spellStart"/>
      <w:r w:rsidRPr="00044ACB">
        <w:rPr>
          <w:rFonts w:ascii="Times New Roman" w:eastAsia="Arial Unicode MS" w:hAnsi="Times New Roman" w:cs="Times New Roman"/>
          <w:color w:val="000000" w:themeColor="text1"/>
          <w:sz w:val="20"/>
        </w:rPr>
        <w:t>RRTs</w:t>
      </w:r>
      <w:proofErr w:type="spellEnd"/>
      <w:r w:rsidRPr="00044ACB">
        <w:rPr>
          <w:rFonts w:ascii="Times New Roman" w:eastAsia="Arial Unicode MS" w:hAnsi="Times New Roman" w:cs="Times New Roman"/>
          <w:color w:val="000000" w:themeColor="text1"/>
          <w:sz w:val="20"/>
        </w:rPr>
        <w:t>, Plano de Trabalho da Contratada, Projeto de CBUQ e demais documentos previstos no Termo de Referência, e obtido o aceite da CAIXA, a Administração poderá emitir formalmente a Ordem de Serviço, a partir da qual será contado o prazo de execução da obra.</w:t>
      </w:r>
    </w:p>
    <w:p w14:paraId="7B3F706C" w14:textId="77777777" w:rsidR="007925C2" w:rsidRPr="00044ACB" w:rsidRDefault="007925C2" w:rsidP="00044ACB">
      <w:pPr>
        <w:spacing w:after="0" w:line="276" w:lineRule="auto"/>
        <w:jc w:val="both"/>
        <w:rPr>
          <w:rFonts w:ascii="Times New Roman" w:eastAsia="Arial Unicode MS" w:hAnsi="Times New Roman" w:cs="Times New Roman"/>
          <w:b/>
          <w:color w:val="000000" w:themeColor="text1"/>
          <w:sz w:val="20"/>
        </w:rPr>
      </w:pPr>
    </w:p>
    <w:p w14:paraId="1AE1EA24" w14:textId="791023EF" w:rsidR="006E786C" w:rsidRPr="00044ACB" w:rsidRDefault="006E786C"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1</w:t>
      </w:r>
      <w:r w:rsidR="0024760C" w:rsidRPr="00044ACB">
        <w:rPr>
          <w:rFonts w:ascii="Times New Roman" w:eastAsia="Arial Unicode MS" w:hAnsi="Times New Roman" w:cs="Times New Roman"/>
          <w:b/>
          <w:color w:val="000000" w:themeColor="text1"/>
          <w:sz w:val="20"/>
        </w:rPr>
        <w:t>3</w:t>
      </w:r>
      <w:r w:rsidRPr="00044ACB">
        <w:rPr>
          <w:rFonts w:ascii="Times New Roman" w:eastAsia="Arial Unicode MS" w:hAnsi="Times New Roman" w:cs="Times New Roman"/>
          <w:b/>
          <w:color w:val="000000" w:themeColor="text1"/>
          <w:sz w:val="20"/>
        </w:rPr>
        <w:t xml:space="preserve"> – POSSÍVEIS IMPACTOS AMBIENTAIS E TRATAMENTOS:</w:t>
      </w:r>
    </w:p>
    <w:p w14:paraId="4DD4C95B"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13.1 – A execução da obra de pavimentação asfáltica da EGP 09 – trecho Centro – Recanto dos Brandt – Santa Manoela envolve intervenções de terraplenagem, </w:t>
      </w:r>
      <w:proofErr w:type="spellStart"/>
      <w:r w:rsidRPr="00044ACB">
        <w:rPr>
          <w:rFonts w:ascii="Times New Roman" w:eastAsia="Arial Unicode MS" w:hAnsi="Times New Roman" w:cs="Times New Roman"/>
          <w:color w:val="000000" w:themeColor="text1"/>
          <w:sz w:val="20"/>
        </w:rPr>
        <w:t>microdrenagem</w:t>
      </w:r>
      <w:proofErr w:type="spellEnd"/>
      <w:r w:rsidRPr="00044ACB">
        <w:rPr>
          <w:rFonts w:ascii="Times New Roman" w:eastAsia="Arial Unicode MS" w:hAnsi="Times New Roman" w:cs="Times New Roman"/>
          <w:color w:val="000000" w:themeColor="text1"/>
          <w:sz w:val="20"/>
        </w:rPr>
        <w:t>, implantação das camadas do pavimento e sinalização, atividades que poderão ocasionar impactos ambientais temporários e localizados durante a fase de execução, especialmente em razão da movimentação de solo, circulação de máquinas e veículos, geração de poeira e resíduos e alteração temporária das condições de drenagem superficial.</w:t>
      </w:r>
    </w:p>
    <w:p w14:paraId="773D7B27"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13.2 – Entre os principais impactos passíveis de ocorrência destacam-se a emissão de poeira e material particulado, geração de ruídos, exposição temporária do solo, carreamento de sedimentos, ocorrência de processos erosivos, geração de resíduos e risco de contaminação decorrente do manuseio inadequado de combustíveis, óleos, emulsões e demais insumos utilizados na obra. Tais impactos possuem caráter predominantemente temporário e deverão ser prevenidos ou mitigados mediante adequada organização e condução dos serviços.</w:t>
      </w:r>
    </w:p>
    <w:p w14:paraId="0CAA71DF"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13.3 – Durante a execução deverão ser adotadas medidas compatíveis com a natureza e a intensidade dos impactos identificados, compreendendo, especialmente, controle de poeira, prevenção de erosões e carreamento de sedimentos, proteção e manutenção dos dispositivos de drenagem, organização e limpeza da frente de obra, acondicionamento e destinação adequada dos resíduos e adoção de cuidados destinados a evitar derramamentos ou contaminações do solo e das águas.</w:t>
      </w:r>
    </w:p>
    <w:p w14:paraId="01DF1E4E"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13.4 – O manejo dos materiais provenientes das escavações deverá observar o disposto no Memorial Descritivo, que prevê o aproveitamento do material excedente na conformação dos taludes ao longo da via, não havendo previsão de bota-fora. Ao término dos serviços, deverão ser retirados equipamentos, materiais remanescentes e entulhos, deixando-se a área em condições adequadas de utilização. </w:t>
      </w:r>
    </w:p>
    <w:p w14:paraId="679A42D7" w14:textId="77777777"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13.5 – A implantação da </w:t>
      </w:r>
      <w:proofErr w:type="spellStart"/>
      <w:r w:rsidRPr="00044ACB">
        <w:rPr>
          <w:rFonts w:ascii="Times New Roman" w:eastAsia="Arial Unicode MS" w:hAnsi="Times New Roman" w:cs="Times New Roman"/>
          <w:color w:val="000000" w:themeColor="text1"/>
          <w:sz w:val="20"/>
        </w:rPr>
        <w:t>microdrenagem</w:t>
      </w:r>
      <w:proofErr w:type="spellEnd"/>
      <w:r w:rsidRPr="00044ACB">
        <w:rPr>
          <w:rFonts w:ascii="Times New Roman" w:eastAsia="Arial Unicode MS" w:hAnsi="Times New Roman" w:cs="Times New Roman"/>
          <w:color w:val="000000" w:themeColor="text1"/>
          <w:sz w:val="20"/>
        </w:rPr>
        <w:t xml:space="preserve"> constitui também medida destinada à adequada condução das águas superficiais e à proteção da própria infraestrutura viária. O projeto contempla dispositivos voltados à coleta e ao direcionamento das águas, inclusive sarjetas destinadas a reduzir processos erosivos e danos ao pavimento. </w:t>
      </w:r>
    </w:p>
    <w:p w14:paraId="7BB90D18" w14:textId="77777777" w:rsidR="00C16A31" w:rsidRPr="00044ACB" w:rsidRDefault="00C16A31"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13.6 – A obra conta com Autorização Ambiental expedida pelo Departamento de Meio Ambiente, integrante dos documentos que instruem a contratação. A execução dos serviços deverá observar integralmente as condições, orientações e eventuais condicionantes estabelecidas no referido documento, bem como as demais normas ambientais aplicáveis, cabendo à Contratada cumprir as obrigações que lhe forem atribuídas e adotar as medidas necessárias à prevenção e mitigação dos impactos decorrentes de sua atuação.</w:t>
      </w:r>
    </w:p>
    <w:p w14:paraId="2912B05C" w14:textId="3AB98F3E" w:rsidR="00345C3A" w:rsidRPr="00044ACB" w:rsidRDefault="00345C3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13.7 – A Contratada responderá pela adoção das medidas de prevenção e mitigação dos impactos decorrentes de sua atuação, bem como pela reparação de danos ambientais que lhe sejam imputáveis, sem prejuízo da fiscalização exercida pelo Município. A Administração poderá determinar a correção de procedimentos inadequados, a adoção de medidas mitigadoras ou, quando necessário, a paralisação de atividades executadas em desconformidade com as exigências técnicas, ambientais ou contratuais.</w:t>
      </w:r>
    </w:p>
    <w:p w14:paraId="2ECD060D" w14:textId="77777777" w:rsidR="002E7B24" w:rsidRPr="00044ACB" w:rsidRDefault="002E7B24" w:rsidP="00044ACB">
      <w:pPr>
        <w:spacing w:after="0" w:line="276" w:lineRule="auto"/>
        <w:jc w:val="both"/>
        <w:rPr>
          <w:rFonts w:ascii="Times New Roman" w:eastAsia="Arial Unicode MS" w:hAnsi="Times New Roman" w:cs="Times New Roman"/>
          <w:color w:val="000000" w:themeColor="text1"/>
          <w:sz w:val="20"/>
        </w:rPr>
      </w:pPr>
    </w:p>
    <w:p w14:paraId="7E137712" w14:textId="77777777" w:rsidR="0034161A" w:rsidRPr="00044ACB" w:rsidRDefault="0052336E"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1</w:t>
      </w:r>
      <w:r w:rsidR="003978C7" w:rsidRPr="00044ACB">
        <w:rPr>
          <w:rFonts w:ascii="Times New Roman" w:eastAsia="Arial Unicode MS" w:hAnsi="Times New Roman" w:cs="Times New Roman"/>
          <w:b/>
          <w:color w:val="000000" w:themeColor="text1"/>
          <w:sz w:val="20"/>
        </w:rPr>
        <w:t>4</w:t>
      </w:r>
      <w:r w:rsidR="0034161A" w:rsidRPr="00044ACB">
        <w:rPr>
          <w:rFonts w:ascii="Times New Roman" w:eastAsia="Arial Unicode MS" w:hAnsi="Times New Roman" w:cs="Times New Roman"/>
          <w:b/>
          <w:color w:val="000000" w:themeColor="text1"/>
          <w:sz w:val="20"/>
        </w:rPr>
        <w:t xml:space="preserve"> – POSICIONAMENTO CONCLUSIVO SOBRE A ADEQUAÇÃO DA CONTRATAÇÃO</w:t>
      </w:r>
      <w:r w:rsidR="00F04BF3" w:rsidRPr="00044ACB">
        <w:rPr>
          <w:rFonts w:ascii="Times New Roman" w:eastAsia="Arial Unicode MS" w:hAnsi="Times New Roman" w:cs="Times New Roman"/>
          <w:b/>
          <w:color w:val="000000" w:themeColor="text1"/>
          <w:sz w:val="20"/>
        </w:rPr>
        <w:t>:</w:t>
      </w:r>
    </w:p>
    <w:p w14:paraId="6A92C306" w14:textId="2C547AD8" w:rsidR="00A62D9A" w:rsidRPr="00044ACB" w:rsidRDefault="00A62D9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14.1 – A partir da análise integrada da necessidade administrativa, das condições do trecho, das alternativas disponíveis e dos elementos técnicos que compõem o planejamento da contratação, conclui-se que a contratação de empresa especializada para a execução da obra de</w:t>
      </w:r>
      <w:r w:rsidR="001865C4" w:rsidRPr="00044ACB">
        <w:rPr>
          <w:rFonts w:ascii="Times New Roman" w:eastAsia="Arial Unicode MS" w:hAnsi="Times New Roman" w:cs="Times New Roman"/>
          <w:color w:val="000000" w:themeColor="text1"/>
          <w:sz w:val="20"/>
        </w:rPr>
        <w:t xml:space="preserve"> trecho da</w:t>
      </w:r>
      <w:r w:rsidRPr="00044ACB">
        <w:rPr>
          <w:rFonts w:ascii="Times New Roman" w:eastAsia="Arial Unicode MS" w:hAnsi="Times New Roman" w:cs="Times New Roman"/>
          <w:color w:val="000000" w:themeColor="text1"/>
          <w:sz w:val="20"/>
        </w:rPr>
        <w:t xml:space="preserve"> pavimentação asfáltica da EGP 09 mostra-se adequada e necessária ao atendimento do interesse público, apresentando viabilidade técnica, operacional, econômica e financeira.</w:t>
      </w:r>
    </w:p>
    <w:p w14:paraId="1B50A974" w14:textId="77777777" w:rsidR="00A62D9A" w:rsidRPr="00044ACB" w:rsidRDefault="00A62D9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14.2 – A necessidade identificada decorre das atuais limitações de infraestrutura do trecho não pavimentado, que repercutem sobre as condições de trafegabilidade, segurança e regularidade dos deslocamentos, especialmente em períodos de estiagem e de maior precipitação. A intervenção busca proporcionar melhores condições de circulação e drenagem, beneficiando os moradores e usuários da via, o transporte escolar, o deslocamento de trabalhadores e as atividades produtivas desenvolvidas nas localidades atendidas.</w:t>
      </w:r>
    </w:p>
    <w:p w14:paraId="00818CAE" w14:textId="61981D40" w:rsidR="00A62D9A" w:rsidRPr="00044ACB" w:rsidRDefault="00A62D9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14.3 – A solução contempla, de forma integrada, os serviços de terraplenagem e preparação do subleito, implantação de </w:t>
      </w:r>
      <w:proofErr w:type="spellStart"/>
      <w:r w:rsidRPr="00044ACB">
        <w:rPr>
          <w:rFonts w:ascii="Times New Roman" w:eastAsia="Arial Unicode MS" w:hAnsi="Times New Roman" w:cs="Times New Roman"/>
          <w:color w:val="000000" w:themeColor="text1"/>
          <w:sz w:val="20"/>
        </w:rPr>
        <w:t>microdrenagem</w:t>
      </w:r>
      <w:proofErr w:type="spellEnd"/>
      <w:r w:rsidRPr="00044ACB">
        <w:rPr>
          <w:rFonts w:ascii="Times New Roman" w:eastAsia="Arial Unicode MS" w:hAnsi="Times New Roman" w:cs="Times New Roman"/>
          <w:color w:val="000000" w:themeColor="text1"/>
          <w:sz w:val="20"/>
        </w:rPr>
        <w:t xml:space="preserve">, execução das camadas estruturais do pavimento, imprimação, pintura de ligação, pavimentação em CBUQ e sinalização viária, conforme definido nos projetos, Memorial Descritivo e demais documentos técnicos da obra. </w:t>
      </w:r>
    </w:p>
    <w:p w14:paraId="04FE91E8" w14:textId="77777777" w:rsidR="00A62D9A" w:rsidRPr="00044ACB" w:rsidRDefault="00A62D9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14.4 – A pavimentação asfáltica em CBUQ foi selecionada após a avaliação das alternativas consideradas neste Estudo Técnico Preliminar, por apresentar maior adequação ao conjunto de características da EGP 09, especialmente quanto ao desempenho esperado para o tráfego existente, regularidade da superfície de rolamento, condições de execução, disponibilidade de mercado e relação entre o investimento necessário e os resultados pretendidos.</w:t>
      </w:r>
    </w:p>
    <w:p w14:paraId="412D46BC" w14:textId="77777777" w:rsidR="00044ACB" w:rsidRPr="00044ACB" w:rsidRDefault="00044ACB"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 xml:space="preserve">14.5 – A viabilidade financeira do empreendimento encontra respaldo no repasse da União vinculado ao Convênio Transferegov.br nº 999672/2026, no valor de R$ 477.500,00, e nos recursos provenientes de operação de crédito – financiamento junto ao </w:t>
      </w:r>
      <w:proofErr w:type="spellStart"/>
      <w:r w:rsidRPr="00044ACB">
        <w:rPr>
          <w:rFonts w:ascii="Times New Roman" w:eastAsia="Arial Unicode MS" w:hAnsi="Times New Roman" w:cs="Times New Roman"/>
          <w:color w:val="000000" w:themeColor="text1"/>
          <w:sz w:val="20"/>
        </w:rPr>
        <w:t>Badesul</w:t>
      </w:r>
      <w:proofErr w:type="spellEnd"/>
      <w:r w:rsidRPr="00044ACB">
        <w:rPr>
          <w:rFonts w:ascii="Times New Roman" w:eastAsia="Arial Unicode MS" w:hAnsi="Times New Roman" w:cs="Times New Roman"/>
          <w:color w:val="000000" w:themeColor="text1"/>
          <w:sz w:val="20"/>
        </w:rPr>
        <w:t>. Considerando que o valor estimado da obra corresponde a R$ 1.055.236,63, o financiamento será utilizado para complementar o montante necessário à execução integral do empreendimento, correspondente a R$ 577.736,63, assegurando a cobertura da despesa prevista.</w:t>
      </w:r>
    </w:p>
    <w:p w14:paraId="21430B5B" w14:textId="74BAE698" w:rsidR="00A62D9A" w:rsidRPr="00044ACB" w:rsidRDefault="00A62D9A"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14.</w:t>
      </w:r>
      <w:r w:rsidR="001865C4" w:rsidRPr="00044ACB">
        <w:rPr>
          <w:rFonts w:ascii="Times New Roman" w:eastAsia="Arial Unicode MS" w:hAnsi="Times New Roman" w:cs="Times New Roman"/>
          <w:color w:val="000000" w:themeColor="text1"/>
          <w:sz w:val="20"/>
        </w:rPr>
        <w:t>6</w:t>
      </w:r>
      <w:r w:rsidRPr="00044ACB">
        <w:rPr>
          <w:rFonts w:ascii="Times New Roman" w:eastAsia="Arial Unicode MS" w:hAnsi="Times New Roman" w:cs="Times New Roman"/>
          <w:color w:val="000000" w:themeColor="text1"/>
          <w:sz w:val="20"/>
        </w:rPr>
        <w:t xml:space="preserve"> – Diante do conjunto de elementos examinados neste Estudo Técnico Preliminar, conclui-se pela viabilidade e adequação da contratação, por constituir solução apta a atender à necessidade identificada, com potencial para proporcionar melhoria permanente das condições de infraestrutura, trafegabilidade, segurança viária e integração entre o Centro e as localidades de Recanto dos Brandt e Santa Manoela, observadas as condições técnicas, orçamentárias, ambientais e administrativas estabelecidas nos documentos que instruem o processo.</w:t>
      </w:r>
    </w:p>
    <w:p w14:paraId="1E6CA924" w14:textId="77777777" w:rsidR="000175DE" w:rsidRPr="00044ACB" w:rsidRDefault="000175DE" w:rsidP="00044ACB">
      <w:pPr>
        <w:spacing w:after="0" w:line="276" w:lineRule="auto"/>
        <w:jc w:val="both"/>
        <w:rPr>
          <w:rFonts w:ascii="Times New Roman" w:eastAsia="Arial Unicode MS" w:hAnsi="Times New Roman" w:cs="Times New Roman"/>
          <w:bCs/>
          <w:color w:val="000000" w:themeColor="text1"/>
          <w:sz w:val="20"/>
        </w:rPr>
      </w:pPr>
    </w:p>
    <w:p w14:paraId="55DB6892" w14:textId="77777777" w:rsidR="006E786C" w:rsidRPr="00044ACB" w:rsidRDefault="006E786C"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1</w:t>
      </w:r>
      <w:r w:rsidR="003978C7" w:rsidRPr="00044ACB">
        <w:rPr>
          <w:rFonts w:ascii="Times New Roman" w:eastAsia="Arial Unicode MS" w:hAnsi="Times New Roman" w:cs="Times New Roman"/>
          <w:b/>
          <w:color w:val="000000" w:themeColor="text1"/>
          <w:sz w:val="20"/>
        </w:rPr>
        <w:t>5</w:t>
      </w:r>
      <w:r w:rsidRPr="00044ACB">
        <w:rPr>
          <w:rFonts w:ascii="Times New Roman" w:eastAsia="Arial Unicode MS" w:hAnsi="Times New Roman" w:cs="Times New Roman"/>
          <w:b/>
          <w:color w:val="000000" w:themeColor="text1"/>
          <w:sz w:val="20"/>
        </w:rPr>
        <w:t xml:space="preserve"> – ANEXOS: </w:t>
      </w:r>
    </w:p>
    <w:p w14:paraId="7A3A68E4" w14:textId="724DACF5" w:rsidR="0011415F" w:rsidRPr="00044ACB" w:rsidRDefault="0011415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15.1 – Integram o presente Estudo Técnico Preliminar e os autos do processo administrativo, para fundamentação e instrução da contratação, os documentos técnicos, orçamentários, ambientais e administrativos, organizados da seguinte forma:</w:t>
      </w:r>
    </w:p>
    <w:p w14:paraId="2DD6FA13" w14:textId="50C7A180" w:rsidR="0011415F" w:rsidRPr="00044ACB" w:rsidRDefault="0011415F" w:rsidP="00044ACB">
      <w:pPr>
        <w:spacing w:after="0" w:line="276" w:lineRule="auto"/>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I – DOCUMENTOS RELATIVOS AOS RECURSOS, AO CONVÊNIO E À REGULARIDADE DO EMPREENDIMENTO:</w:t>
      </w:r>
    </w:p>
    <w:p w14:paraId="2B447F7F" w14:textId="7B64971E" w:rsidR="0011415F" w:rsidRPr="00044ACB" w:rsidRDefault="0011415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b/>
          <w:bCs/>
          <w:color w:val="000000" w:themeColor="text1"/>
          <w:sz w:val="20"/>
        </w:rPr>
        <w:tab/>
      </w:r>
      <w:r w:rsidRPr="00044ACB">
        <w:rPr>
          <w:rFonts w:ascii="Times New Roman" w:eastAsia="Arial Unicode MS" w:hAnsi="Times New Roman" w:cs="Times New Roman"/>
          <w:color w:val="000000" w:themeColor="text1"/>
          <w:sz w:val="20"/>
        </w:rPr>
        <w:t xml:space="preserve">a) Termo de Convênio Transferegov.br nº 999672/2026 </w:t>
      </w:r>
      <w:r w:rsidR="00301324" w:rsidRPr="00044ACB">
        <w:rPr>
          <w:rFonts w:ascii="Times New Roman" w:eastAsia="Arial Unicode MS" w:hAnsi="Times New Roman" w:cs="Times New Roman"/>
          <w:color w:val="000000" w:themeColor="text1"/>
          <w:sz w:val="20"/>
        </w:rPr>
        <w:t>e respectiva publicação no Diário Oficial da União (DOU);</w:t>
      </w:r>
      <w:r w:rsidR="007925C2" w:rsidRPr="00044ACB">
        <w:rPr>
          <w:rFonts w:ascii="Times New Roman" w:eastAsia="Arial Unicode MS" w:hAnsi="Times New Roman" w:cs="Times New Roman"/>
          <w:color w:val="000000" w:themeColor="text1"/>
          <w:sz w:val="20"/>
        </w:rPr>
        <w:t xml:space="preserve"> </w:t>
      </w:r>
    </w:p>
    <w:p w14:paraId="27901255" w14:textId="7C2AB72E" w:rsidR="001865C4" w:rsidRPr="00044ACB" w:rsidRDefault="0011415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7925C2" w:rsidRPr="00044ACB">
        <w:rPr>
          <w:rFonts w:ascii="Times New Roman" w:eastAsia="Arial Unicode MS" w:hAnsi="Times New Roman" w:cs="Times New Roman"/>
          <w:color w:val="000000" w:themeColor="text1"/>
          <w:sz w:val="20"/>
        </w:rPr>
        <w:t>b</w:t>
      </w:r>
      <w:r w:rsidRPr="00044ACB">
        <w:rPr>
          <w:rFonts w:ascii="Times New Roman" w:eastAsia="Arial Unicode MS" w:hAnsi="Times New Roman" w:cs="Times New Roman"/>
          <w:color w:val="000000" w:themeColor="text1"/>
          <w:sz w:val="20"/>
        </w:rPr>
        <w:t xml:space="preserve">) </w:t>
      </w:r>
      <w:r w:rsidR="00301324" w:rsidRPr="00044ACB">
        <w:rPr>
          <w:rFonts w:ascii="Times New Roman" w:eastAsia="Arial Unicode MS" w:hAnsi="Times New Roman" w:cs="Times New Roman"/>
          <w:color w:val="000000" w:themeColor="text1"/>
          <w:sz w:val="20"/>
        </w:rPr>
        <w:t>Autorização Ambiental, expedida pelo Departamento de Meio Ambiente,</w:t>
      </w:r>
      <w:r w:rsidRPr="00044ACB">
        <w:rPr>
          <w:rFonts w:ascii="Times New Roman" w:eastAsia="Arial Unicode MS" w:hAnsi="Times New Roman" w:cs="Times New Roman"/>
          <w:color w:val="000000" w:themeColor="text1"/>
          <w:sz w:val="20"/>
        </w:rPr>
        <w:t xml:space="preserve"> aplicáveis à execução da obra, acompanhados das respectivas condicionantes, quando existentes</w:t>
      </w:r>
      <w:r w:rsidR="00044ACB" w:rsidRPr="00044ACB">
        <w:rPr>
          <w:rFonts w:ascii="Times New Roman" w:eastAsia="Arial Unicode MS" w:hAnsi="Times New Roman" w:cs="Times New Roman"/>
          <w:color w:val="000000" w:themeColor="text1"/>
          <w:sz w:val="20"/>
        </w:rPr>
        <w:t>;</w:t>
      </w:r>
    </w:p>
    <w:p w14:paraId="72AD3F5C" w14:textId="2B423B6D" w:rsidR="00044ACB" w:rsidRPr="00044ACB" w:rsidRDefault="00044ACB"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t>c) documentos relativos à operação de crédito – financiamento junto a agência de fomento, destinada à complementação dos recursos necessários à execução integral do empreendimento;</w:t>
      </w:r>
    </w:p>
    <w:p w14:paraId="5C2F51B0" w14:textId="158B90E2" w:rsidR="0011415F" w:rsidRPr="00044ACB" w:rsidRDefault="0011415F"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b/>
          <w:bCs/>
          <w:color w:val="000000" w:themeColor="text1"/>
          <w:sz w:val="20"/>
        </w:rPr>
        <w:t>II – PROJETO DE ENGENHARIA E ESTUDOS TÉCNICOS:</w:t>
      </w:r>
    </w:p>
    <w:p w14:paraId="1E5DA821" w14:textId="450CC412"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a) Memorial Descritivo – documento que define o escopo da obra e estabelece os serviços, materiais, métodos executivos, controles e demais condições técnicas aplicáveis;</w:t>
      </w:r>
    </w:p>
    <w:p w14:paraId="0A07AFA4" w14:textId="6A7C9198"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 xml:space="preserve">b) Plantas </w:t>
      </w:r>
      <w:r w:rsidR="001865C4" w:rsidRPr="00044ACB">
        <w:rPr>
          <w:rFonts w:ascii="Times New Roman" w:eastAsia="Arial Unicode MS" w:hAnsi="Times New Roman" w:cs="Times New Roman"/>
          <w:color w:val="000000" w:themeColor="text1"/>
          <w:sz w:val="20"/>
        </w:rPr>
        <w:t>Técnicas</w:t>
      </w:r>
      <w:r w:rsidR="0011415F" w:rsidRPr="00044ACB">
        <w:rPr>
          <w:rFonts w:ascii="Times New Roman" w:eastAsia="Arial Unicode MS" w:hAnsi="Times New Roman" w:cs="Times New Roman"/>
          <w:color w:val="000000" w:themeColor="text1"/>
          <w:sz w:val="20"/>
        </w:rPr>
        <w:t xml:space="preserve"> – conjunto de desenhos técnicos que representam </w:t>
      </w:r>
      <w:r w:rsidR="001865C4" w:rsidRPr="00044ACB">
        <w:rPr>
          <w:rFonts w:ascii="Times New Roman" w:eastAsia="Arial Unicode MS" w:hAnsi="Times New Roman" w:cs="Times New Roman"/>
          <w:color w:val="000000" w:themeColor="text1"/>
          <w:sz w:val="20"/>
        </w:rPr>
        <w:t xml:space="preserve">os </w:t>
      </w:r>
      <w:r w:rsidR="0011415F" w:rsidRPr="00044ACB">
        <w:rPr>
          <w:rFonts w:ascii="Times New Roman" w:eastAsia="Arial Unicode MS" w:hAnsi="Times New Roman" w:cs="Times New Roman"/>
          <w:color w:val="000000" w:themeColor="text1"/>
          <w:sz w:val="20"/>
        </w:rPr>
        <w:t>detalhes de pavimentação, drenagem, sinalização e demais elementos necessários à execução da obra;</w:t>
      </w:r>
    </w:p>
    <w:p w14:paraId="63E9DC26" w14:textId="1D134643"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c) Estudo Topográfico;</w:t>
      </w:r>
    </w:p>
    <w:p w14:paraId="1DAF9924" w14:textId="077B3DA7"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d) Estudo Hidrológico;</w:t>
      </w:r>
    </w:p>
    <w:p w14:paraId="7492ACCD" w14:textId="1DF8E3D2"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e) Estudo Geotécnico/Geológico; e</w:t>
      </w:r>
    </w:p>
    <w:p w14:paraId="39FC338D" w14:textId="7048B2F2"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f) Estudo de Tráfego.</w:t>
      </w:r>
    </w:p>
    <w:p w14:paraId="1B528476" w14:textId="2641D85D" w:rsidR="0011415F" w:rsidRPr="00044ACB" w:rsidRDefault="0011415F" w:rsidP="00044ACB">
      <w:pPr>
        <w:spacing w:after="0" w:line="276" w:lineRule="auto"/>
        <w:jc w:val="both"/>
        <w:rPr>
          <w:rFonts w:ascii="Times New Roman" w:eastAsia="Arial Unicode MS" w:hAnsi="Times New Roman" w:cs="Times New Roman"/>
          <w:b/>
          <w:bCs/>
          <w:color w:val="000000" w:themeColor="text1"/>
          <w:sz w:val="20"/>
        </w:rPr>
      </w:pPr>
      <w:r w:rsidRPr="00044ACB">
        <w:rPr>
          <w:rFonts w:ascii="Times New Roman" w:eastAsia="Arial Unicode MS" w:hAnsi="Times New Roman" w:cs="Times New Roman"/>
          <w:b/>
          <w:bCs/>
          <w:color w:val="000000" w:themeColor="text1"/>
          <w:sz w:val="20"/>
        </w:rPr>
        <w:t>III – DOCUMENTOS ORÇAMENTÁRIOS, DE PROGRAMAÇÃO E RESPONSABILIDADE TÉCNICA:</w:t>
      </w:r>
    </w:p>
    <w:p w14:paraId="47B06D59" w14:textId="077C2B6D"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 xml:space="preserve">a) Planilha Orçamentária </w:t>
      </w:r>
      <w:r w:rsidR="001865C4" w:rsidRPr="00044ACB">
        <w:rPr>
          <w:rFonts w:ascii="Times New Roman" w:eastAsia="Arial Unicode MS" w:hAnsi="Times New Roman" w:cs="Times New Roman"/>
          <w:color w:val="000000" w:themeColor="text1"/>
          <w:sz w:val="20"/>
        </w:rPr>
        <w:t>(</w:t>
      </w:r>
      <w:r w:rsidR="0011415F" w:rsidRPr="00044ACB">
        <w:rPr>
          <w:rFonts w:ascii="Times New Roman" w:eastAsia="Arial Unicode MS" w:hAnsi="Times New Roman" w:cs="Times New Roman"/>
          <w:color w:val="000000" w:themeColor="text1"/>
          <w:sz w:val="20"/>
        </w:rPr>
        <w:t>PO</w:t>
      </w:r>
      <w:r w:rsidR="001865C4" w:rsidRPr="00044ACB">
        <w:rPr>
          <w:rFonts w:ascii="Times New Roman" w:eastAsia="Arial Unicode MS" w:hAnsi="Times New Roman" w:cs="Times New Roman"/>
          <w:color w:val="000000" w:themeColor="text1"/>
          <w:sz w:val="20"/>
        </w:rPr>
        <w:t>)</w:t>
      </w:r>
      <w:r w:rsidR="0011415F" w:rsidRPr="00044ACB">
        <w:rPr>
          <w:rFonts w:ascii="Times New Roman" w:eastAsia="Arial Unicode MS" w:hAnsi="Times New Roman" w:cs="Times New Roman"/>
          <w:color w:val="000000" w:themeColor="text1"/>
          <w:sz w:val="20"/>
        </w:rPr>
        <w:t xml:space="preserve"> – documento que consolida os serviços integrantes da obra, respectivas unidades, quantitativos, custos unitários, incidência de BDI e valores totais, constituindo a referência para definição do valor estimado da contratação;</w:t>
      </w:r>
    </w:p>
    <w:p w14:paraId="565FB7F0" w14:textId="42BE6CE5"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 xml:space="preserve">b) Planilha de Levantamento de Quantidades </w:t>
      </w:r>
      <w:r w:rsidR="001865C4" w:rsidRPr="00044ACB">
        <w:rPr>
          <w:rFonts w:ascii="Times New Roman" w:eastAsia="Arial Unicode MS" w:hAnsi="Times New Roman" w:cs="Times New Roman"/>
          <w:color w:val="000000" w:themeColor="text1"/>
          <w:sz w:val="20"/>
        </w:rPr>
        <w:t>(</w:t>
      </w:r>
      <w:r w:rsidR="0011415F" w:rsidRPr="00044ACB">
        <w:rPr>
          <w:rFonts w:ascii="Times New Roman" w:eastAsia="Arial Unicode MS" w:hAnsi="Times New Roman" w:cs="Times New Roman"/>
          <w:color w:val="000000" w:themeColor="text1"/>
          <w:sz w:val="20"/>
        </w:rPr>
        <w:t>PLQ</w:t>
      </w:r>
      <w:r w:rsidR="001865C4" w:rsidRPr="00044ACB">
        <w:rPr>
          <w:rFonts w:ascii="Times New Roman" w:eastAsia="Arial Unicode MS" w:hAnsi="Times New Roman" w:cs="Times New Roman"/>
          <w:color w:val="000000" w:themeColor="text1"/>
          <w:sz w:val="20"/>
        </w:rPr>
        <w:t>)</w:t>
      </w:r>
      <w:r w:rsidR="0011415F" w:rsidRPr="00044ACB">
        <w:rPr>
          <w:rFonts w:ascii="Times New Roman" w:eastAsia="Arial Unicode MS" w:hAnsi="Times New Roman" w:cs="Times New Roman"/>
          <w:color w:val="000000" w:themeColor="text1"/>
          <w:sz w:val="20"/>
        </w:rPr>
        <w:t xml:space="preserve"> – documento que discrimina os quantitativos dos serviços previstos no projeto e apresenta as respectivas memórias de cálculo;</w:t>
      </w:r>
    </w:p>
    <w:p w14:paraId="31204C67" w14:textId="1E645D4B"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c) Composições de Custos Unitários – detalhamento dos insumos, mão de obra, equipamentos e demais componentes utilizados na formação dos custos unitários dos serviços;</w:t>
      </w:r>
    </w:p>
    <w:p w14:paraId="3F1FD992" w14:textId="12274B2D"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 xml:space="preserve">d) Cotações de Preços – documentos utilizados para obtenção dos valores de </w:t>
      </w:r>
      <w:r w:rsidR="00F23E76" w:rsidRPr="00044ACB">
        <w:rPr>
          <w:rFonts w:ascii="Times New Roman" w:eastAsia="Arial Unicode MS" w:hAnsi="Times New Roman" w:cs="Times New Roman"/>
          <w:color w:val="000000" w:themeColor="text1"/>
          <w:sz w:val="20"/>
        </w:rPr>
        <w:t xml:space="preserve">itens </w:t>
      </w:r>
      <w:r w:rsidR="0011415F" w:rsidRPr="00044ACB">
        <w:rPr>
          <w:rFonts w:ascii="Times New Roman" w:eastAsia="Arial Unicode MS" w:hAnsi="Times New Roman" w:cs="Times New Roman"/>
          <w:color w:val="000000" w:themeColor="text1"/>
          <w:sz w:val="20"/>
        </w:rPr>
        <w:t>cuja formação de preço dependa de pesquisa complementar aos referenciais adotados;</w:t>
      </w:r>
    </w:p>
    <w:p w14:paraId="43EA7AD3" w14:textId="40EF166E"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 xml:space="preserve">e) </w:t>
      </w:r>
      <w:r w:rsidRPr="00044ACB">
        <w:rPr>
          <w:rFonts w:ascii="Times New Roman" w:eastAsia="Arial Unicode MS" w:hAnsi="Times New Roman" w:cs="Times New Roman"/>
          <w:color w:val="000000" w:themeColor="text1"/>
          <w:sz w:val="20"/>
        </w:rPr>
        <w:t>Memórias de Cálculo dos Insumos Asfálticos com Referência ANP – demonstrativos utilizados para determinação dos preços dos materiais asfálticos empregados no orçamento;</w:t>
      </w:r>
    </w:p>
    <w:p w14:paraId="1576C0C1" w14:textId="70E8B104"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f) Cronograma Físico-Financeiro;</w:t>
      </w:r>
    </w:p>
    <w:p w14:paraId="07CD6643" w14:textId="29DBE5E8"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g) Cronograma Previsto PLE;</w:t>
      </w:r>
    </w:p>
    <w:p w14:paraId="6DD8CA04" w14:textId="4FE80FCD"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h) Tabela de Encargos Sociais;</w:t>
      </w:r>
    </w:p>
    <w:p w14:paraId="30CAE5B4" w14:textId="14B2FB0D"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i) Quadro de Composição do BDI – Benefícios e Despesas Indiretas;</w:t>
      </w:r>
    </w:p>
    <w:p w14:paraId="72DAF3BE" w14:textId="44511DAA"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j) Quadro de Composição de Investimentos</w:t>
      </w:r>
      <w:r w:rsidRPr="00044ACB">
        <w:rPr>
          <w:rFonts w:ascii="Times New Roman" w:eastAsia="Arial Unicode MS" w:hAnsi="Times New Roman" w:cs="Times New Roman"/>
          <w:color w:val="000000" w:themeColor="text1"/>
          <w:sz w:val="20"/>
        </w:rPr>
        <w:t xml:space="preserve"> </w:t>
      </w:r>
      <w:r w:rsidR="0011415F" w:rsidRPr="00044ACB">
        <w:rPr>
          <w:rFonts w:ascii="Times New Roman" w:eastAsia="Arial Unicode MS" w:hAnsi="Times New Roman" w:cs="Times New Roman"/>
          <w:color w:val="000000" w:themeColor="text1"/>
          <w:sz w:val="20"/>
        </w:rPr>
        <w:t>– demonstrativo da distribuição dos recursos entre os diferentes componentes e etapas do empreendimento;</w:t>
      </w:r>
    </w:p>
    <w:p w14:paraId="54C5B98E" w14:textId="76EBEA61" w:rsidR="0011415F"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k) Agrupadores de Eventos – documento utilizado para organização e consolidação dos serviços e eventos relacionados à execução, medição e acompanhamento da obra; e</w:t>
      </w:r>
    </w:p>
    <w:p w14:paraId="38BC31C7" w14:textId="16CDD172" w:rsidR="002E7B24" w:rsidRPr="00044ACB" w:rsidRDefault="00301324" w:rsidP="00044ACB">
      <w:pPr>
        <w:spacing w:after="0" w:line="276" w:lineRule="auto"/>
        <w:jc w:val="both"/>
        <w:rPr>
          <w:rFonts w:ascii="Times New Roman" w:eastAsia="Arial Unicode MS" w:hAnsi="Times New Roman" w:cs="Times New Roman"/>
          <w:color w:val="000000" w:themeColor="text1"/>
          <w:sz w:val="20"/>
        </w:rPr>
      </w:pPr>
      <w:r w:rsidRPr="00044ACB">
        <w:rPr>
          <w:rFonts w:ascii="Times New Roman" w:eastAsia="Arial Unicode MS" w:hAnsi="Times New Roman" w:cs="Times New Roman"/>
          <w:color w:val="000000" w:themeColor="text1"/>
          <w:sz w:val="20"/>
        </w:rPr>
        <w:tab/>
      </w:r>
      <w:r w:rsidR="0011415F" w:rsidRPr="00044ACB">
        <w:rPr>
          <w:rFonts w:ascii="Times New Roman" w:eastAsia="Arial Unicode MS" w:hAnsi="Times New Roman" w:cs="Times New Roman"/>
          <w:color w:val="000000" w:themeColor="text1"/>
          <w:sz w:val="20"/>
        </w:rPr>
        <w:t>l) Anotação de Responsabilidade Técnica</w:t>
      </w:r>
      <w:r w:rsidR="00F23E76" w:rsidRPr="00044ACB">
        <w:rPr>
          <w:rFonts w:ascii="Times New Roman" w:eastAsia="Arial Unicode MS" w:hAnsi="Times New Roman" w:cs="Times New Roman"/>
          <w:color w:val="000000" w:themeColor="text1"/>
          <w:sz w:val="20"/>
        </w:rPr>
        <w:t xml:space="preserve"> do Projeto.</w:t>
      </w:r>
    </w:p>
    <w:p w14:paraId="36D40F01" w14:textId="77777777" w:rsidR="00F23E76" w:rsidRPr="00044ACB" w:rsidRDefault="00F23E76" w:rsidP="00044ACB">
      <w:pPr>
        <w:spacing w:after="0" w:line="276" w:lineRule="auto"/>
        <w:jc w:val="both"/>
        <w:rPr>
          <w:rFonts w:ascii="Times New Roman" w:eastAsia="Arial Unicode MS" w:hAnsi="Times New Roman" w:cs="Times New Roman"/>
          <w:color w:val="000000" w:themeColor="text1"/>
          <w:sz w:val="20"/>
        </w:rPr>
      </w:pPr>
    </w:p>
    <w:p w14:paraId="2BE01E8E" w14:textId="0A6DFE29" w:rsidR="006E786C" w:rsidRPr="00044ACB" w:rsidRDefault="006E786C" w:rsidP="00044ACB">
      <w:pPr>
        <w:spacing w:after="0" w:line="276" w:lineRule="auto"/>
        <w:jc w:val="both"/>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1</w:t>
      </w:r>
      <w:r w:rsidR="00485CE0" w:rsidRPr="00044ACB">
        <w:rPr>
          <w:rFonts w:ascii="Times New Roman" w:eastAsia="Arial Unicode MS" w:hAnsi="Times New Roman" w:cs="Times New Roman"/>
          <w:b/>
          <w:color w:val="000000" w:themeColor="text1"/>
          <w:sz w:val="20"/>
        </w:rPr>
        <w:t>6</w:t>
      </w:r>
      <w:r w:rsidRPr="00044ACB">
        <w:rPr>
          <w:rFonts w:ascii="Times New Roman" w:eastAsia="Arial Unicode MS" w:hAnsi="Times New Roman" w:cs="Times New Roman"/>
          <w:b/>
          <w:color w:val="000000" w:themeColor="text1"/>
          <w:sz w:val="20"/>
        </w:rPr>
        <w:t xml:space="preserve"> – RESPONSÁVE</w:t>
      </w:r>
      <w:r w:rsidR="00485CE0" w:rsidRPr="00044ACB">
        <w:rPr>
          <w:rFonts w:ascii="Times New Roman" w:eastAsia="Arial Unicode MS" w:hAnsi="Times New Roman" w:cs="Times New Roman"/>
          <w:b/>
          <w:color w:val="000000" w:themeColor="text1"/>
          <w:sz w:val="20"/>
        </w:rPr>
        <w:t>IS</w:t>
      </w:r>
      <w:r w:rsidRPr="00044ACB">
        <w:rPr>
          <w:rFonts w:ascii="Times New Roman" w:eastAsia="Arial Unicode MS" w:hAnsi="Times New Roman" w:cs="Times New Roman"/>
          <w:b/>
          <w:color w:val="000000" w:themeColor="text1"/>
          <w:sz w:val="20"/>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693"/>
        <w:gridCol w:w="3828"/>
        <w:gridCol w:w="1269"/>
      </w:tblGrid>
      <w:tr w:rsidR="00EF52E1" w:rsidRPr="00044ACB" w14:paraId="289DE2B5" w14:textId="77777777" w:rsidTr="00044ACB">
        <w:tc>
          <w:tcPr>
            <w:tcW w:w="1418" w:type="dxa"/>
            <w:vAlign w:val="center"/>
          </w:tcPr>
          <w:p w14:paraId="26900A31" w14:textId="7C6A7F07" w:rsidR="00631D55" w:rsidRPr="00044ACB" w:rsidRDefault="00301324" w:rsidP="00044ACB">
            <w:pPr>
              <w:spacing w:after="0" w:line="276" w:lineRule="auto"/>
              <w:jc w:val="center"/>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Responsável pelo Estudo:</w:t>
            </w:r>
          </w:p>
        </w:tc>
        <w:tc>
          <w:tcPr>
            <w:tcW w:w="2693" w:type="dxa"/>
            <w:vAlign w:val="center"/>
          </w:tcPr>
          <w:p w14:paraId="7EE3B212" w14:textId="77777777" w:rsidR="00631D55" w:rsidRPr="00044ACB" w:rsidRDefault="00631D55" w:rsidP="00044ACB">
            <w:pPr>
              <w:spacing w:after="0" w:line="276" w:lineRule="auto"/>
              <w:jc w:val="center"/>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Frederico da Silva Pacheco</w:t>
            </w:r>
          </w:p>
        </w:tc>
        <w:tc>
          <w:tcPr>
            <w:tcW w:w="3828" w:type="dxa"/>
            <w:vAlign w:val="center"/>
          </w:tcPr>
          <w:p w14:paraId="00334631" w14:textId="7A7D0EFF" w:rsidR="00631D55" w:rsidRPr="00044ACB" w:rsidRDefault="00301324" w:rsidP="00044ACB">
            <w:pPr>
              <w:spacing w:after="0" w:line="276" w:lineRule="auto"/>
              <w:jc w:val="center"/>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Assessor do Departamento de Administração, Fazenda e Planejamento</w:t>
            </w:r>
          </w:p>
        </w:tc>
        <w:tc>
          <w:tcPr>
            <w:tcW w:w="1269" w:type="dxa"/>
            <w:vAlign w:val="center"/>
          </w:tcPr>
          <w:p w14:paraId="4A187DC6" w14:textId="290B116D" w:rsidR="00631D55" w:rsidRPr="00044ACB" w:rsidRDefault="00631D55" w:rsidP="00044ACB">
            <w:pPr>
              <w:spacing w:after="0" w:line="276" w:lineRule="auto"/>
              <w:jc w:val="center"/>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
                <w:color w:val="000000" w:themeColor="text1"/>
                <w:sz w:val="20"/>
              </w:rPr>
              <w:t>Matrícula:</w:t>
            </w:r>
            <w:r w:rsidRPr="00044ACB">
              <w:rPr>
                <w:rFonts w:ascii="Times New Roman" w:eastAsia="Arial Unicode MS" w:hAnsi="Times New Roman" w:cs="Times New Roman"/>
                <w:bCs/>
                <w:color w:val="000000" w:themeColor="text1"/>
                <w:sz w:val="20"/>
              </w:rPr>
              <w:t xml:space="preserve"> </w:t>
            </w:r>
            <w:r w:rsidR="006A7D47" w:rsidRPr="00044ACB">
              <w:rPr>
                <w:rFonts w:ascii="Times New Roman" w:eastAsia="Arial Unicode MS" w:hAnsi="Times New Roman" w:cs="Times New Roman"/>
                <w:bCs/>
                <w:color w:val="000000" w:themeColor="text1"/>
                <w:sz w:val="20"/>
              </w:rPr>
              <w:t>2026</w:t>
            </w:r>
          </w:p>
        </w:tc>
      </w:tr>
      <w:tr w:rsidR="009C3746" w:rsidRPr="00044ACB" w14:paraId="2DFCC7D0" w14:textId="77777777" w:rsidTr="00044ACB">
        <w:trPr>
          <w:trHeight w:val="70"/>
        </w:trPr>
        <w:tc>
          <w:tcPr>
            <w:tcW w:w="4111" w:type="dxa"/>
            <w:gridSpan w:val="2"/>
            <w:vAlign w:val="center"/>
            <w:hideMark/>
          </w:tcPr>
          <w:p w14:paraId="4C0F1072" w14:textId="3950DC0D" w:rsidR="0052336E" w:rsidRPr="00044ACB" w:rsidRDefault="0052336E" w:rsidP="00044ACB">
            <w:pPr>
              <w:spacing w:after="0" w:line="276" w:lineRule="auto"/>
              <w:jc w:val="center"/>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 xml:space="preserve">E-mail: </w:t>
            </w:r>
            <w:hyperlink r:id="rId8" w:history="1">
              <w:r w:rsidR="00301324" w:rsidRPr="00044ACB">
                <w:rPr>
                  <w:rStyle w:val="Hyperlink"/>
                  <w:rFonts w:ascii="Times New Roman" w:eastAsia="Arial Unicode MS" w:hAnsi="Times New Roman" w:cs="Times New Roman"/>
                  <w:bCs/>
                  <w:sz w:val="20"/>
                </w:rPr>
                <w:t>gabinete@paverama.rs.gov.br</w:t>
              </w:r>
            </w:hyperlink>
          </w:p>
        </w:tc>
        <w:tc>
          <w:tcPr>
            <w:tcW w:w="5097" w:type="dxa"/>
            <w:gridSpan w:val="2"/>
            <w:vAlign w:val="center"/>
          </w:tcPr>
          <w:p w14:paraId="78F6C552" w14:textId="77777777" w:rsidR="0052336E" w:rsidRPr="00044ACB" w:rsidRDefault="0052336E" w:rsidP="00044ACB">
            <w:pPr>
              <w:spacing w:after="0" w:line="276" w:lineRule="auto"/>
              <w:jc w:val="center"/>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Fone: (51) 3761-1044</w:t>
            </w:r>
          </w:p>
        </w:tc>
      </w:tr>
    </w:tbl>
    <w:p w14:paraId="135AFF71" w14:textId="77777777" w:rsidR="00ED0FB6" w:rsidRPr="00044ACB" w:rsidRDefault="00ED0FB6" w:rsidP="00044ACB">
      <w:pPr>
        <w:spacing w:after="0" w:line="276" w:lineRule="auto"/>
        <w:jc w:val="center"/>
        <w:rPr>
          <w:rFonts w:ascii="Times New Roman" w:eastAsia="Arial Unicode MS" w:hAnsi="Times New Roman" w:cs="Times New Roman"/>
          <w:bCs/>
          <w:color w:val="000000" w:themeColor="text1"/>
          <w:sz w:val="20"/>
        </w:rPr>
      </w:pPr>
    </w:p>
    <w:p w14:paraId="3507E734" w14:textId="79797F70" w:rsidR="009F4CCF" w:rsidRPr="00044ACB" w:rsidRDefault="00A807E7" w:rsidP="00044ACB">
      <w:pPr>
        <w:spacing w:after="0" w:line="276" w:lineRule="auto"/>
        <w:ind w:firstLine="708"/>
        <w:jc w:val="both"/>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Realizadas as tarefas pertinentes ao presente Estudo Técnico Preliminar, encaminho o documento para ciência e aprovação, com vistas ao prosseguimento da fase preparatória, consolidação dos demais documentos da contratação e posterior realização do procedimento licitatório.</w:t>
      </w:r>
    </w:p>
    <w:p w14:paraId="327CB6BC" w14:textId="77777777" w:rsidR="00A807E7" w:rsidRPr="00044ACB" w:rsidRDefault="00A807E7" w:rsidP="00044ACB">
      <w:pPr>
        <w:spacing w:after="0" w:line="276" w:lineRule="auto"/>
        <w:ind w:firstLine="708"/>
        <w:rPr>
          <w:rFonts w:ascii="Times New Roman" w:eastAsia="Arial Unicode MS" w:hAnsi="Times New Roman" w:cs="Times New Roman"/>
          <w:bCs/>
          <w:color w:val="000000" w:themeColor="text1"/>
          <w:sz w:val="20"/>
        </w:rPr>
      </w:pPr>
    </w:p>
    <w:p w14:paraId="79143BCD" w14:textId="04B3FDED" w:rsidR="006E786C" w:rsidRPr="00044ACB" w:rsidRDefault="006E786C" w:rsidP="00044ACB">
      <w:pPr>
        <w:spacing w:after="0" w:line="276" w:lineRule="auto"/>
        <w:jc w:val="center"/>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 xml:space="preserve">Paverama/RS, </w:t>
      </w:r>
      <w:r w:rsidR="00301324" w:rsidRPr="00044ACB">
        <w:rPr>
          <w:rFonts w:ascii="Times New Roman" w:eastAsia="Arial Unicode MS" w:hAnsi="Times New Roman" w:cs="Times New Roman"/>
          <w:bCs/>
          <w:color w:val="000000" w:themeColor="text1"/>
          <w:sz w:val="20"/>
        </w:rPr>
        <w:t>08 de setembro</w:t>
      </w:r>
      <w:r w:rsidR="006A7D47" w:rsidRPr="00044ACB">
        <w:rPr>
          <w:rFonts w:ascii="Times New Roman" w:eastAsia="Arial Unicode MS" w:hAnsi="Times New Roman" w:cs="Times New Roman"/>
          <w:bCs/>
          <w:color w:val="000000" w:themeColor="text1"/>
          <w:sz w:val="20"/>
        </w:rPr>
        <w:t xml:space="preserve"> de 2026.</w:t>
      </w:r>
    </w:p>
    <w:p w14:paraId="195B9BAB" w14:textId="77777777" w:rsidR="00301324" w:rsidRPr="00044ACB" w:rsidRDefault="00301324" w:rsidP="00044ACB">
      <w:pPr>
        <w:spacing w:after="0" w:line="276" w:lineRule="auto"/>
        <w:jc w:val="center"/>
        <w:rPr>
          <w:rFonts w:ascii="Times New Roman" w:eastAsia="Arial Unicode MS" w:hAnsi="Times New Roman" w:cs="Times New Roman"/>
          <w:bCs/>
          <w:color w:val="000000" w:themeColor="text1"/>
          <w:sz w:val="20"/>
        </w:rPr>
        <w:sectPr w:rsidR="00301324" w:rsidRPr="00044ACB" w:rsidSect="00250C00">
          <w:headerReference w:type="default" r:id="rId9"/>
          <w:footerReference w:type="default" r:id="rId10"/>
          <w:pgSz w:w="11906" w:h="16838"/>
          <w:pgMar w:top="1985" w:right="1274" w:bottom="1276" w:left="1701" w:header="709" w:footer="709" w:gutter="0"/>
          <w:cols w:space="708"/>
          <w:docGrid w:linePitch="360"/>
        </w:sectPr>
      </w:pPr>
    </w:p>
    <w:p w14:paraId="6481E075" w14:textId="77777777" w:rsidR="009F4CCF" w:rsidRPr="00044ACB" w:rsidRDefault="009F4CCF" w:rsidP="00044ACB">
      <w:pPr>
        <w:spacing w:after="0" w:line="276" w:lineRule="auto"/>
        <w:jc w:val="center"/>
        <w:rPr>
          <w:rFonts w:ascii="Times New Roman" w:eastAsia="Arial Unicode MS" w:hAnsi="Times New Roman" w:cs="Times New Roman"/>
          <w:bCs/>
          <w:color w:val="000000" w:themeColor="text1"/>
          <w:sz w:val="20"/>
        </w:rPr>
      </w:pPr>
    </w:p>
    <w:p w14:paraId="48E9B126" w14:textId="77777777" w:rsidR="000175DE" w:rsidRPr="00044ACB" w:rsidRDefault="000175DE" w:rsidP="00044ACB">
      <w:pPr>
        <w:spacing w:after="0" w:line="276" w:lineRule="auto"/>
        <w:rPr>
          <w:rFonts w:ascii="Times New Roman" w:eastAsia="Arial Unicode MS" w:hAnsi="Times New Roman" w:cs="Times New Roman"/>
          <w:bCs/>
          <w:color w:val="000000" w:themeColor="text1"/>
          <w:sz w:val="20"/>
        </w:rPr>
      </w:pPr>
    </w:p>
    <w:p w14:paraId="7D78C465" w14:textId="77777777" w:rsidR="006A7D47" w:rsidRPr="00044ACB" w:rsidRDefault="006A7D47" w:rsidP="00044ACB">
      <w:pPr>
        <w:spacing w:after="0" w:line="276" w:lineRule="auto"/>
        <w:jc w:val="center"/>
        <w:rPr>
          <w:rFonts w:ascii="Times New Roman" w:eastAsia="Arial Unicode MS" w:hAnsi="Times New Roman" w:cs="Times New Roman"/>
          <w:b/>
          <w:color w:val="000000" w:themeColor="text1"/>
          <w:sz w:val="20"/>
        </w:rPr>
      </w:pPr>
    </w:p>
    <w:p w14:paraId="0A4F23AD" w14:textId="77777777" w:rsidR="001865C4" w:rsidRPr="00044ACB" w:rsidRDefault="001865C4" w:rsidP="00044ACB">
      <w:pPr>
        <w:spacing w:after="0" w:line="276" w:lineRule="auto"/>
        <w:jc w:val="center"/>
        <w:rPr>
          <w:rFonts w:ascii="Times New Roman" w:eastAsia="Arial Unicode MS" w:hAnsi="Times New Roman" w:cs="Times New Roman"/>
          <w:b/>
          <w:color w:val="000000" w:themeColor="text1"/>
          <w:sz w:val="20"/>
        </w:rPr>
        <w:sectPr w:rsidR="001865C4" w:rsidRPr="00044ACB" w:rsidSect="00250C00">
          <w:type w:val="continuous"/>
          <w:pgSz w:w="11906" w:h="16838"/>
          <w:pgMar w:top="2127" w:right="1274" w:bottom="1135" w:left="1701" w:header="709" w:footer="709" w:gutter="0"/>
          <w:cols w:space="708"/>
          <w:docGrid w:linePitch="360"/>
        </w:sectPr>
      </w:pPr>
    </w:p>
    <w:p w14:paraId="2CDA1EE7" w14:textId="77777777" w:rsidR="0052336E" w:rsidRPr="00044ACB" w:rsidRDefault="0052336E" w:rsidP="00044ACB">
      <w:pPr>
        <w:spacing w:after="0" w:line="276" w:lineRule="auto"/>
        <w:jc w:val="center"/>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FREDERICO DA SILVA PACHECO</w:t>
      </w:r>
    </w:p>
    <w:p w14:paraId="0DCBCC14" w14:textId="2F172615" w:rsidR="00425779" w:rsidRPr="00044ACB" w:rsidRDefault="00301324" w:rsidP="00044ACB">
      <w:pPr>
        <w:widowControl w:val="0"/>
        <w:spacing w:after="0" w:line="276" w:lineRule="auto"/>
        <w:jc w:val="center"/>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Assessor do Departamento de Administração, Fazenda e Planejamento</w:t>
      </w:r>
    </w:p>
    <w:p w14:paraId="1B65B136" w14:textId="77777777" w:rsidR="00301324" w:rsidRPr="00044ACB" w:rsidRDefault="00301324" w:rsidP="00044ACB">
      <w:pPr>
        <w:widowControl w:val="0"/>
        <w:spacing w:after="0" w:line="276" w:lineRule="auto"/>
        <w:jc w:val="center"/>
        <w:rPr>
          <w:rFonts w:ascii="Times New Roman" w:eastAsia="Arial Unicode MS" w:hAnsi="Times New Roman" w:cs="Times New Roman"/>
          <w:bCs/>
          <w:color w:val="000000" w:themeColor="text1"/>
          <w:sz w:val="20"/>
          <w:u w:val="single"/>
          <w:lang w:eastAsia="x-none"/>
        </w:rPr>
      </w:pPr>
    </w:p>
    <w:p w14:paraId="6A6FAA89" w14:textId="77777777" w:rsidR="00301324" w:rsidRPr="00044ACB" w:rsidRDefault="00301324" w:rsidP="00044ACB">
      <w:pPr>
        <w:spacing w:after="0" w:line="276" w:lineRule="auto"/>
        <w:jc w:val="center"/>
        <w:rPr>
          <w:rFonts w:ascii="Times New Roman" w:eastAsia="Arial Unicode MS" w:hAnsi="Times New Roman" w:cs="Times New Roman"/>
          <w:bCs/>
          <w:color w:val="000000" w:themeColor="text1"/>
          <w:sz w:val="20"/>
        </w:rPr>
        <w:sectPr w:rsidR="00301324" w:rsidRPr="00044ACB" w:rsidSect="00301324">
          <w:type w:val="continuous"/>
          <w:pgSz w:w="11906" w:h="16838"/>
          <w:pgMar w:top="2127" w:right="1134" w:bottom="1560" w:left="1701" w:header="709" w:footer="709"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6E786C" w:rsidRPr="00044ACB" w14:paraId="0579BD12" w14:textId="77777777" w:rsidTr="006E786C">
        <w:tc>
          <w:tcPr>
            <w:tcW w:w="9211" w:type="dxa"/>
            <w:tcBorders>
              <w:top w:val="single" w:sz="4" w:space="0" w:color="000000"/>
              <w:left w:val="single" w:sz="4" w:space="0" w:color="000000"/>
              <w:bottom w:val="single" w:sz="4" w:space="0" w:color="000000"/>
              <w:right w:val="single" w:sz="4" w:space="0" w:color="000000"/>
            </w:tcBorders>
          </w:tcPr>
          <w:p w14:paraId="5E60DAE1" w14:textId="77777777" w:rsidR="0052336E" w:rsidRPr="00044ACB" w:rsidRDefault="0052336E" w:rsidP="00044ACB">
            <w:pPr>
              <w:spacing w:after="0" w:line="360" w:lineRule="auto"/>
              <w:jc w:val="center"/>
              <w:rPr>
                <w:rFonts w:ascii="Times New Roman" w:eastAsia="Arial Unicode MS" w:hAnsi="Times New Roman" w:cs="Times New Roman"/>
                <w:bCs/>
                <w:color w:val="000000" w:themeColor="text1"/>
                <w:sz w:val="20"/>
              </w:rPr>
            </w:pPr>
          </w:p>
          <w:p w14:paraId="44B9CBBF" w14:textId="77777777" w:rsidR="006E786C" w:rsidRPr="00044ACB" w:rsidRDefault="00532970" w:rsidP="00044ACB">
            <w:pPr>
              <w:spacing w:after="0" w:line="360" w:lineRule="auto"/>
              <w:jc w:val="center"/>
              <w:rPr>
                <w:rFonts w:ascii="Times New Roman" w:eastAsia="Arial Unicode MS" w:hAnsi="Times New Roman" w:cs="Times New Roman"/>
                <w:b/>
                <w:color w:val="000000" w:themeColor="text1"/>
                <w:sz w:val="20"/>
              </w:rPr>
            </w:pPr>
            <w:r w:rsidRPr="00044ACB">
              <w:rPr>
                <w:rFonts w:ascii="Times New Roman" w:eastAsia="Arial Unicode MS" w:hAnsi="Times New Roman" w:cs="Times New Roman"/>
                <w:b/>
                <w:color w:val="000000" w:themeColor="text1"/>
                <w:sz w:val="20"/>
              </w:rPr>
              <w:t>SECRETARIA MUNICIPAL DE ADMINISTRAÇÃO, FAZENDA E PLANEJAMENTO</w:t>
            </w:r>
          </w:p>
          <w:p w14:paraId="26CA2858" w14:textId="77777777" w:rsidR="006E786C" w:rsidRPr="00044ACB" w:rsidRDefault="006E786C" w:rsidP="00044ACB">
            <w:pPr>
              <w:spacing w:after="0" w:line="360" w:lineRule="auto"/>
              <w:ind w:firstLine="709"/>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Parecer conclusivo de ciência e aprovação:</w:t>
            </w:r>
          </w:p>
          <w:p w14:paraId="347A7629" w14:textId="77777777" w:rsidR="006E786C" w:rsidRPr="00044ACB" w:rsidRDefault="006E786C" w:rsidP="00044ACB">
            <w:pPr>
              <w:spacing w:after="0" w:line="360" w:lineRule="auto"/>
              <w:ind w:firstLine="1156"/>
              <w:rPr>
                <w:rFonts w:ascii="Times New Roman" w:eastAsia="Arial Unicode MS" w:hAnsi="Times New Roman" w:cs="Times New Roman"/>
                <w:bCs/>
                <w:color w:val="000000" w:themeColor="text1"/>
                <w:sz w:val="20"/>
              </w:rPr>
            </w:pPr>
            <w:proofErr w:type="gramStart"/>
            <w:r w:rsidRPr="00044ACB">
              <w:rPr>
                <w:rFonts w:ascii="Times New Roman" w:eastAsia="Arial Unicode MS" w:hAnsi="Times New Roman" w:cs="Times New Roman"/>
                <w:bCs/>
                <w:color w:val="000000" w:themeColor="text1"/>
                <w:sz w:val="20"/>
              </w:rPr>
              <w:t xml:space="preserve">(  </w:t>
            </w:r>
            <w:proofErr w:type="gramEnd"/>
            <w:r w:rsidRPr="00044ACB">
              <w:rPr>
                <w:rFonts w:ascii="Times New Roman" w:eastAsia="Arial Unicode MS" w:hAnsi="Times New Roman" w:cs="Times New Roman"/>
                <w:bCs/>
                <w:color w:val="000000" w:themeColor="text1"/>
                <w:sz w:val="20"/>
              </w:rPr>
              <w:t xml:space="preserve">  ) Defiro; ou</w:t>
            </w:r>
          </w:p>
          <w:p w14:paraId="5913D397" w14:textId="77777777" w:rsidR="0052336E" w:rsidRPr="00044ACB" w:rsidRDefault="006E786C" w:rsidP="00044ACB">
            <w:pPr>
              <w:spacing w:after="0" w:line="360" w:lineRule="auto"/>
              <w:ind w:firstLine="1156"/>
              <w:rPr>
                <w:rFonts w:ascii="Times New Roman" w:eastAsia="Arial Unicode MS" w:hAnsi="Times New Roman" w:cs="Times New Roman"/>
                <w:bCs/>
                <w:color w:val="000000" w:themeColor="text1"/>
                <w:sz w:val="20"/>
              </w:rPr>
            </w:pPr>
            <w:proofErr w:type="gramStart"/>
            <w:r w:rsidRPr="00044ACB">
              <w:rPr>
                <w:rFonts w:ascii="Times New Roman" w:eastAsia="Arial Unicode MS" w:hAnsi="Times New Roman" w:cs="Times New Roman"/>
                <w:bCs/>
                <w:color w:val="000000" w:themeColor="text1"/>
                <w:sz w:val="20"/>
              </w:rPr>
              <w:t xml:space="preserve">(  </w:t>
            </w:r>
            <w:proofErr w:type="gramEnd"/>
            <w:r w:rsidRPr="00044ACB">
              <w:rPr>
                <w:rFonts w:ascii="Times New Roman" w:eastAsia="Arial Unicode MS" w:hAnsi="Times New Roman" w:cs="Times New Roman"/>
                <w:bCs/>
                <w:color w:val="000000" w:themeColor="text1"/>
                <w:sz w:val="20"/>
              </w:rPr>
              <w:t xml:space="preserve">  ) Indefiro</w:t>
            </w:r>
          </w:p>
          <w:p w14:paraId="68A939BF" w14:textId="77777777" w:rsidR="006E786C" w:rsidRPr="00044ACB" w:rsidRDefault="006E786C" w:rsidP="00044ACB">
            <w:pPr>
              <w:spacing w:after="0" w:line="360" w:lineRule="auto"/>
              <w:ind w:firstLine="709"/>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Motivar: __________________________________________________________________</w:t>
            </w:r>
          </w:p>
          <w:p w14:paraId="44993289" w14:textId="5B29EF31" w:rsidR="006E786C" w:rsidRPr="00044ACB" w:rsidRDefault="006E786C" w:rsidP="00044ACB">
            <w:pPr>
              <w:spacing w:after="0" w:line="360" w:lineRule="auto"/>
              <w:jc w:val="center"/>
              <w:rPr>
                <w:rFonts w:ascii="Times New Roman" w:eastAsia="Arial Unicode MS" w:hAnsi="Times New Roman" w:cs="Times New Roman"/>
                <w:bCs/>
                <w:color w:val="000000" w:themeColor="text1"/>
                <w:sz w:val="20"/>
              </w:rPr>
            </w:pPr>
            <w:r w:rsidRPr="00044ACB">
              <w:rPr>
                <w:rFonts w:ascii="Times New Roman" w:eastAsia="Arial Unicode MS" w:hAnsi="Times New Roman" w:cs="Times New Roman"/>
                <w:bCs/>
                <w:color w:val="000000" w:themeColor="text1"/>
                <w:sz w:val="20"/>
              </w:rPr>
              <w:t xml:space="preserve">Paverama/RS, </w:t>
            </w:r>
            <w:r w:rsidR="006345A3" w:rsidRPr="00044ACB">
              <w:rPr>
                <w:rFonts w:ascii="Times New Roman" w:eastAsia="Arial Unicode MS" w:hAnsi="Times New Roman" w:cs="Times New Roman"/>
                <w:bCs/>
                <w:color w:val="000000" w:themeColor="text1"/>
                <w:sz w:val="20"/>
              </w:rPr>
              <w:t>08</w:t>
            </w:r>
            <w:r w:rsidR="0052336E" w:rsidRPr="00044ACB">
              <w:rPr>
                <w:rFonts w:ascii="Times New Roman" w:eastAsia="Arial Unicode MS" w:hAnsi="Times New Roman" w:cs="Times New Roman"/>
                <w:bCs/>
                <w:color w:val="000000" w:themeColor="text1"/>
                <w:sz w:val="20"/>
              </w:rPr>
              <w:t xml:space="preserve"> </w:t>
            </w:r>
            <w:r w:rsidRPr="00044ACB">
              <w:rPr>
                <w:rFonts w:ascii="Times New Roman" w:eastAsia="Arial Unicode MS" w:hAnsi="Times New Roman" w:cs="Times New Roman"/>
                <w:bCs/>
                <w:color w:val="000000" w:themeColor="text1"/>
                <w:sz w:val="20"/>
              </w:rPr>
              <w:t>de</w:t>
            </w:r>
            <w:r w:rsidR="006A7D47" w:rsidRPr="00044ACB">
              <w:rPr>
                <w:rFonts w:ascii="Times New Roman" w:eastAsia="Arial Unicode MS" w:hAnsi="Times New Roman" w:cs="Times New Roman"/>
                <w:bCs/>
                <w:color w:val="000000" w:themeColor="text1"/>
                <w:sz w:val="20"/>
              </w:rPr>
              <w:t xml:space="preserve"> </w:t>
            </w:r>
            <w:r w:rsidR="006345A3" w:rsidRPr="00044ACB">
              <w:rPr>
                <w:rFonts w:ascii="Times New Roman" w:eastAsia="Arial Unicode MS" w:hAnsi="Times New Roman" w:cs="Times New Roman"/>
                <w:bCs/>
                <w:color w:val="000000" w:themeColor="text1"/>
                <w:sz w:val="20"/>
              </w:rPr>
              <w:t>setembro</w:t>
            </w:r>
            <w:r w:rsidRPr="00044ACB">
              <w:rPr>
                <w:rFonts w:ascii="Times New Roman" w:eastAsia="Arial Unicode MS" w:hAnsi="Times New Roman" w:cs="Times New Roman"/>
                <w:bCs/>
                <w:color w:val="000000" w:themeColor="text1"/>
                <w:sz w:val="20"/>
              </w:rPr>
              <w:t xml:space="preserve"> de </w:t>
            </w:r>
            <w:r w:rsidR="0052336E" w:rsidRPr="00044ACB">
              <w:rPr>
                <w:rFonts w:ascii="Times New Roman" w:eastAsia="Arial Unicode MS" w:hAnsi="Times New Roman" w:cs="Times New Roman"/>
                <w:bCs/>
                <w:color w:val="000000" w:themeColor="text1"/>
                <w:sz w:val="20"/>
              </w:rPr>
              <w:t>202</w:t>
            </w:r>
            <w:r w:rsidR="006A7D47" w:rsidRPr="00044ACB">
              <w:rPr>
                <w:rFonts w:ascii="Times New Roman" w:eastAsia="Arial Unicode MS" w:hAnsi="Times New Roman" w:cs="Times New Roman"/>
                <w:bCs/>
                <w:color w:val="000000" w:themeColor="text1"/>
                <w:sz w:val="20"/>
              </w:rPr>
              <w:t>6</w:t>
            </w:r>
            <w:r w:rsidR="0052336E" w:rsidRPr="00044ACB">
              <w:rPr>
                <w:rFonts w:ascii="Times New Roman" w:eastAsia="Arial Unicode MS" w:hAnsi="Times New Roman" w:cs="Times New Roman"/>
                <w:bCs/>
                <w:color w:val="000000" w:themeColor="text1"/>
                <w:sz w:val="20"/>
              </w:rPr>
              <w:t>.</w:t>
            </w:r>
          </w:p>
          <w:p w14:paraId="5618C5DC" w14:textId="77777777" w:rsidR="00A3453C" w:rsidRDefault="00A3453C" w:rsidP="00044ACB">
            <w:pPr>
              <w:spacing w:after="0" w:line="360" w:lineRule="auto"/>
              <w:rPr>
                <w:rFonts w:ascii="Times New Roman" w:eastAsia="Arial Unicode MS" w:hAnsi="Times New Roman" w:cs="Times New Roman"/>
                <w:bCs/>
                <w:color w:val="000000" w:themeColor="text1"/>
                <w:sz w:val="20"/>
              </w:rPr>
            </w:pPr>
          </w:p>
          <w:p w14:paraId="5F13FEC7" w14:textId="77777777" w:rsidR="00044ACB" w:rsidRPr="00044ACB" w:rsidRDefault="00044ACB" w:rsidP="00044ACB">
            <w:pPr>
              <w:spacing w:after="0" w:line="360" w:lineRule="auto"/>
              <w:rPr>
                <w:rFonts w:ascii="Times New Roman" w:eastAsia="Arial Unicode MS" w:hAnsi="Times New Roman" w:cs="Times New Roman"/>
                <w:bCs/>
                <w:color w:val="000000" w:themeColor="text1"/>
                <w:sz w:val="20"/>
              </w:rPr>
            </w:pPr>
          </w:p>
          <w:p w14:paraId="20BE87CA" w14:textId="77777777" w:rsidR="009C3746" w:rsidRPr="00044ACB" w:rsidRDefault="009C3746" w:rsidP="00044ACB">
            <w:pPr>
              <w:widowControl w:val="0"/>
              <w:spacing w:after="0" w:line="360" w:lineRule="auto"/>
              <w:rPr>
                <w:rFonts w:ascii="Times New Roman" w:eastAsia="Arial Unicode MS" w:hAnsi="Times New Roman" w:cs="Times New Roman"/>
                <w:bCs/>
                <w:color w:val="000000" w:themeColor="text1"/>
                <w:sz w:val="20"/>
              </w:rPr>
            </w:pPr>
          </w:p>
          <w:p w14:paraId="7E36E435" w14:textId="77777777" w:rsidR="0052336E" w:rsidRPr="00044ACB" w:rsidRDefault="0052336E" w:rsidP="00044ACB">
            <w:pPr>
              <w:widowControl w:val="0"/>
              <w:spacing w:after="0" w:line="360" w:lineRule="auto"/>
              <w:jc w:val="center"/>
              <w:rPr>
                <w:rFonts w:ascii="Times New Roman" w:eastAsia="Arial Unicode MS" w:hAnsi="Times New Roman" w:cs="Times New Roman"/>
                <w:b/>
                <w:color w:val="000000" w:themeColor="text1"/>
                <w:sz w:val="20"/>
                <w:lang w:eastAsia="x-none"/>
              </w:rPr>
            </w:pPr>
            <w:r w:rsidRPr="00044ACB">
              <w:rPr>
                <w:rFonts w:ascii="Times New Roman" w:eastAsia="Arial Unicode MS" w:hAnsi="Times New Roman" w:cs="Times New Roman"/>
                <w:b/>
                <w:color w:val="000000" w:themeColor="text1"/>
                <w:sz w:val="20"/>
                <w:lang w:eastAsia="x-none"/>
              </w:rPr>
              <w:t>ALEXANDRE LUÍS KLEBER</w:t>
            </w:r>
          </w:p>
          <w:p w14:paraId="1D616BBF" w14:textId="77777777" w:rsidR="0052336E" w:rsidRPr="00044ACB" w:rsidRDefault="0052336E" w:rsidP="00044ACB">
            <w:pPr>
              <w:widowControl w:val="0"/>
              <w:spacing w:after="0" w:line="360" w:lineRule="auto"/>
              <w:jc w:val="center"/>
              <w:rPr>
                <w:rFonts w:ascii="Times New Roman" w:eastAsia="Arial Unicode MS" w:hAnsi="Times New Roman" w:cs="Times New Roman"/>
                <w:b/>
                <w:color w:val="000000" w:themeColor="text1"/>
                <w:sz w:val="20"/>
                <w:lang w:eastAsia="x-none"/>
              </w:rPr>
            </w:pPr>
            <w:r w:rsidRPr="00044ACB">
              <w:rPr>
                <w:rFonts w:ascii="Times New Roman" w:eastAsia="Arial Unicode MS" w:hAnsi="Times New Roman" w:cs="Times New Roman"/>
                <w:b/>
                <w:color w:val="000000" w:themeColor="text1"/>
                <w:sz w:val="20"/>
                <w:lang w:eastAsia="x-none"/>
              </w:rPr>
              <w:t>Secretário Municipal de Administração, Fazenda e Planejamento</w:t>
            </w:r>
          </w:p>
          <w:p w14:paraId="46354A8C" w14:textId="605EC087" w:rsidR="00F23E76" w:rsidRPr="00044ACB" w:rsidRDefault="00F23E76" w:rsidP="00044ACB">
            <w:pPr>
              <w:widowControl w:val="0"/>
              <w:spacing w:after="0" w:line="360" w:lineRule="auto"/>
              <w:jc w:val="center"/>
              <w:rPr>
                <w:rFonts w:ascii="Times New Roman" w:eastAsia="Arial Unicode MS" w:hAnsi="Times New Roman" w:cs="Times New Roman"/>
                <w:b/>
                <w:color w:val="000000" w:themeColor="text1"/>
                <w:sz w:val="20"/>
                <w:lang w:eastAsia="x-none"/>
              </w:rPr>
            </w:pPr>
          </w:p>
        </w:tc>
      </w:tr>
    </w:tbl>
    <w:p w14:paraId="6A354F1F" w14:textId="77777777" w:rsidR="00E16BA6" w:rsidRPr="00044ACB" w:rsidRDefault="00E16BA6" w:rsidP="00044ACB">
      <w:pPr>
        <w:spacing w:line="276" w:lineRule="auto"/>
        <w:rPr>
          <w:rFonts w:ascii="Times New Roman" w:eastAsia="Arial Unicode MS" w:hAnsi="Times New Roman" w:cs="Times New Roman"/>
          <w:bCs/>
          <w:color w:val="000000" w:themeColor="text1"/>
          <w:sz w:val="20"/>
        </w:rPr>
      </w:pPr>
    </w:p>
    <w:sectPr w:rsidR="00E16BA6" w:rsidRPr="00044ACB" w:rsidSect="006A7D47">
      <w:type w:val="continuous"/>
      <w:pgSz w:w="11906" w:h="16838"/>
      <w:pgMar w:top="2127" w:right="1134"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6BF8E" w14:textId="77777777" w:rsidR="00631468" w:rsidRDefault="00631468">
      <w:pPr>
        <w:spacing w:after="0" w:line="240" w:lineRule="auto"/>
      </w:pPr>
      <w:r>
        <w:separator/>
      </w:r>
    </w:p>
  </w:endnote>
  <w:endnote w:type="continuationSeparator" w:id="0">
    <w:p w14:paraId="1DE8512F" w14:textId="77777777" w:rsidR="00631468" w:rsidRDefault="00631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FE6B8" w14:textId="77777777" w:rsidR="00CC2FEC" w:rsidRDefault="0007260B" w:rsidP="0052336E">
    <w:pPr>
      <w:pStyle w:val="Rodap"/>
      <w:tabs>
        <w:tab w:val="clear" w:pos="4252"/>
        <w:tab w:val="clear" w:pos="8504"/>
        <w:tab w:val="left" w:pos="3060"/>
      </w:tabs>
    </w:pPr>
    <w:r>
      <w:rPr>
        <w:noProof/>
      </w:rPr>
      <w:drawing>
        <wp:anchor distT="0" distB="0" distL="114300" distR="114300" simplePos="0" relativeHeight="251660288" behindDoc="1" locked="0" layoutInCell="1" allowOverlap="1" wp14:anchorId="419546D4" wp14:editId="7C592921">
          <wp:simplePos x="0" y="0"/>
          <wp:positionH relativeFrom="page">
            <wp:align>center</wp:align>
          </wp:positionH>
          <wp:positionV relativeFrom="paragraph">
            <wp:posOffset>63612</wp:posOffset>
          </wp:positionV>
          <wp:extent cx="4069977" cy="674309"/>
          <wp:effectExtent l="0" t="0" r="0" b="0"/>
          <wp:wrapNone/>
          <wp:docPr id="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9977" cy="674309"/>
                  </a:xfrm>
                  <a:prstGeom prst="rect">
                    <a:avLst/>
                  </a:prstGeom>
                  <a:noFill/>
                </pic:spPr>
              </pic:pic>
            </a:graphicData>
          </a:graphic>
          <wp14:sizeRelH relativeFrom="page">
            <wp14:pctWidth>0</wp14:pctWidth>
          </wp14:sizeRelH>
          <wp14:sizeRelV relativeFrom="page">
            <wp14:pctHeight>0</wp14:pctHeight>
          </wp14:sizeRelV>
        </wp:anchor>
      </w:drawing>
    </w:r>
    <w:r w:rsidR="0052336E">
      <w:tab/>
    </w:r>
  </w:p>
  <w:p w14:paraId="4522FDD4" w14:textId="77777777" w:rsidR="00CC2FEC" w:rsidRDefault="00CC2FE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BFE33" w14:textId="77777777" w:rsidR="00631468" w:rsidRDefault="00631468">
      <w:pPr>
        <w:spacing w:after="0" w:line="240" w:lineRule="auto"/>
      </w:pPr>
      <w:r>
        <w:separator/>
      </w:r>
    </w:p>
  </w:footnote>
  <w:footnote w:type="continuationSeparator" w:id="0">
    <w:p w14:paraId="060A1CDC" w14:textId="77777777" w:rsidR="00631468" w:rsidRDefault="00631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698B" w14:textId="77777777" w:rsidR="00CC2FEC" w:rsidRDefault="00CC2FEC">
    <w:pPr>
      <w:pStyle w:val="Cabealho"/>
    </w:pPr>
    <w:r>
      <w:rPr>
        <w:noProof/>
        <w:lang w:eastAsia="pt-BR"/>
      </w:rPr>
      <w:drawing>
        <wp:anchor distT="0" distB="0" distL="114300" distR="114300" simplePos="0" relativeHeight="251659264" behindDoc="1" locked="0" layoutInCell="1" allowOverlap="1" wp14:anchorId="60770188" wp14:editId="5082B637">
          <wp:simplePos x="0" y="0"/>
          <wp:positionH relativeFrom="margin">
            <wp:align>center</wp:align>
          </wp:positionH>
          <wp:positionV relativeFrom="paragraph">
            <wp:posOffset>-240030</wp:posOffset>
          </wp:positionV>
          <wp:extent cx="4381500" cy="981710"/>
          <wp:effectExtent l="0" t="0" r="0" b="889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981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D8E59E" w14:textId="77777777" w:rsidR="00CC2FEC" w:rsidRDefault="00CC2FE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10FB"/>
    <w:multiLevelType w:val="multilevel"/>
    <w:tmpl w:val="6742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05950"/>
    <w:multiLevelType w:val="multilevel"/>
    <w:tmpl w:val="35A450D4"/>
    <w:lvl w:ilvl="0">
      <w:start w:val="5"/>
      <w:numFmt w:val="decimal"/>
      <w:lvlText w:val="%1"/>
      <w:lvlJc w:val="left"/>
      <w:pPr>
        <w:ind w:left="360" w:hanging="360"/>
      </w:pPr>
      <w:rPr>
        <w:rFonts w:hint="default"/>
        <w:b/>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57F64BC4"/>
    <w:multiLevelType w:val="multilevel"/>
    <w:tmpl w:val="BC6C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8A5AEA"/>
    <w:multiLevelType w:val="multilevel"/>
    <w:tmpl w:val="195A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F21B13"/>
    <w:multiLevelType w:val="multilevel"/>
    <w:tmpl w:val="BADA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11BFD"/>
    <w:multiLevelType w:val="hybridMultilevel"/>
    <w:tmpl w:val="BC0A736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50508964">
    <w:abstractNumId w:val="5"/>
  </w:num>
  <w:num w:numId="2" w16cid:durableId="2010596738">
    <w:abstractNumId w:val="3"/>
  </w:num>
  <w:num w:numId="3" w16cid:durableId="1140344382">
    <w:abstractNumId w:val="2"/>
  </w:num>
  <w:num w:numId="4" w16cid:durableId="2096589723">
    <w:abstractNumId w:val="0"/>
  </w:num>
  <w:num w:numId="5" w16cid:durableId="454983210">
    <w:abstractNumId w:val="4"/>
  </w:num>
  <w:num w:numId="6" w16cid:durableId="681202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CA"/>
    <w:rsid w:val="00005532"/>
    <w:rsid w:val="000175DE"/>
    <w:rsid w:val="000254E2"/>
    <w:rsid w:val="00032CB4"/>
    <w:rsid w:val="000338E9"/>
    <w:rsid w:val="00037BAF"/>
    <w:rsid w:val="00044ACB"/>
    <w:rsid w:val="000505F2"/>
    <w:rsid w:val="000511A6"/>
    <w:rsid w:val="000648A3"/>
    <w:rsid w:val="0007260B"/>
    <w:rsid w:val="000829DF"/>
    <w:rsid w:val="00090D5F"/>
    <w:rsid w:val="00095AF3"/>
    <w:rsid w:val="000C79A4"/>
    <w:rsid w:val="000D11DB"/>
    <w:rsid w:val="000D13FB"/>
    <w:rsid w:val="000D5F8A"/>
    <w:rsid w:val="000F4255"/>
    <w:rsid w:val="000F457C"/>
    <w:rsid w:val="0011415F"/>
    <w:rsid w:val="00124B8B"/>
    <w:rsid w:val="001252AF"/>
    <w:rsid w:val="00140BED"/>
    <w:rsid w:val="001433DA"/>
    <w:rsid w:val="00153773"/>
    <w:rsid w:val="00173EB2"/>
    <w:rsid w:val="001865C4"/>
    <w:rsid w:val="00186683"/>
    <w:rsid w:val="001B28EE"/>
    <w:rsid w:val="001B2EEA"/>
    <w:rsid w:val="001C6612"/>
    <w:rsid w:val="001C786C"/>
    <w:rsid w:val="001D7A2D"/>
    <w:rsid w:val="001F0B91"/>
    <w:rsid w:val="00211225"/>
    <w:rsid w:val="00224933"/>
    <w:rsid w:val="00226EF8"/>
    <w:rsid w:val="00234F5A"/>
    <w:rsid w:val="00242D32"/>
    <w:rsid w:val="002451EC"/>
    <w:rsid w:val="00245F97"/>
    <w:rsid w:val="0024760C"/>
    <w:rsid w:val="0024777F"/>
    <w:rsid w:val="00250C00"/>
    <w:rsid w:val="00253DEF"/>
    <w:rsid w:val="00266AE2"/>
    <w:rsid w:val="00271437"/>
    <w:rsid w:val="00275D93"/>
    <w:rsid w:val="00276039"/>
    <w:rsid w:val="00295590"/>
    <w:rsid w:val="002A64AC"/>
    <w:rsid w:val="002C0126"/>
    <w:rsid w:val="002E7B24"/>
    <w:rsid w:val="002F11F4"/>
    <w:rsid w:val="002F2DE9"/>
    <w:rsid w:val="002F758D"/>
    <w:rsid w:val="00301324"/>
    <w:rsid w:val="00316508"/>
    <w:rsid w:val="0032794E"/>
    <w:rsid w:val="00333358"/>
    <w:rsid w:val="00337414"/>
    <w:rsid w:val="0034161A"/>
    <w:rsid w:val="00344467"/>
    <w:rsid w:val="00345C3A"/>
    <w:rsid w:val="00351B14"/>
    <w:rsid w:val="00390E17"/>
    <w:rsid w:val="00391F04"/>
    <w:rsid w:val="003933E4"/>
    <w:rsid w:val="00393F3F"/>
    <w:rsid w:val="003978C7"/>
    <w:rsid w:val="003B1F7B"/>
    <w:rsid w:val="003F02DE"/>
    <w:rsid w:val="0040363F"/>
    <w:rsid w:val="004175C9"/>
    <w:rsid w:val="00425779"/>
    <w:rsid w:val="00431396"/>
    <w:rsid w:val="00451BD6"/>
    <w:rsid w:val="0045591F"/>
    <w:rsid w:val="0046337F"/>
    <w:rsid w:val="00485CE0"/>
    <w:rsid w:val="00486D6B"/>
    <w:rsid w:val="004979FD"/>
    <w:rsid w:val="004A0A77"/>
    <w:rsid w:val="004A0DDD"/>
    <w:rsid w:val="004D7505"/>
    <w:rsid w:val="004F1DEE"/>
    <w:rsid w:val="005074A0"/>
    <w:rsid w:val="005079FB"/>
    <w:rsid w:val="00517B65"/>
    <w:rsid w:val="0052336E"/>
    <w:rsid w:val="00532970"/>
    <w:rsid w:val="0053719A"/>
    <w:rsid w:val="005676AE"/>
    <w:rsid w:val="00575FBC"/>
    <w:rsid w:val="00595D67"/>
    <w:rsid w:val="005A2ED6"/>
    <w:rsid w:val="005B0162"/>
    <w:rsid w:val="005B3574"/>
    <w:rsid w:val="005C0BB8"/>
    <w:rsid w:val="005C5607"/>
    <w:rsid w:val="005C7A46"/>
    <w:rsid w:val="005E4F41"/>
    <w:rsid w:val="005E5775"/>
    <w:rsid w:val="005E7F2F"/>
    <w:rsid w:val="00601C03"/>
    <w:rsid w:val="00613591"/>
    <w:rsid w:val="00631468"/>
    <w:rsid w:val="00631D55"/>
    <w:rsid w:val="006345A3"/>
    <w:rsid w:val="00652924"/>
    <w:rsid w:val="00655D89"/>
    <w:rsid w:val="006634C5"/>
    <w:rsid w:val="006640C8"/>
    <w:rsid w:val="00676535"/>
    <w:rsid w:val="00680BEA"/>
    <w:rsid w:val="006A7D47"/>
    <w:rsid w:val="006B017F"/>
    <w:rsid w:val="006B01EB"/>
    <w:rsid w:val="006B356D"/>
    <w:rsid w:val="006E0048"/>
    <w:rsid w:val="006E610E"/>
    <w:rsid w:val="006E633F"/>
    <w:rsid w:val="006E786C"/>
    <w:rsid w:val="006F00C8"/>
    <w:rsid w:val="00705053"/>
    <w:rsid w:val="007066CE"/>
    <w:rsid w:val="00714ADF"/>
    <w:rsid w:val="00725A10"/>
    <w:rsid w:val="00733F97"/>
    <w:rsid w:val="00747719"/>
    <w:rsid w:val="007534F0"/>
    <w:rsid w:val="007714B8"/>
    <w:rsid w:val="007727A6"/>
    <w:rsid w:val="007848F5"/>
    <w:rsid w:val="007925C2"/>
    <w:rsid w:val="007936B7"/>
    <w:rsid w:val="00794327"/>
    <w:rsid w:val="00795ECA"/>
    <w:rsid w:val="007C63E2"/>
    <w:rsid w:val="007D2FB8"/>
    <w:rsid w:val="00814F67"/>
    <w:rsid w:val="00824996"/>
    <w:rsid w:val="008327CD"/>
    <w:rsid w:val="00851E42"/>
    <w:rsid w:val="00855977"/>
    <w:rsid w:val="008830A4"/>
    <w:rsid w:val="00886F49"/>
    <w:rsid w:val="008A25A7"/>
    <w:rsid w:val="008A4C70"/>
    <w:rsid w:val="008B00BF"/>
    <w:rsid w:val="008C59FA"/>
    <w:rsid w:val="008D1473"/>
    <w:rsid w:val="008F32AD"/>
    <w:rsid w:val="009076C2"/>
    <w:rsid w:val="00916A86"/>
    <w:rsid w:val="009264B9"/>
    <w:rsid w:val="00931FFF"/>
    <w:rsid w:val="00956AE2"/>
    <w:rsid w:val="009802FB"/>
    <w:rsid w:val="00982FDC"/>
    <w:rsid w:val="009914EE"/>
    <w:rsid w:val="009A45E7"/>
    <w:rsid w:val="009B6FCB"/>
    <w:rsid w:val="009B7330"/>
    <w:rsid w:val="009C130D"/>
    <w:rsid w:val="009C3746"/>
    <w:rsid w:val="009F4CCF"/>
    <w:rsid w:val="00A060D4"/>
    <w:rsid w:val="00A11551"/>
    <w:rsid w:val="00A3453C"/>
    <w:rsid w:val="00A56981"/>
    <w:rsid w:val="00A62D9A"/>
    <w:rsid w:val="00A74098"/>
    <w:rsid w:val="00A807E7"/>
    <w:rsid w:val="00AB1D36"/>
    <w:rsid w:val="00AB3C11"/>
    <w:rsid w:val="00AC3C00"/>
    <w:rsid w:val="00AC54FB"/>
    <w:rsid w:val="00AC7E05"/>
    <w:rsid w:val="00AD519C"/>
    <w:rsid w:val="00AE2148"/>
    <w:rsid w:val="00AF0695"/>
    <w:rsid w:val="00AF424D"/>
    <w:rsid w:val="00B14ECF"/>
    <w:rsid w:val="00B17D32"/>
    <w:rsid w:val="00B23088"/>
    <w:rsid w:val="00B35350"/>
    <w:rsid w:val="00B465B0"/>
    <w:rsid w:val="00B5393D"/>
    <w:rsid w:val="00B579C9"/>
    <w:rsid w:val="00B74FE8"/>
    <w:rsid w:val="00B81553"/>
    <w:rsid w:val="00B86484"/>
    <w:rsid w:val="00B9605B"/>
    <w:rsid w:val="00BA202F"/>
    <w:rsid w:val="00BB5D4D"/>
    <w:rsid w:val="00BC497D"/>
    <w:rsid w:val="00BD425B"/>
    <w:rsid w:val="00BD6FA5"/>
    <w:rsid w:val="00C00D5A"/>
    <w:rsid w:val="00C16A31"/>
    <w:rsid w:val="00C2365A"/>
    <w:rsid w:val="00C4718B"/>
    <w:rsid w:val="00C767AA"/>
    <w:rsid w:val="00C84007"/>
    <w:rsid w:val="00C9452A"/>
    <w:rsid w:val="00CA338C"/>
    <w:rsid w:val="00CA57F0"/>
    <w:rsid w:val="00CA6663"/>
    <w:rsid w:val="00CA7D61"/>
    <w:rsid w:val="00CB0BBF"/>
    <w:rsid w:val="00CB79EF"/>
    <w:rsid w:val="00CC2A6B"/>
    <w:rsid w:val="00CC2FEC"/>
    <w:rsid w:val="00CC77C0"/>
    <w:rsid w:val="00CC780A"/>
    <w:rsid w:val="00CD63BF"/>
    <w:rsid w:val="00CE6B9C"/>
    <w:rsid w:val="00D45F05"/>
    <w:rsid w:val="00D53D1E"/>
    <w:rsid w:val="00D569BA"/>
    <w:rsid w:val="00D70A66"/>
    <w:rsid w:val="00D76F99"/>
    <w:rsid w:val="00D772CA"/>
    <w:rsid w:val="00D9025C"/>
    <w:rsid w:val="00DA1A29"/>
    <w:rsid w:val="00DD2DED"/>
    <w:rsid w:val="00DE3FC8"/>
    <w:rsid w:val="00DE7945"/>
    <w:rsid w:val="00E069BF"/>
    <w:rsid w:val="00E11E43"/>
    <w:rsid w:val="00E16BA6"/>
    <w:rsid w:val="00E21276"/>
    <w:rsid w:val="00E21CD5"/>
    <w:rsid w:val="00E305F3"/>
    <w:rsid w:val="00E31DA2"/>
    <w:rsid w:val="00E430F2"/>
    <w:rsid w:val="00E4361E"/>
    <w:rsid w:val="00E6249E"/>
    <w:rsid w:val="00E6668F"/>
    <w:rsid w:val="00E74D59"/>
    <w:rsid w:val="00E762DA"/>
    <w:rsid w:val="00E877DA"/>
    <w:rsid w:val="00EA150E"/>
    <w:rsid w:val="00ED0FB6"/>
    <w:rsid w:val="00ED4ACE"/>
    <w:rsid w:val="00EE2FAC"/>
    <w:rsid w:val="00EF1777"/>
    <w:rsid w:val="00EF52E1"/>
    <w:rsid w:val="00F04BF3"/>
    <w:rsid w:val="00F06D06"/>
    <w:rsid w:val="00F23E76"/>
    <w:rsid w:val="00F253CF"/>
    <w:rsid w:val="00F31E16"/>
    <w:rsid w:val="00F34CB8"/>
    <w:rsid w:val="00F430EC"/>
    <w:rsid w:val="00F436C4"/>
    <w:rsid w:val="00F46594"/>
    <w:rsid w:val="00F526D5"/>
    <w:rsid w:val="00F60AA2"/>
    <w:rsid w:val="00F62B74"/>
    <w:rsid w:val="00F640AA"/>
    <w:rsid w:val="00F67A4E"/>
    <w:rsid w:val="00F70529"/>
    <w:rsid w:val="00F7435E"/>
    <w:rsid w:val="00F8512A"/>
    <w:rsid w:val="00F85573"/>
    <w:rsid w:val="00F931ED"/>
    <w:rsid w:val="00FA0B37"/>
    <w:rsid w:val="00FA4C94"/>
    <w:rsid w:val="00FB2ACD"/>
    <w:rsid w:val="00FC3550"/>
    <w:rsid w:val="00FC67DF"/>
    <w:rsid w:val="00FC6A11"/>
    <w:rsid w:val="00FC7AFE"/>
    <w:rsid w:val="00FE2E45"/>
    <w:rsid w:val="00FE2E53"/>
    <w:rsid w:val="00FE2E87"/>
    <w:rsid w:val="00FF70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E476BB"/>
  <w15:chartTrackingRefBased/>
  <w15:docId w15:val="{1FB07FDF-F23A-45FD-ADAB-BD955E33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Theme="minorHAnsi" w:hAnsi="Arial Unicode MS" w:cs="Arial Unicode MS"/>
        <w:iCs/>
        <w:sz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772CA"/>
    <w:pPr>
      <w:tabs>
        <w:tab w:val="center" w:pos="4252"/>
        <w:tab w:val="right" w:pos="8504"/>
      </w:tabs>
      <w:spacing w:after="0" w:line="240" w:lineRule="auto"/>
    </w:pPr>
    <w:rPr>
      <w:rFonts w:ascii="Calibri" w:eastAsia="Calibri" w:hAnsi="Calibri" w:cs="Times New Roman"/>
      <w:iCs w:val="0"/>
      <w:szCs w:val="22"/>
    </w:rPr>
  </w:style>
  <w:style w:type="character" w:customStyle="1" w:styleId="CabealhoChar">
    <w:name w:val="Cabeçalho Char"/>
    <w:basedOn w:val="Fontepargpadro"/>
    <w:link w:val="Cabealho"/>
    <w:uiPriority w:val="99"/>
    <w:rsid w:val="00D772CA"/>
    <w:rPr>
      <w:rFonts w:ascii="Calibri" w:eastAsia="Calibri" w:hAnsi="Calibri" w:cs="Times New Roman"/>
      <w:iCs w:val="0"/>
      <w:szCs w:val="22"/>
    </w:rPr>
  </w:style>
  <w:style w:type="paragraph" w:styleId="Rodap">
    <w:name w:val="footer"/>
    <w:basedOn w:val="Normal"/>
    <w:link w:val="RodapChar"/>
    <w:uiPriority w:val="99"/>
    <w:unhideWhenUsed/>
    <w:rsid w:val="00D772CA"/>
    <w:pPr>
      <w:tabs>
        <w:tab w:val="center" w:pos="4252"/>
        <w:tab w:val="right" w:pos="8504"/>
      </w:tabs>
      <w:spacing w:after="0" w:line="240" w:lineRule="auto"/>
    </w:pPr>
    <w:rPr>
      <w:rFonts w:ascii="Calibri" w:eastAsia="Calibri" w:hAnsi="Calibri" w:cs="Times New Roman"/>
      <w:iCs w:val="0"/>
      <w:szCs w:val="22"/>
    </w:rPr>
  </w:style>
  <w:style w:type="character" w:customStyle="1" w:styleId="RodapChar">
    <w:name w:val="Rodapé Char"/>
    <w:basedOn w:val="Fontepargpadro"/>
    <w:link w:val="Rodap"/>
    <w:uiPriority w:val="99"/>
    <w:rsid w:val="00D772CA"/>
    <w:rPr>
      <w:rFonts w:ascii="Calibri" w:eastAsia="Calibri" w:hAnsi="Calibri" w:cs="Times New Roman"/>
      <w:iCs w:val="0"/>
      <w:szCs w:val="22"/>
    </w:rPr>
  </w:style>
  <w:style w:type="character" w:styleId="Hyperlink">
    <w:name w:val="Hyperlink"/>
    <w:uiPriority w:val="99"/>
    <w:rsid w:val="00D772CA"/>
    <w:rPr>
      <w:color w:val="0000FF"/>
      <w:u w:val="single"/>
    </w:rPr>
  </w:style>
  <w:style w:type="table" w:styleId="Tabelacomgrade">
    <w:name w:val="Table Grid"/>
    <w:basedOn w:val="Tabelanormal"/>
    <w:uiPriority w:val="59"/>
    <w:rsid w:val="0045591F"/>
    <w:pPr>
      <w:spacing w:after="0" w:line="240" w:lineRule="auto"/>
      <w:jc w:val="center"/>
    </w:pPr>
    <w:rPr>
      <w:rFonts w:asciiTheme="minorHAnsi" w:hAnsiTheme="minorHAnsi" w:cstheme="minorBidi"/>
      <w:iCs w:val="0"/>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DA1A29"/>
    <w:pPr>
      <w:ind w:left="720"/>
      <w:contextualSpacing/>
    </w:pPr>
  </w:style>
  <w:style w:type="character" w:styleId="Refdecomentrio">
    <w:name w:val="annotation reference"/>
    <w:basedOn w:val="Fontepargpadro"/>
    <w:uiPriority w:val="99"/>
    <w:semiHidden/>
    <w:unhideWhenUsed/>
    <w:rsid w:val="002C0126"/>
    <w:rPr>
      <w:sz w:val="16"/>
      <w:szCs w:val="16"/>
    </w:rPr>
  </w:style>
  <w:style w:type="paragraph" w:styleId="Textodecomentrio">
    <w:name w:val="annotation text"/>
    <w:basedOn w:val="Normal"/>
    <w:link w:val="TextodecomentrioChar"/>
    <w:uiPriority w:val="99"/>
    <w:semiHidden/>
    <w:unhideWhenUsed/>
    <w:rsid w:val="002C0126"/>
    <w:pPr>
      <w:spacing w:line="240" w:lineRule="auto"/>
    </w:pPr>
    <w:rPr>
      <w:sz w:val="20"/>
    </w:rPr>
  </w:style>
  <w:style w:type="character" w:customStyle="1" w:styleId="TextodecomentrioChar">
    <w:name w:val="Texto de comentário Char"/>
    <w:basedOn w:val="Fontepargpadro"/>
    <w:link w:val="Textodecomentrio"/>
    <w:uiPriority w:val="99"/>
    <w:semiHidden/>
    <w:rsid w:val="002C0126"/>
    <w:rPr>
      <w:sz w:val="20"/>
    </w:rPr>
  </w:style>
  <w:style w:type="paragraph" w:styleId="Assuntodocomentrio">
    <w:name w:val="annotation subject"/>
    <w:basedOn w:val="Textodecomentrio"/>
    <w:next w:val="Textodecomentrio"/>
    <w:link w:val="AssuntodocomentrioChar"/>
    <w:uiPriority w:val="99"/>
    <w:semiHidden/>
    <w:unhideWhenUsed/>
    <w:rsid w:val="002C0126"/>
    <w:rPr>
      <w:b/>
      <w:bCs/>
    </w:rPr>
  </w:style>
  <w:style w:type="character" w:customStyle="1" w:styleId="AssuntodocomentrioChar">
    <w:name w:val="Assunto do comentário Char"/>
    <w:basedOn w:val="TextodecomentrioChar"/>
    <w:link w:val="Assuntodocomentrio"/>
    <w:uiPriority w:val="99"/>
    <w:semiHidden/>
    <w:rsid w:val="002C0126"/>
    <w:rPr>
      <w:b/>
      <w:bCs/>
      <w:sz w:val="20"/>
    </w:rPr>
  </w:style>
  <w:style w:type="character" w:styleId="MenoPendente">
    <w:name w:val="Unresolved Mention"/>
    <w:basedOn w:val="Fontepargpadro"/>
    <w:uiPriority w:val="99"/>
    <w:semiHidden/>
    <w:unhideWhenUsed/>
    <w:rsid w:val="00ED0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3394">
      <w:bodyDiv w:val="1"/>
      <w:marLeft w:val="0"/>
      <w:marRight w:val="0"/>
      <w:marTop w:val="0"/>
      <w:marBottom w:val="0"/>
      <w:divBdr>
        <w:top w:val="none" w:sz="0" w:space="0" w:color="auto"/>
        <w:left w:val="none" w:sz="0" w:space="0" w:color="auto"/>
        <w:bottom w:val="none" w:sz="0" w:space="0" w:color="auto"/>
        <w:right w:val="none" w:sz="0" w:space="0" w:color="auto"/>
      </w:divBdr>
    </w:div>
    <w:div w:id="18624707">
      <w:bodyDiv w:val="1"/>
      <w:marLeft w:val="0"/>
      <w:marRight w:val="0"/>
      <w:marTop w:val="0"/>
      <w:marBottom w:val="0"/>
      <w:divBdr>
        <w:top w:val="none" w:sz="0" w:space="0" w:color="auto"/>
        <w:left w:val="none" w:sz="0" w:space="0" w:color="auto"/>
        <w:bottom w:val="none" w:sz="0" w:space="0" w:color="auto"/>
        <w:right w:val="none" w:sz="0" w:space="0" w:color="auto"/>
      </w:divBdr>
    </w:div>
    <w:div w:id="19622965">
      <w:bodyDiv w:val="1"/>
      <w:marLeft w:val="0"/>
      <w:marRight w:val="0"/>
      <w:marTop w:val="0"/>
      <w:marBottom w:val="0"/>
      <w:divBdr>
        <w:top w:val="none" w:sz="0" w:space="0" w:color="auto"/>
        <w:left w:val="none" w:sz="0" w:space="0" w:color="auto"/>
        <w:bottom w:val="none" w:sz="0" w:space="0" w:color="auto"/>
        <w:right w:val="none" w:sz="0" w:space="0" w:color="auto"/>
      </w:divBdr>
    </w:div>
    <w:div w:id="49502825">
      <w:bodyDiv w:val="1"/>
      <w:marLeft w:val="0"/>
      <w:marRight w:val="0"/>
      <w:marTop w:val="0"/>
      <w:marBottom w:val="0"/>
      <w:divBdr>
        <w:top w:val="none" w:sz="0" w:space="0" w:color="auto"/>
        <w:left w:val="none" w:sz="0" w:space="0" w:color="auto"/>
        <w:bottom w:val="none" w:sz="0" w:space="0" w:color="auto"/>
        <w:right w:val="none" w:sz="0" w:space="0" w:color="auto"/>
      </w:divBdr>
    </w:div>
    <w:div w:id="56561386">
      <w:bodyDiv w:val="1"/>
      <w:marLeft w:val="0"/>
      <w:marRight w:val="0"/>
      <w:marTop w:val="0"/>
      <w:marBottom w:val="0"/>
      <w:divBdr>
        <w:top w:val="none" w:sz="0" w:space="0" w:color="auto"/>
        <w:left w:val="none" w:sz="0" w:space="0" w:color="auto"/>
        <w:bottom w:val="none" w:sz="0" w:space="0" w:color="auto"/>
        <w:right w:val="none" w:sz="0" w:space="0" w:color="auto"/>
      </w:divBdr>
    </w:div>
    <w:div w:id="66660855">
      <w:bodyDiv w:val="1"/>
      <w:marLeft w:val="0"/>
      <w:marRight w:val="0"/>
      <w:marTop w:val="0"/>
      <w:marBottom w:val="0"/>
      <w:divBdr>
        <w:top w:val="none" w:sz="0" w:space="0" w:color="auto"/>
        <w:left w:val="none" w:sz="0" w:space="0" w:color="auto"/>
        <w:bottom w:val="none" w:sz="0" w:space="0" w:color="auto"/>
        <w:right w:val="none" w:sz="0" w:space="0" w:color="auto"/>
      </w:divBdr>
    </w:div>
    <w:div w:id="67698727">
      <w:bodyDiv w:val="1"/>
      <w:marLeft w:val="0"/>
      <w:marRight w:val="0"/>
      <w:marTop w:val="0"/>
      <w:marBottom w:val="0"/>
      <w:divBdr>
        <w:top w:val="none" w:sz="0" w:space="0" w:color="auto"/>
        <w:left w:val="none" w:sz="0" w:space="0" w:color="auto"/>
        <w:bottom w:val="none" w:sz="0" w:space="0" w:color="auto"/>
        <w:right w:val="none" w:sz="0" w:space="0" w:color="auto"/>
      </w:divBdr>
    </w:div>
    <w:div w:id="110515342">
      <w:bodyDiv w:val="1"/>
      <w:marLeft w:val="0"/>
      <w:marRight w:val="0"/>
      <w:marTop w:val="0"/>
      <w:marBottom w:val="0"/>
      <w:divBdr>
        <w:top w:val="none" w:sz="0" w:space="0" w:color="auto"/>
        <w:left w:val="none" w:sz="0" w:space="0" w:color="auto"/>
        <w:bottom w:val="none" w:sz="0" w:space="0" w:color="auto"/>
        <w:right w:val="none" w:sz="0" w:space="0" w:color="auto"/>
      </w:divBdr>
    </w:div>
    <w:div w:id="137497019">
      <w:bodyDiv w:val="1"/>
      <w:marLeft w:val="0"/>
      <w:marRight w:val="0"/>
      <w:marTop w:val="0"/>
      <w:marBottom w:val="0"/>
      <w:divBdr>
        <w:top w:val="none" w:sz="0" w:space="0" w:color="auto"/>
        <w:left w:val="none" w:sz="0" w:space="0" w:color="auto"/>
        <w:bottom w:val="none" w:sz="0" w:space="0" w:color="auto"/>
        <w:right w:val="none" w:sz="0" w:space="0" w:color="auto"/>
      </w:divBdr>
      <w:divsChild>
        <w:div w:id="1612202709">
          <w:marLeft w:val="0"/>
          <w:marRight w:val="0"/>
          <w:marTop w:val="0"/>
          <w:marBottom w:val="0"/>
          <w:divBdr>
            <w:top w:val="none" w:sz="0" w:space="0" w:color="auto"/>
            <w:left w:val="none" w:sz="0" w:space="0" w:color="auto"/>
            <w:bottom w:val="none" w:sz="0" w:space="0" w:color="auto"/>
            <w:right w:val="none" w:sz="0" w:space="0" w:color="auto"/>
          </w:divBdr>
          <w:divsChild>
            <w:div w:id="178658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03705">
      <w:bodyDiv w:val="1"/>
      <w:marLeft w:val="0"/>
      <w:marRight w:val="0"/>
      <w:marTop w:val="0"/>
      <w:marBottom w:val="0"/>
      <w:divBdr>
        <w:top w:val="none" w:sz="0" w:space="0" w:color="auto"/>
        <w:left w:val="none" w:sz="0" w:space="0" w:color="auto"/>
        <w:bottom w:val="none" w:sz="0" w:space="0" w:color="auto"/>
        <w:right w:val="none" w:sz="0" w:space="0" w:color="auto"/>
      </w:divBdr>
    </w:div>
    <w:div w:id="152332393">
      <w:bodyDiv w:val="1"/>
      <w:marLeft w:val="0"/>
      <w:marRight w:val="0"/>
      <w:marTop w:val="0"/>
      <w:marBottom w:val="0"/>
      <w:divBdr>
        <w:top w:val="none" w:sz="0" w:space="0" w:color="auto"/>
        <w:left w:val="none" w:sz="0" w:space="0" w:color="auto"/>
        <w:bottom w:val="none" w:sz="0" w:space="0" w:color="auto"/>
        <w:right w:val="none" w:sz="0" w:space="0" w:color="auto"/>
      </w:divBdr>
    </w:div>
    <w:div w:id="175925481">
      <w:bodyDiv w:val="1"/>
      <w:marLeft w:val="0"/>
      <w:marRight w:val="0"/>
      <w:marTop w:val="0"/>
      <w:marBottom w:val="0"/>
      <w:divBdr>
        <w:top w:val="none" w:sz="0" w:space="0" w:color="auto"/>
        <w:left w:val="none" w:sz="0" w:space="0" w:color="auto"/>
        <w:bottom w:val="none" w:sz="0" w:space="0" w:color="auto"/>
        <w:right w:val="none" w:sz="0" w:space="0" w:color="auto"/>
      </w:divBdr>
    </w:div>
    <w:div w:id="185992371">
      <w:bodyDiv w:val="1"/>
      <w:marLeft w:val="0"/>
      <w:marRight w:val="0"/>
      <w:marTop w:val="0"/>
      <w:marBottom w:val="0"/>
      <w:divBdr>
        <w:top w:val="none" w:sz="0" w:space="0" w:color="auto"/>
        <w:left w:val="none" w:sz="0" w:space="0" w:color="auto"/>
        <w:bottom w:val="none" w:sz="0" w:space="0" w:color="auto"/>
        <w:right w:val="none" w:sz="0" w:space="0" w:color="auto"/>
      </w:divBdr>
    </w:div>
    <w:div w:id="228006809">
      <w:bodyDiv w:val="1"/>
      <w:marLeft w:val="0"/>
      <w:marRight w:val="0"/>
      <w:marTop w:val="0"/>
      <w:marBottom w:val="0"/>
      <w:divBdr>
        <w:top w:val="none" w:sz="0" w:space="0" w:color="auto"/>
        <w:left w:val="none" w:sz="0" w:space="0" w:color="auto"/>
        <w:bottom w:val="none" w:sz="0" w:space="0" w:color="auto"/>
        <w:right w:val="none" w:sz="0" w:space="0" w:color="auto"/>
      </w:divBdr>
    </w:div>
    <w:div w:id="245309117">
      <w:bodyDiv w:val="1"/>
      <w:marLeft w:val="0"/>
      <w:marRight w:val="0"/>
      <w:marTop w:val="0"/>
      <w:marBottom w:val="0"/>
      <w:divBdr>
        <w:top w:val="none" w:sz="0" w:space="0" w:color="auto"/>
        <w:left w:val="none" w:sz="0" w:space="0" w:color="auto"/>
        <w:bottom w:val="none" w:sz="0" w:space="0" w:color="auto"/>
        <w:right w:val="none" w:sz="0" w:space="0" w:color="auto"/>
      </w:divBdr>
    </w:div>
    <w:div w:id="253561311">
      <w:bodyDiv w:val="1"/>
      <w:marLeft w:val="0"/>
      <w:marRight w:val="0"/>
      <w:marTop w:val="0"/>
      <w:marBottom w:val="0"/>
      <w:divBdr>
        <w:top w:val="none" w:sz="0" w:space="0" w:color="auto"/>
        <w:left w:val="none" w:sz="0" w:space="0" w:color="auto"/>
        <w:bottom w:val="none" w:sz="0" w:space="0" w:color="auto"/>
        <w:right w:val="none" w:sz="0" w:space="0" w:color="auto"/>
      </w:divBdr>
    </w:div>
    <w:div w:id="272635795">
      <w:bodyDiv w:val="1"/>
      <w:marLeft w:val="0"/>
      <w:marRight w:val="0"/>
      <w:marTop w:val="0"/>
      <w:marBottom w:val="0"/>
      <w:divBdr>
        <w:top w:val="none" w:sz="0" w:space="0" w:color="auto"/>
        <w:left w:val="none" w:sz="0" w:space="0" w:color="auto"/>
        <w:bottom w:val="none" w:sz="0" w:space="0" w:color="auto"/>
        <w:right w:val="none" w:sz="0" w:space="0" w:color="auto"/>
      </w:divBdr>
    </w:div>
    <w:div w:id="299306104">
      <w:bodyDiv w:val="1"/>
      <w:marLeft w:val="0"/>
      <w:marRight w:val="0"/>
      <w:marTop w:val="0"/>
      <w:marBottom w:val="0"/>
      <w:divBdr>
        <w:top w:val="none" w:sz="0" w:space="0" w:color="auto"/>
        <w:left w:val="none" w:sz="0" w:space="0" w:color="auto"/>
        <w:bottom w:val="none" w:sz="0" w:space="0" w:color="auto"/>
        <w:right w:val="none" w:sz="0" w:space="0" w:color="auto"/>
      </w:divBdr>
    </w:div>
    <w:div w:id="413741256">
      <w:bodyDiv w:val="1"/>
      <w:marLeft w:val="0"/>
      <w:marRight w:val="0"/>
      <w:marTop w:val="0"/>
      <w:marBottom w:val="0"/>
      <w:divBdr>
        <w:top w:val="none" w:sz="0" w:space="0" w:color="auto"/>
        <w:left w:val="none" w:sz="0" w:space="0" w:color="auto"/>
        <w:bottom w:val="none" w:sz="0" w:space="0" w:color="auto"/>
        <w:right w:val="none" w:sz="0" w:space="0" w:color="auto"/>
      </w:divBdr>
    </w:div>
    <w:div w:id="416750914">
      <w:bodyDiv w:val="1"/>
      <w:marLeft w:val="0"/>
      <w:marRight w:val="0"/>
      <w:marTop w:val="0"/>
      <w:marBottom w:val="0"/>
      <w:divBdr>
        <w:top w:val="none" w:sz="0" w:space="0" w:color="auto"/>
        <w:left w:val="none" w:sz="0" w:space="0" w:color="auto"/>
        <w:bottom w:val="none" w:sz="0" w:space="0" w:color="auto"/>
        <w:right w:val="none" w:sz="0" w:space="0" w:color="auto"/>
      </w:divBdr>
    </w:div>
    <w:div w:id="461116925">
      <w:bodyDiv w:val="1"/>
      <w:marLeft w:val="0"/>
      <w:marRight w:val="0"/>
      <w:marTop w:val="0"/>
      <w:marBottom w:val="0"/>
      <w:divBdr>
        <w:top w:val="none" w:sz="0" w:space="0" w:color="auto"/>
        <w:left w:val="none" w:sz="0" w:space="0" w:color="auto"/>
        <w:bottom w:val="none" w:sz="0" w:space="0" w:color="auto"/>
        <w:right w:val="none" w:sz="0" w:space="0" w:color="auto"/>
      </w:divBdr>
      <w:divsChild>
        <w:div w:id="1906379470">
          <w:marLeft w:val="0"/>
          <w:marRight w:val="0"/>
          <w:marTop w:val="0"/>
          <w:marBottom w:val="0"/>
          <w:divBdr>
            <w:top w:val="none" w:sz="0" w:space="0" w:color="auto"/>
            <w:left w:val="none" w:sz="0" w:space="0" w:color="auto"/>
            <w:bottom w:val="none" w:sz="0" w:space="0" w:color="auto"/>
            <w:right w:val="none" w:sz="0" w:space="0" w:color="auto"/>
          </w:divBdr>
          <w:divsChild>
            <w:div w:id="1730763321">
              <w:marLeft w:val="0"/>
              <w:marRight w:val="0"/>
              <w:marTop w:val="0"/>
              <w:marBottom w:val="0"/>
              <w:divBdr>
                <w:top w:val="none" w:sz="0" w:space="0" w:color="auto"/>
                <w:left w:val="none" w:sz="0" w:space="0" w:color="auto"/>
                <w:bottom w:val="none" w:sz="0" w:space="0" w:color="auto"/>
                <w:right w:val="none" w:sz="0" w:space="0" w:color="auto"/>
              </w:divBdr>
              <w:divsChild>
                <w:div w:id="1266579534">
                  <w:marLeft w:val="0"/>
                  <w:marRight w:val="0"/>
                  <w:marTop w:val="0"/>
                  <w:marBottom w:val="0"/>
                  <w:divBdr>
                    <w:top w:val="none" w:sz="0" w:space="0" w:color="auto"/>
                    <w:left w:val="none" w:sz="0" w:space="0" w:color="auto"/>
                    <w:bottom w:val="none" w:sz="0" w:space="0" w:color="auto"/>
                    <w:right w:val="none" w:sz="0" w:space="0" w:color="auto"/>
                  </w:divBdr>
                  <w:divsChild>
                    <w:div w:id="1893804841">
                      <w:marLeft w:val="0"/>
                      <w:marRight w:val="0"/>
                      <w:marTop w:val="0"/>
                      <w:marBottom w:val="0"/>
                      <w:divBdr>
                        <w:top w:val="none" w:sz="0" w:space="0" w:color="auto"/>
                        <w:left w:val="none" w:sz="0" w:space="0" w:color="auto"/>
                        <w:bottom w:val="none" w:sz="0" w:space="0" w:color="auto"/>
                        <w:right w:val="none" w:sz="0" w:space="0" w:color="auto"/>
                      </w:divBdr>
                      <w:divsChild>
                        <w:div w:id="564536909">
                          <w:marLeft w:val="0"/>
                          <w:marRight w:val="0"/>
                          <w:marTop w:val="0"/>
                          <w:marBottom w:val="0"/>
                          <w:divBdr>
                            <w:top w:val="none" w:sz="0" w:space="0" w:color="auto"/>
                            <w:left w:val="none" w:sz="0" w:space="0" w:color="auto"/>
                            <w:bottom w:val="none" w:sz="0" w:space="0" w:color="auto"/>
                            <w:right w:val="none" w:sz="0" w:space="0" w:color="auto"/>
                          </w:divBdr>
                          <w:divsChild>
                            <w:div w:id="1358265947">
                              <w:marLeft w:val="0"/>
                              <w:marRight w:val="0"/>
                              <w:marTop w:val="0"/>
                              <w:marBottom w:val="0"/>
                              <w:divBdr>
                                <w:top w:val="none" w:sz="0" w:space="0" w:color="auto"/>
                                <w:left w:val="none" w:sz="0" w:space="0" w:color="auto"/>
                                <w:bottom w:val="none" w:sz="0" w:space="0" w:color="auto"/>
                                <w:right w:val="none" w:sz="0" w:space="0" w:color="auto"/>
                              </w:divBdr>
                              <w:divsChild>
                                <w:div w:id="254245875">
                                  <w:marLeft w:val="0"/>
                                  <w:marRight w:val="0"/>
                                  <w:marTop w:val="0"/>
                                  <w:marBottom w:val="0"/>
                                  <w:divBdr>
                                    <w:top w:val="none" w:sz="0" w:space="0" w:color="auto"/>
                                    <w:left w:val="none" w:sz="0" w:space="0" w:color="auto"/>
                                    <w:bottom w:val="none" w:sz="0" w:space="0" w:color="auto"/>
                                    <w:right w:val="none" w:sz="0" w:space="0" w:color="auto"/>
                                  </w:divBdr>
                                  <w:divsChild>
                                    <w:div w:id="73847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8942681">
      <w:bodyDiv w:val="1"/>
      <w:marLeft w:val="0"/>
      <w:marRight w:val="0"/>
      <w:marTop w:val="0"/>
      <w:marBottom w:val="0"/>
      <w:divBdr>
        <w:top w:val="none" w:sz="0" w:space="0" w:color="auto"/>
        <w:left w:val="none" w:sz="0" w:space="0" w:color="auto"/>
        <w:bottom w:val="none" w:sz="0" w:space="0" w:color="auto"/>
        <w:right w:val="none" w:sz="0" w:space="0" w:color="auto"/>
      </w:divBdr>
    </w:div>
    <w:div w:id="470244953">
      <w:bodyDiv w:val="1"/>
      <w:marLeft w:val="0"/>
      <w:marRight w:val="0"/>
      <w:marTop w:val="0"/>
      <w:marBottom w:val="0"/>
      <w:divBdr>
        <w:top w:val="none" w:sz="0" w:space="0" w:color="auto"/>
        <w:left w:val="none" w:sz="0" w:space="0" w:color="auto"/>
        <w:bottom w:val="none" w:sz="0" w:space="0" w:color="auto"/>
        <w:right w:val="none" w:sz="0" w:space="0" w:color="auto"/>
      </w:divBdr>
    </w:div>
    <w:div w:id="487210809">
      <w:bodyDiv w:val="1"/>
      <w:marLeft w:val="0"/>
      <w:marRight w:val="0"/>
      <w:marTop w:val="0"/>
      <w:marBottom w:val="0"/>
      <w:divBdr>
        <w:top w:val="none" w:sz="0" w:space="0" w:color="auto"/>
        <w:left w:val="none" w:sz="0" w:space="0" w:color="auto"/>
        <w:bottom w:val="none" w:sz="0" w:space="0" w:color="auto"/>
        <w:right w:val="none" w:sz="0" w:space="0" w:color="auto"/>
      </w:divBdr>
    </w:div>
    <w:div w:id="496266571">
      <w:bodyDiv w:val="1"/>
      <w:marLeft w:val="0"/>
      <w:marRight w:val="0"/>
      <w:marTop w:val="0"/>
      <w:marBottom w:val="0"/>
      <w:divBdr>
        <w:top w:val="none" w:sz="0" w:space="0" w:color="auto"/>
        <w:left w:val="none" w:sz="0" w:space="0" w:color="auto"/>
        <w:bottom w:val="none" w:sz="0" w:space="0" w:color="auto"/>
        <w:right w:val="none" w:sz="0" w:space="0" w:color="auto"/>
      </w:divBdr>
    </w:div>
    <w:div w:id="527454080">
      <w:bodyDiv w:val="1"/>
      <w:marLeft w:val="0"/>
      <w:marRight w:val="0"/>
      <w:marTop w:val="0"/>
      <w:marBottom w:val="0"/>
      <w:divBdr>
        <w:top w:val="none" w:sz="0" w:space="0" w:color="auto"/>
        <w:left w:val="none" w:sz="0" w:space="0" w:color="auto"/>
        <w:bottom w:val="none" w:sz="0" w:space="0" w:color="auto"/>
        <w:right w:val="none" w:sz="0" w:space="0" w:color="auto"/>
      </w:divBdr>
    </w:div>
    <w:div w:id="539362561">
      <w:bodyDiv w:val="1"/>
      <w:marLeft w:val="0"/>
      <w:marRight w:val="0"/>
      <w:marTop w:val="0"/>
      <w:marBottom w:val="0"/>
      <w:divBdr>
        <w:top w:val="none" w:sz="0" w:space="0" w:color="auto"/>
        <w:left w:val="none" w:sz="0" w:space="0" w:color="auto"/>
        <w:bottom w:val="none" w:sz="0" w:space="0" w:color="auto"/>
        <w:right w:val="none" w:sz="0" w:space="0" w:color="auto"/>
      </w:divBdr>
    </w:div>
    <w:div w:id="550767178">
      <w:bodyDiv w:val="1"/>
      <w:marLeft w:val="0"/>
      <w:marRight w:val="0"/>
      <w:marTop w:val="0"/>
      <w:marBottom w:val="0"/>
      <w:divBdr>
        <w:top w:val="none" w:sz="0" w:space="0" w:color="auto"/>
        <w:left w:val="none" w:sz="0" w:space="0" w:color="auto"/>
        <w:bottom w:val="none" w:sz="0" w:space="0" w:color="auto"/>
        <w:right w:val="none" w:sz="0" w:space="0" w:color="auto"/>
      </w:divBdr>
    </w:div>
    <w:div w:id="610280260">
      <w:bodyDiv w:val="1"/>
      <w:marLeft w:val="0"/>
      <w:marRight w:val="0"/>
      <w:marTop w:val="0"/>
      <w:marBottom w:val="0"/>
      <w:divBdr>
        <w:top w:val="none" w:sz="0" w:space="0" w:color="auto"/>
        <w:left w:val="none" w:sz="0" w:space="0" w:color="auto"/>
        <w:bottom w:val="none" w:sz="0" w:space="0" w:color="auto"/>
        <w:right w:val="none" w:sz="0" w:space="0" w:color="auto"/>
      </w:divBdr>
    </w:div>
    <w:div w:id="639306178">
      <w:bodyDiv w:val="1"/>
      <w:marLeft w:val="0"/>
      <w:marRight w:val="0"/>
      <w:marTop w:val="0"/>
      <w:marBottom w:val="0"/>
      <w:divBdr>
        <w:top w:val="none" w:sz="0" w:space="0" w:color="auto"/>
        <w:left w:val="none" w:sz="0" w:space="0" w:color="auto"/>
        <w:bottom w:val="none" w:sz="0" w:space="0" w:color="auto"/>
        <w:right w:val="none" w:sz="0" w:space="0" w:color="auto"/>
      </w:divBdr>
    </w:div>
    <w:div w:id="697854847">
      <w:bodyDiv w:val="1"/>
      <w:marLeft w:val="0"/>
      <w:marRight w:val="0"/>
      <w:marTop w:val="0"/>
      <w:marBottom w:val="0"/>
      <w:divBdr>
        <w:top w:val="none" w:sz="0" w:space="0" w:color="auto"/>
        <w:left w:val="none" w:sz="0" w:space="0" w:color="auto"/>
        <w:bottom w:val="none" w:sz="0" w:space="0" w:color="auto"/>
        <w:right w:val="none" w:sz="0" w:space="0" w:color="auto"/>
      </w:divBdr>
    </w:div>
    <w:div w:id="707991856">
      <w:bodyDiv w:val="1"/>
      <w:marLeft w:val="0"/>
      <w:marRight w:val="0"/>
      <w:marTop w:val="0"/>
      <w:marBottom w:val="0"/>
      <w:divBdr>
        <w:top w:val="none" w:sz="0" w:space="0" w:color="auto"/>
        <w:left w:val="none" w:sz="0" w:space="0" w:color="auto"/>
        <w:bottom w:val="none" w:sz="0" w:space="0" w:color="auto"/>
        <w:right w:val="none" w:sz="0" w:space="0" w:color="auto"/>
      </w:divBdr>
    </w:div>
    <w:div w:id="766314292">
      <w:bodyDiv w:val="1"/>
      <w:marLeft w:val="0"/>
      <w:marRight w:val="0"/>
      <w:marTop w:val="0"/>
      <w:marBottom w:val="0"/>
      <w:divBdr>
        <w:top w:val="none" w:sz="0" w:space="0" w:color="auto"/>
        <w:left w:val="none" w:sz="0" w:space="0" w:color="auto"/>
        <w:bottom w:val="none" w:sz="0" w:space="0" w:color="auto"/>
        <w:right w:val="none" w:sz="0" w:space="0" w:color="auto"/>
      </w:divBdr>
    </w:div>
    <w:div w:id="876820989">
      <w:bodyDiv w:val="1"/>
      <w:marLeft w:val="0"/>
      <w:marRight w:val="0"/>
      <w:marTop w:val="0"/>
      <w:marBottom w:val="0"/>
      <w:divBdr>
        <w:top w:val="none" w:sz="0" w:space="0" w:color="auto"/>
        <w:left w:val="none" w:sz="0" w:space="0" w:color="auto"/>
        <w:bottom w:val="none" w:sz="0" w:space="0" w:color="auto"/>
        <w:right w:val="none" w:sz="0" w:space="0" w:color="auto"/>
      </w:divBdr>
    </w:div>
    <w:div w:id="883950162">
      <w:bodyDiv w:val="1"/>
      <w:marLeft w:val="0"/>
      <w:marRight w:val="0"/>
      <w:marTop w:val="0"/>
      <w:marBottom w:val="0"/>
      <w:divBdr>
        <w:top w:val="none" w:sz="0" w:space="0" w:color="auto"/>
        <w:left w:val="none" w:sz="0" w:space="0" w:color="auto"/>
        <w:bottom w:val="none" w:sz="0" w:space="0" w:color="auto"/>
        <w:right w:val="none" w:sz="0" w:space="0" w:color="auto"/>
      </w:divBdr>
    </w:div>
    <w:div w:id="906380254">
      <w:bodyDiv w:val="1"/>
      <w:marLeft w:val="0"/>
      <w:marRight w:val="0"/>
      <w:marTop w:val="0"/>
      <w:marBottom w:val="0"/>
      <w:divBdr>
        <w:top w:val="none" w:sz="0" w:space="0" w:color="auto"/>
        <w:left w:val="none" w:sz="0" w:space="0" w:color="auto"/>
        <w:bottom w:val="none" w:sz="0" w:space="0" w:color="auto"/>
        <w:right w:val="none" w:sz="0" w:space="0" w:color="auto"/>
      </w:divBdr>
    </w:div>
    <w:div w:id="916941990">
      <w:bodyDiv w:val="1"/>
      <w:marLeft w:val="0"/>
      <w:marRight w:val="0"/>
      <w:marTop w:val="0"/>
      <w:marBottom w:val="0"/>
      <w:divBdr>
        <w:top w:val="none" w:sz="0" w:space="0" w:color="auto"/>
        <w:left w:val="none" w:sz="0" w:space="0" w:color="auto"/>
        <w:bottom w:val="none" w:sz="0" w:space="0" w:color="auto"/>
        <w:right w:val="none" w:sz="0" w:space="0" w:color="auto"/>
      </w:divBdr>
    </w:div>
    <w:div w:id="925307523">
      <w:bodyDiv w:val="1"/>
      <w:marLeft w:val="0"/>
      <w:marRight w:val="0"/>
      <w:marTop w:val="0"/>
      <w:marBottom w:val="0"/>
      <w:divBdr>
        <w:top w:val="none" w:sz="0" w:space="0" w:color="auto"/>
        <w:left w:val="none" w:sz="0" w:space="0" w:color="auto"/>
        <w:bottom w:val="none" w:sz="0" w:space="0" w:color="auto"/>
        <w:right w:val="none" w:sz="0" w:space="0" w:color="auto"/>
      </w:divBdr>
    </w:div>
    <w:div w:id="995499182">
      <w:bodyDiv w:val="1"/>
      <w:marLeft w:val="0"/>
      <w:marRight w:val="0"/>
      <w:marTop w:val="0"/>
      <w:marBottom w:val="0"/>
      <w:divBdr>
        <w:top w:val="none" w:sz="0" w:space="0" w:color="auto"/>
        <w:left w:val="none" w:sz="0" w:space="0" w:color="auto"/>
        <w:bottom w:val="none" w:sz="0" w:space="0" w:color="auto"/>
        <w:right w:val="none" w:sz="0" w:space="0" w:color="auto"/>
      </w:divBdr>
    </w:div>
    <w:div w:id="1023558556">
      <w:bodyDiv w:val="1"/>
      <w:marLeft w:val="0"/>
      <w:marRight w:val="0"/>
      <w:marTop w:val="0"/>
      <w:marBottom w:val="0"/>
      <w:divBdr>
        <w:top w:val="none" w:sz="0" w:space="0" w:color="auto"/>
        <w:left w:val="none" w:sz="0" w:space="0" w:color="auto"/>
        <w:bottom w:val="none" w:sz="0" w:space="0" w:color="auto"/>
        <w:right w:val="none" w:sz="0" w:space="0" w:color="auto"/>
      </w:divBdr>
    </w:div>
    <w:div w:id="1041437422">
      <w:bodyDiv w:val="1"/>
      <w:marLeft w:val="0"/>
      <w:marRight w:val="0"/>
      <w:marTop w:val="0"/>
      <w:marBottom w:val="0"/>
      <w:divBdr>
        <w:top w:val="none" w:sz="0" w:space="0" w:color="auto"/>
        <w:left w:val="none" w:sz="0" w:space="0" w:color="auto"/>
        <w:bottom w:val="none" w:sz="0" w:space="0" w:color="auto"/>
        <w:right w:val="none" w:sz="0" w:space="0" w:color="auto"/>
      </w:divBdr>
    </w:div>
    <w:div w:id="1066416540">
      <w:bodyDiv w:val="1"/>
      <w:marLeft w:val="0"/>
      <w:marRight w:val="0"/>
      <w:marTop w:val="0"/>
      <w:marBottom w:val="0"/>
      <w:divBdr>
        <w:top w:val="none" w:sz="0" w:space="0" w:color="auto"/>
        <w:left w:val="none" w:sz="0" w:space="0" w:color="auto"/>
        <w:bottom w:val="none" w:sz="0" w:space="0" w:color="auto"/>
        <w:right w:val="none" w:sz="0" w:space="0" w:color="auto"/>
      </w:divBdr>
    </w:div>
    <w:div w:id="1080911005">
      <w:bodyDiv w:val="1"/>
      <w:marLeft w:val="0"/>
      <w:marRight w:val="0"/>
      <w:marTop w:val="0"/>
      <w:marBottom w:val="0"/>
      <w:divBdr>
        <w:top w:val="none" w:sz="0" w:space="0" w:color="auto"/>
        <w:left w:val="none" w:sz="0" w:space="0" w:color="auto"/>
        <w:bottom w:val="none" w:sz="0" w:space="0" w:color="auto"/>
        <w:right w:val="none" w:sz="0" w:space="0" w:color="auto"/>
      </w:divBdr>
    </w:div>
    <w:div w:id="1090739427">
      <w:bodyDiv w:val="1"/>
      <w:marLeft w:val="0"/>
      <w:marRight w:val="0"/>
      <w:marTop w:val="0"/>
      <w:marBottom w:val="0"/>
      <w:divBdr>
        <w:top w:val="none" w:sz="0" w:space="0" w:color="auto"/>
        <w:left w:val="none" w:sz="0" w:space="0" w:color="auto"/>
        <w:bottom w:val="none" w:sz="0" w:space="0" w:color="auto"/>
        <w:right w:val="none" w:sz="0" w:space="0" w:color="auto"/>
      </w:divBdr>
    </w:div>
    <w:div w:id="1119226281">
      <w:bodyDiv w:val="1"/>
      <w:marLeft w:val="0"/>
      <w:marRight w:val="0"/>
      <w:marTop w:val="0"/>
      <w:marBottom w:val="0"/>
      <w:divBdr>
        <w:top w:val="none" w:sz="0" w:space="0" w:color="auto"/>
        <w:left w:val="none" w:sz="0" w:space="0" w:color="auto"/>
        <w:bottom w:val="none" w:sz="0" w:space="0" w:color="auto"/>
        <w:right w:val="none" w:sz="0" w:space="0" w:color="auto"/>
      </w:divBdr>
    </w:div>
    <w:div w:id="1134759283">
      <w:bodyDiv w:val="1"/>
      <w:marLeft w:val="0"/>
      <w:marRight w:val="0"/>
      <w:marTop w:val="0"/>
      <w:marBottom w:val="0"/>
      <w:divBdr>
        <w:top w:val="none" w:sz="0" w:space="0" w:color="auto"/>
        <w:left w:val="none" w:sz="0" w:space="0" w:color="auto"/>
        <w:bottom w:val="none" w:sz="0" w:space="0" w:color="auto"/>
        <w:right w:val="none" w:sz="0" w:space="0" w:color="auto"/>
      </w:divBdr>
    </w:div>
    <w:div w:id="1137145836">
      <w:bodyDiv w:val="1"/>
      <w:marLeft w:val="0"/>
      <w:marRight w:val="0"/>
      <w:marTop w:val="0"/>
      <w:marBottom w:val="0"/>
      <w:divBdr>
        <w:top w:val="none" w:sz="0" w:space="0" w:color="auto"/>
        <w:left w:val="none" w:sz="0" w:space="0" w:color="auto"/>
        <w:bottom w:val="none" w:sz="0" w:space="0" w:color="auto"/>
        <w:right w:val="none" w:sz="0" w:space="0" w:color="auto"/>
      </w:divBdr>
    </w:div>
    <w:div w:id="1139686488">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49326676">
      <w:bodyDiv w:val="1"/>
      <w:marLeft w:val="0"/>
      <w:marRight w:val="0"/>
      <w:marTop w:val="0"/>
      <w:marBottom w:val="0"/>
      <w:divBdr>
        <w:top w:val="none" w:sz="0" w:space="0" w:color="auto"/>
        <w:left w:val="none" w:sz="0" w:space="0" w:color="auto"/>
        <w:bottom w:val="none" w:sz="0" w:space="0" w:color="auto"/>
        <w:right w:val="none" w:sz="0" w:space="0" w:color="auto"/>
      </w:divBdr>
    </w:div>
    <w:div w:id="1164780083">
      <w:bodyDiv w:val="1"/>
      <w:marLeft w:val="0"/>
      <w:marRight w:val="0"/>
      <w:marTop w:val="0"/>
      <w:marBottom w:val="0"/>
      <w:divBdr>
        <w:top w:val="none" w:sz="0" w:space="0" w:color="auto"/>
        <w:left w:val="none" w:sz="0" w:space="0" w:color="auto"/>
        <w:bottom w:val="none" w:sz="0" w:space="0" w:color="auto"/>
        <w:right w:val="none" w:sz="0" w:space="0" w:color="auto"/>
      </w:divBdr>
    </w:div>
    <w:div w:id="1168910080">
      <w:bodyDiv w:val="1"/>
      <w:marLeft w:val="0"/>
      <w:marRight w:val="0"/>
      <w:marTop w:val="0"/>
      <w:marBottom w:val="0"/>
      <w:divBdr>
        <w:top w:val="none" w:sz="0" w:space="0" w:color="auto"/>
        <w:left w:val="none" w:sz="0" w:space="0" w:color="auto"/>
        <w:bottom w:val="none" w:sz="0" w:space="0" w:color="auto"/>
        <w:right w:val="none" w:sz="0" w:space="0" w:color="auto"/>
      </w:divBdr>
    </w:div>
    <w:div w:id="1188447213">
      <w:bodyDiv w:val="1"/>
      <w:marLeft w:val="0"/>
      <w:marRight w:val="0"/>
      <w:marTop w:val="0"/>
      <w:marBottom w:val="0"/>
      <w:divBdr>
        <w:top w:val="none" w:sz="0" w:space="0" w:color="auto"/>
        <w:left w:val="none" w:sz="0" w:space="0" w:color="auto"/>
        <w:bottom w:val="none" w:sz="0" w:space="0" w:color="auto"/>
        <w:right w:val="none" w:sz="0" w:space="0" w:color="auto"/>
      </w:divBdr>
    </w:div>
    <w:div w:id="1190491927">
      <w:bodyDiv w:val="1"/>
      <w:marLeft w:val="0"/>
      <w:marRight w:val="0"/>
      <w:marTop w:val="0"/>
      <w:marBottom w:val="0"/>
      <w:divBdr>
        <w:top w:val="none" w:sz="0" w:space="0" w:color="auto"/>
        <w:left w:val="none" w:sz="0" w:space="0" w:color="auto"/>
        <w:bottom w:val="none" w:sz="0" w:space="0" w:color="auto"/>
        <w:right w:val="none" w:sz="0" w:space="0" w:color="auto"/>
      </w:divBdr>
    </w:div>
    <w:div w:id="1216047014">
      <w:bodyDiv w:val="1"/>
      <w:marLeft w:val="0"/>
      <w:marRight w:val="0"/>
      <w:marTop w:val="0"/>
      <w:marBottom w:val="0"/>
      <w:divBdr>
        <w:top w:val="none" w:sz="0" w:space="0" w:color="auto"/>
        <w:left w:val="none" w:sz="0" w:space="0" w:color="auto"/>
        <w:bottom w:val="none" w:sz="0" w:space="0" w:color="auto"/>
        <w:right w:val="none" w:sz="0" w:space="0" w:color="auto"/>
      </w:divBdr>
      <w:divsChild>
        <w:div w:id="1442070941">
          <w:marLeft w:val="0"/>
          <w:marRight w:val="0"/>
          <w:marTop w:val="0"/>
          <w:marBottom w:val="0"/>
          <w:divBdr>
            <w:top w:val="none" w:sz="0" w:space="0" w:color="auto"/>
            <w:left w:val="none" w:sz="0" w:space="0" w:color="auto"/>
            <w:bottom w:val="none" w:sz="0" w:space="0" w:color="auto"/>
            <w:right w:val="none" w:sz="0" w:space="0" w:color="auto"/>
          </w:divBdr>
          <w:divsChild>
            <w:div w:id="2045212332">
              <w:marLeft w:val="0"/>
              <w:marRight w:val="0"/>
              <w:marTop w:val="0"/>
              <w:marBottom w:val="0"/>
              <w:divBdr>
                <w:top w:val="none" w:sz="0" w:space="0" w:color="auto"/>
                <w:left w:val="none" w:sz="0" w:space="0" w:color="auto"/>
                <w:bottom w:val="none" w:sz="0" w:space="0" w:color="auto"/>
                <w:right w:val="none" w:sz="0" w:space="0" w:color="auto"/>
              </w:divBdr>
              <w:divsChild>
                <w:div w:id="1519390491">
                  <w:marLeft w:val="0"/>
                  <w:marRight w:val="0"/>
                  <w:marTop w:val="0"/>
                  <w:marBottom w:val="0"/>
                  <w:divBdr>
                    <w:top w:val="none" w:sz="0" w:space="0" w:color="auto"/>
                    <w:left w:val="none" w:sz="0" w:space="0" w:color="auto"/>
                    <w:bottom w:val="none" w:sz="0" w:space="0" w:color="auto"/>
                    <w:right w:val="none" w:sz="0" w:space="0" w:color="auto"/>
                  </w:divBdr>
                  <w:divsChild>
                    <w:div w:id="905721942">
                      <w:marLeft w:val="0"/>
                      <w:marRight w:val="0"/>
                      <w:marTop w:val="0"/>
                      <w:marBottom w:val="0"/>
                      <w:divBdr>
                        <w:top w:val="none" w:sz="0" w:space="0" w:color="auto"/>
                        <w:left w:val="none" w:sz="0" w:space="0" w:color="auto"/>
                        <w:bottom w:val="none" w:sz="0" w:space="0" w:color="auto"/>
                        <w:right w:val="none" w:sz="0" w:space="0" w:color="auto"/>
                      </w:divBdr>
                      <w:divsChild>
                        <w:div w:id="47150123">
                          <w:marLeft w:val="0"/>
                          <w:marRight w:val="0"/>
                          <w:marTop w:val="0"/>
                          <w:marBottom w:val="0"/>
                          <w:divBdr>
                            <w:top w:val="none" w:sz="0" w:space="0" w:color="auto"/>
                            <w:left w:val="none" w:sz="0" w:space="0" w:color="auto"/>
                            <w:bottom w:val="none" w:sz="0" w:space="0" w:color="auto"/>
                            <w:right w:val="none" w:sz="0" w:space="0" w:color="auto"/>
                          </w:divBdr>
                          <w:divsChild>
                            <w:div w:id="1662925161">
                              <w:marLeft w:val="0"/>
                              <w:marRight w:val="0"/>
                              <w:marTop w:val="0"/>
                              <w:marBottom w:val="0"/>
                              <w:divBdr>
                                <w:top w:val="none" w:sz="0" w:space="0" w:color="auto"/>
                                <w:left w:val="none" w:sz="0" w:space="0" w:color="auto"/>
                                <w:bottom w:val="none" w:sz="0" w:space="0" w:color="auto"/>
                                <w:right w:val="none" w:sz="0" w:space="0" w:color="auto"/>
                              </w:divBdr>
                              <w:divsChild>
                                <w:div w:id="1813938074">
                                  <w:marLeft w:val="0"/>
                                  <w:marRight w:val="0"/>
                                  <w:marTop w:val="0"/>
                                  <w:marBottom w:val="0"/>
                                  <w:divBdr>
                                    <w:top w:val="none" w:sz="0" w:space="0" w:color="auto"/>
                                    <w:left w:val="none" w:sz="0" w:space="0" w:color="auto"/>
                                    <w:bottom w:val="none" w:sz="0" w:space="0" w:color="auto"/>
                                    <w:right w:val="none" w:sz="0" w:space="0" w:color="auto"/>
                                  </w:divBdr>
                                  <w:divsChild>
                                    <w:div w:id="8295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4030148">
      <w:bodyDiv w:val="1"/>
      <w:marLeft w:val="0"/>
      <w:marRight w:val="0"/>
      <w:marTop w:val="0"/>
      <w:marBottom w:val="0"/>
      <w:divBdr>
        <w:top w:val="none" w:sz="0" w:space="0" w:color="auto"/>
        <w:left w:val="none" w:sz="0" w:space="0" w:color="auto"/>
        <w:bottom w:val="none" w:sz="0" w:space="0" w:color="auto"/>
        <w:right w:val="none" w:sz="0" w:space="0" w:color="auto"/>
      </w:divBdr>
    </w:div>
    <w:div w:id="1250042023">
      <w:bodyDiv w:val="1"/>
      <w:marLeft w:val="0"/>
      <w:marRight w:val="0"/>
      <w:marTop w:val="0"/>
      <w:marBottom w:val="0"/>
      <w:divBdr>
        <w:top w:val="none" w:sz="0" w:space="0" w:color="auto"/>
        <w:left w:val="none" w:sz="0" w:space="0" w:color="auto"/>
        <w:bottom w:val="none" w:sz="0" w:space="0" w:color="auto"/>
        <w:right w:val="none" w:sz="0" w:space="0" w:color="auto"/>
      </w:divBdr>
    </w:div>
    <w:div w:id="1261639043">
      <w:bodyDiv w:val="1"/>
      <w:marLeft w:val="0"/>
      <w:marRight w:val="0"/>
      <w:marTop w:val="0"/>
      <w:marBottom w:val="0"/>
      <w:divBdr>
        <w:top w:val="none" w:sz="0" w:space="0" w:color="auto"/>
        <w:left w:val="none" w:sz="0" w:space="0" w:color="auto"/>
        <w:bottom w:val="none" w:sz="0" w:space="0" w:color="auto"/>
        <w:right w:val="none" w:sz="0" w:space="0" w:color="auto"/>
      </w:divBdr>
    </w:div>
    <w:div w:id="1262765778">
      <w:bodyDiv w:val="1"/>
      <w:marLeft w:val="0"/>
      <w:marRight w:val="0"/>
      <w:marTop w:val="0"/>
      <w:marBottom w:val="0"/>
      <w:divBdr>
        <w:top w:val="none" w:sz="0" w:space="0" w:color="auto"/>
        <w:left w:val="none" w:sz="0" w:space="0" w:color="auto"/>
        <w:bottom w:val="none" w:sz="0" w:space="0" w:color="auto"/>
        <w:right w:val="none" w:sz="0" w:space="0" w:color="auto"/>
      </w:divBdr>
    </w:div>
    <w:div w:id="1281955033">
      <w:bodyDiv w:val="1"/>
      <w:marLeft w:val="0"/>
      <w:marRight w:val="0"/>
      <w:marTop w:val="0"/>
      <w:marBottom w:val="0"/>
      <w:divBdr>
        <w:top w:val="none" w:sz="0" w:space="0" w:color="auto"/>
        <w:left w:val="none" w:sz="0" w:space="0" w:color="auto"/>
        <w:bottom w:val="none" w:sz="0" w:space="0" w:color="auto"/>
        <w:right w:val="none" w:sz="0" w:space="0" w:color="auto"/>
      </w:divBdr>
    </w:div>
    <w:div w:id="1287155747">
      <w:bodyDiv w:val="1"/>
      <w:marLeft w:val="0"/>
      <w:marRight w:val="0"/>
      <w:marTop w:val="0"/>
      <w:marBottom w:val="0"/>
      <w:divBdr>
        <w:top w:val="none" w:sz="0" w:space="0" w:color="auto"/>
        <w:left w:val="none" w:sz="0" w:space="0" w:color="auto"/>
        <w:bottom w:val="none" w:sz="0" w:space="0" w:color="auto"/>
        <w:right w:val="none" w:sz="0" w:space="0" w:color="auto"/>
      </w:divBdr>
    </w:div>
    <w:div w:id="1296444009">
      <w:bodyDiv w:val="1"/>
      <w:marLeft w:val="0"/>
      <w:marRight w:val="0"/>
      <w:marTop w:val="0"/>
      <w:marBottom w:val="0"/>
      <w:divBdr>
        <w:top w:val="none" w:sz="0" w:space="0" w:color="auto"/>
        <w:left w:val="none" w:sz="0" w:space="0" w:color="auto"/>
        <w:bottom w:val="none" w:sz="0" w:space="0" w:color="auto"/>
        <w:right w:val="none" w:sz="0" w:space="0" w:color="auto"/>
      </w:divBdr>
    </w:div>
    <w:div w:id="1309742532">
      <w:bodyDiv w:val="1"/>
      <w:marLeft w:val="0"/>
      <w:marRight w:val="0"/>
      <w:marTop w:val="0"/>
      <w:marBottom w:val="0"/>
      <w:divBdr>
        <w:top w:val="none" w:sz="0" w:space="0" w:color="auto"/>
        <w:left w:val="none" w:sz="0" w:space="0" w:color="auto"/>
        <w:bottom w:val="none" w:sz="0" w:space="0" w:color="auto"/>
        <w:right w:val="none" w:sz="0" w:space="0" w:color="auto"/>
      </w:divBdr>
    </w:div>
    <w:div w:id="1310596562">
      <w:bodyDiv w:val="1"/>
      <w:marLeft w:val="0"/>
      <w:marRight w:val="0"/>
      <w:marTop w:val="0"/>
      <w:marBottom w:val="0"/>
      <w:divBdr>
        <w:top w:val="none" w:sz="0" w:space="0" w:color="auto"/>
        <w:left w:val="none" w:sz="0" w:space="0" w:color="auto"/>
        <w:bottom w:val="none" w:sz="0" w:space="0" w:color="auto"/>
        <w:right w:val="none" w:sz="0" w:space="0" w:color="auto"/>
      </w:divBdr>
    </w:div>
    <w:div w:id="1310869173">
      <w:bodyDiv w:val="1"/>
      <w:marLeft w:val="0"/>
      <w:marRight w:val="0"/>
      <w:marTop w:val="0"/>
      <w:marBottom w:val="0"/>
      <w:divBdr>
        <w:top w:val="none" w:sz="0" w:space="0" w:color="auto"/>
        <w:left w:val="none" w:sz="0" w:space="0" w:color="auto"/>
        <w:bottom w:val="none" w:sz="0" w:space="0" w:color="auto"/>
        <w:right w:val="none" w:sz="0" w:space="0" w:color="auto"/>
      </w:divBdr>
    </w:div>
    <w:div w:id="1312639968">
      <w:bodyDiv w:val="1"/>
      <w:marLeft w:val="0"/>
      <w:marRight w:val="0"/>
      <w:marTop w:val="0"/>
      <w:marBottom w:val="0"/>
      <w:divBdr>
        <w:top w:val="none" w:sz="0" w:space="0" w:color="auto"/>
        <w:left w:val="none" w:sz="0" w:space="0" w:color="auto"/>
        <w:bottom w:val="none" w:sz="0" w:space="0" w:color="auto"/>
        <w:right w:val="none" w:sz="0" w:space="0" w:color="auto"/>
      </w:divBdr>
    </w:div>
    <w:div w:id="1362434400">
      <w:bodyDiv w:val="1"/>
      <w:marLeft w:val="0"/>
      <w:marRight w:val="0"/>
      <w:marTop w:val="0"/>
      <w:marBottom w:val="0"/>
      <w:divBdr>
        <w:top w:val="none" w:sz="0" w:space="0" w:color="auto"/>
        <w:left w:val="none" w:sz="0" w:space="0" w:color="auto"/>
        <w:bottom w:val="none" w:sz="0" w:space="0" w:color="auto"/>
        <w:right w:val="none" w:sz="0" w:space="0" w:color="auto"/>
      </w:divBdr>
    </w:div>
    <w:div w:id="1362512470">
      <w:bodyDiv w:val="1"/>
      <w:marLeft w:val="0"/>
      <w:marRight w:val="0"/>
      <w:marTop w:val="0"/>
      <w:marBottom w:val="0"/>
      <w:divBdr>
        <w:top w:val="none" w:sz="0" w:space="0" w:color="auto"/>
        <w:left w:val="none" w:sz="0" w:space="0" w:color="auto"/>
        <w:bottom w:val="none" w:sz="0" w:space="0" w:color="auto"/>
        <w:right w:val="none" w:sz="0" w:space="0" w:color="auto"/>
      </w:divBdr>
    </w:div>
    <w:div w:id="1372268516">
      <w:bodyDiv w:val="1"/>
      <w:marLeft w:val="0"/>
      <w:marRight w:val="0"/>
      <w:marTop w:val="0"/>
      <w:marBottom w:val="0"/>
      <w:divBdr>
        <w:top w:val="none" w:sz="0" w:space="0" w:color="auto"/>
        <w:left w:val="none" w:sz="0" w:space="0" w:color="auto"/>
        <w:bottom w:val="none" w:sz="0" w:space="0" w:color="auto"/>
        <w:right w:val="none" w:sz="0" w:space="0" w:color="auto"/>
      </w:divBdr>
    </w:div>
    <w:div w:id="1417049824">
      <w:bodyDiv w:val="1"/>
      <w:marLeft w:val="0"/>
      <w:marRight w:val="0"/>
      <w:marTop w:val="0"/>
      <w:marBottom w:val="0"/>
      <w:divBdr>
        <w:top w:val="none" w:sz="0" w:space="0" w:color="auto"/>
        <w:left w:val="none" w:sz="0" w:space="0" w:color="auto"/>
        <w:bottom w:val="none" w:sz="0" w:space="0" w:color="auto"/>
        <w:right w:val="none" w:sz="0" w:space="0" w:color="auto"/>
      </w:divBdr>
    </w:div>
    <w:div w:id="1426459642">
      <w:bodyDiv w:val="1"/>
      <w:marLeft w:val="0"/>
      <w:marRight w:val="0"/>
      <w:marTop w:val="0"/>
      <w:marBottom w:val="0"/>
      <w:divBdr>
        <w:top w:val="none" w:sz="0" w:space="0" w:color="auto"/>
        <w:left w:val="none" w:sz="0" w:space="0" w:color="auto"/>
        <w:bottom w:val="none" w:sz="0" w:space="0" w:color="auto"/>
        <w:right w:val="none" w:sz="0" w:space="0" w:color="auto"/>
      </w:divBdr>
    </w:div>
    <w:div w:id="1430003922">
      <w:bodyDiv w:val="1"/>
      <w:marLeft w:val="0"/>
      <w:marRight w:val="0"/>
      <w:marTop w:val="0"/>
      <w:marBottom w:val="0"/>
      <w:divBdr>
        <w:top w:val="none" w:sz="0" w:space="0" w:color="auto"/>
        <w:left w:val="none" w:sz="0" w:space="0" w:color="auto"/>
        <w:bottom w:val="none" w:sz="0" w:space="0" w:color="auto"/>
        <w:right w:val="none" w:sz="0" w:space="0" w:color="auto"/>
      </w:divBdr>
    </w:div>
    <w:div w:id="1490437039">
      <w:bodyDiv w:val="1"/>
      <w:marLeft w:val="0"/>
      <w:marRight w:val="0"/>
      <w:marTop w:val="0"/>
      <w:marBottom w:val="0"/>
      <w:divBdr>
        <w:top w:val="none" w:sz="0" w:space="0" w:color="auto"/>
        <w:left w:val="none" w:sz="0" w:space="0" w:color="auto"/>
        <w:bottom w:val="none" w:sz="0" w:space="0" w:color="auto"/>
        <w:right w:val="none" w:sz="0" w:space="0" w:color="auto"/>
      </w:divBdr>
    </w:div>
    <w:div w:id="1492600605">
      <w:bodyDiv w:val="1"/>
      <w:marLeft w:val="0"/>
      <w:marRight w:val="0"/>
      <w:marTop w:val="0"/>
      <w:marBottom w:val="0"/>
      <w:divBdr>
        <w:top w:val="none" w:sz="0" w:space="0" w:color="auto"/>
        <w:left w:val="none" w:sz="0" w:space="0" w:color="auto"/>
        <w:bottom w:val="none" w:sz="0" w:space="0" w:color="auto"/>
        <w:right w:val="none" w:sz="0" w:space="0" w:color="auto"/>
      </w:divBdr>
    </w:div>
    <w:div w:id="1584022013">
      <w:bodyDiv w:val="1"/>
      <w:marLeft w:val="0"/>
      <w:marRight w:val="0"/>
      <w:marTop w:val="0"/>
      <w:marBottom w:val="0"/>
      <w:divBdr>
        <w:top w:val="none" w:sz="0" w:space="0" w:color="auto"/>
        <w:left w:val="none" w:sz="0" w:space="0" w:color="auto"/>
        <w:bottom w:val="none" w:sz="0" w:space="0" w:color="auto"/>
        <w:right w:val="none" w:sz="0" w:space="0" w:color="auto"/>
      </w:divBdr>
    </w:div>
    <w:div w:id="1608191361">
      <w:bodyDiv w:val="1"/>
      <w:marLeft w:val="0"/>
      <w:marRight w:val="0"/>
      <w:marTop w:val="0"/>
      <w:marBottom w:val="0"/>
      <w:divBdr>
        <w:top w:val="none" w:sz="0" w:space="0" w:color="auto"/>
        <w:left w:val="none" w:sz="0" w:space="0" w:color="auto"/>
        <w:bottom w:val="none" w:sz="0" w:space="0" w:color="auto"/>
        <w:right w:val="none" w:sz="0" w:space="0" w:color="auto"/>
      </w:divBdr>
    </w:div>
    <w:div w:id="1608272578">
      <w:bodyDiv w:val="1"/>
      <w:marLeft w:val="0"/>
      <w:marRight w:val="0"/>
      <w:marTop w:val="0"/>
      <w:marBottom w:val="0"/>
      <w:divBdr>
        <w:top w:val="none" w:sz="0" w:space="0" w:color="auto"/>
        <w:left w:val="none" w:sz="0" w:space="0" w:color="auto"/>
        <w:bottom w:val="none" w:sz="0" w:space="0" w:color="auto"/>
        <w:right w:val="none" w:sz="0" w:space="0" w:color="auto"/>
      </w:divBdr>
    </w:div>
    <w:div w:id="1618411911">
      <w:bodyDiv w:val="1"/>
      <w:marLeft w:val="0"/>
      <w:marRight w:val="0"/>
      <w:marTop w:val="0"/>
      <w:marBottom w:val="0"/>
      <w:divBdr>
        <w:top w:val="none" w:sz="0" w:space="0" w:color="auto"/>
        <w:left w:val="none" w:sz="0" w:space="0" w:color="auto"/>
        <w:bottom w:val="none" w:sz="0" w:space="0" w:color="auto"/>
        <w:right w:val="none" w:sz="0" w:space="0" w:color="auto"/>
      </w:divBdr>
    </w:div>
    <w:div w:id="1651787079">
      <w:bodyDiv w:val="1"/>
      <w:marLeft w:val="0"/>
      <w:marRight w:val="0"/>
      <w:marTop w:val="0"/>
      <w:marBottom w:val="0"/>
      <w:divBdr>
        <w:top w:val="none" w:sz="0" w:space="0" w:color="auto"/>
        <w:left w:val="none" w:sz="0" w:space="0" w:color="auto"/>
        <w:bottom w:val="none" w:sz="0" w:space="0" w:color="auto"/>
        <w:right w:val="none" w:sz="0" w:space="0" w:color="auto"/>
      </w:divBdr>
    </w:div>
    <w:div w:id="1721245621">
      <w:bodyDiv w:val="1"/>
      <w:marLeft w:val="0"/>
      <w:marRight w:val="0"/>
      <w:marTop w:val="0"/>
      <w:marBottom w:val="0"/>
      <w:divBdr>
        <w:top w:val="none" w:sz="0" w:space="0" w:color="auto"/>
        <w:left w:val="none" w:sz="0" w:space="0" w:color="auto"/>
        <w:bottom w:val="none" w:sz="0" w:space="0" w:color="auto"/>
        <w:right w:val="none" w:sz="0" w:space="0" w:color="auto"/>
      </w:divBdr>
    </w:div>
    <w:div w:id="1755007696">
      <w:bodyDiv w:val="1"/>
      <w:marLeft w:val="0"/>
      <w:marRight w:val="0"/>
      <w:marTop w:val="0"/>
      <w:marBottom w:val="0"/>
      <w:divBdr>
        <w:top w:val="none" w:sz="0" w:space="0" w:color="auto"/>
        <w:left w:val="none" w:sz="0" w:space="0" w:color="auto"/>
        <w:bottom w:val="none" w:sz="0" w:space="0" w:color="auto"/>
        <w:right w:val="none" w:sz="0" w:space="0" w:color="auto"/>
      </w:divBdr>
    </w:div>
    <w:div w:id="1774086411">
      <w:bodyDiv w:val="1"/>
      <w:marLeft w:val="0"/>
      <w:marRight w:val="0"/>
      <w:marTop w:val="0"/>
      <w:marBottom w:val="0"/>
      <w:divBdr>
        <w:top w:val="none" w:sz="0" w:space="0" w:color="auto"/>
        <w:left w:val="none" w:sz="0" w:space="0" w:color="auto"/>
        <w:bottom w:val="none" w:sz="0" w:space="0" w:color="auto"/>
        <w:right w:val="none" w:sz="0" w:space="0" w:color="auto"/>
      </w:divBdr>
    </w:div>
    <w:div w:id="1780104954">
      <w:bodyDiv w:val="1"/>
      <w:marLeft w:val="0"/>
      <w:marRight w:val="0"/>
      <w:marTop w:val="0"/>
      <w:marBottom w:val="0"/>
      <w:divBdr>
        <w:top w:val="none" w:sz="0" w:space="0" w:color="auto"/>
        <w:left w:val="none" w:sz="0" w:space="0" w:color="auto"/>
        <w:bottom w:val="none" w:sz="0" w:space="0" w:color="auto"/>
        <w:right w:val="none" w:sz="0" w:space="0" w:color="auto"/>
      </w:divBdr>
    </w:div>
    <w:div w:id="1815022596">
      <w:bodyDiv w:val="1"/>
      <w:marLeft w:val="0"/>
      <w:marRight w:val="0"/>
      <w:marTop w:val="0"/>
      <w:marBottom w:val="0"/>
      <w:divBdr>
        <w:top w:val="none" w:sz="0" w:space="0" w:color="auto"/>
        <w:left w:val="none" w:sz="0" w:space="0" w:color="auto"/>
        <w:bottom w:val="none" w:sz="0" w:space="0" w:color="auto"/>
        <w:right w:val="none" w:sz="0" w:space="0" w:color="auto"/>
      </w:divBdr>
    </w:div>
    <w:div w:id="1836219209">
      <w:bodyDiv w:val="1"/>
      <w:marLeft w:val="0"/>
      <w:marRight w:val="0"/>
      <w:marTop w:val="0"/>
      <w:marBottom w:val="0"/>
      <w:divBdr>
        <w:top w:val="none" w:sz="0" w:space="0" w:color="auto"/>
        <w:left w:val="none" w:sz="0" w:space="0" w:color="auto"/>
        <w:bottom w:val="none" w:sz="0" w:space="0" w:color="auto"/>
        <w:right w:val="none" w:sz="0" w:space="0" w:color="auto"/>
      </w:divBdr>
    </w:div>
    <w:div w:id="1894152510">
      <w:bodyDiv w:val="1"/>
      <w:marLeft w:val="0"/>
      <w:marRight w:val="0"/>
      <w:marTop w:val="0"/>
      <w:marBottom w:val="0"/>
      <w:divBdr>
        <w:top w:val="none" w:sz="0" w:space="0" w:color="auto"/>
        <w:left w:val="none" w:sz="0" w:space="0" w:color="auto"/>
        <w:bottom w:val="none" w:sz="0" w:space="0" w:color="auto"/>
        <w:right w:val="none" w:sz="0" w:space="0" w:color="auto"/>
      </w:divBdr>
    </w:div>
    <w:div w:id="1898855172">
      <w:bodyDiv w:val="1"/>
      <w:marLeft w:val="0"/>
      <w:marRight w:val="0"/>
      <w:marTop w:val="0"/>
      <w:marBottom w:val="0"/>
      <w:divBdr>
        <w:top w:val="none" w:sz="0" w:space="0" w:color="auto"/>
        <w:left w:val="none" w:sz="0" w:space="0" w:color="auto"/>
        <w:bottom w:val="none" w:sz="0" w:space="0" w:color="auto"/>
        <w:right w:val="none" w:sz="0" w:space="0" w:color="auto"/>
      </w:divBdr>
    </w:div>
    <w:div w:id="1917938798">
      <w:bodyDiv w:val="1"/>
      <w:marLeft w:val="0"/>
      <w:marRight w:val="0"/>
      <w:marTop w:val="0"/>
      <w:marBottom w:val="0"/>
      <w:divBdr>
        <w:top w:val="none" w:sz="0" w:space="0" w:color="auto"/>
        <w:left w:val="none" w:sz="0" w:space="0" w:color="auto"/>
        <w:bottom w:val="none" w:sz="0" w:space="0" w:color="auto"/>
        <w:right w:val="none" w:sz="0" w:space="0" w:color="auto"/>
      </w:divBdr>
      <w:divsChild>
        <w:div w:id="1014957493">
          <w:marLeft w:val="0"/>
          <w:marRight w:val="0"/>
          <w:marTop w:val="0"/>
          <w:marBottom w:val="0"/>
          <w:divBdr>
            <w:top w:val="none" w:sz="0" w:space="0" w:color="auto"/>
            <w:left w:val="none" w:sz="0" w:space="0" w:color="auto"/>
            <w:bottom w:val="none" w:sz="0" w:space="0" w:color="auto"/>
            <w:right w:val="none" w:sz="0" w:space="0" w:color="auto"/>
          </w:divBdr>
          <w:divsChild>
            <w:div w:id="1500464011">
              <w:marLeft w:val="0"/>
              <w:marRight w:val="0"/>
              <w:marTop w:val="0"/>
              <w:marBottom w:val="0"/>
              <w:divBdr>
                <w:top w:val="none" w:sz="0" w:space="0" w:color="auto"/>
                <w:left w:val="none" w:sz="0" w:space="0" w:color="auto"/>
                <w:bottom w:val="none" w:sz="0" w:space="0" w:color="auto"/>
                <w:right w:val="none" w:sz="0" w:space="0" w:color="auto"/>
              </w:divBdr>
              <w:divsChild>
                <w:div w:id="1336347271">
                  <w:marLeft w:val="0"/>
                  <w:marRight w:val="0"/>
                  <w:marTop w:val="0"/>
                  <w:marBottom w:val="0"/>
                  <w:divBdr>
                    <w:top w:val="none" w:sz="0" w:space="0" w:color="auto"/>
                    <w:left w:val="none" w:sz="0" w:space="0" w:color="auto"/>
                    <w:bottom w:val="none" w:sz="0" w:space="0" w:color="auto"/>
                    <w:right w:val="none" w:sz="0" w:space="0" w:color="auto"/>
                  </w:divBdr>
                  <w:divsChild>
                    <w:div w:id="213396245">
                      <w:marLeft w:val="0"/>
                      <w:marRight w:val="0"/>
                      <w:marTop w:val="0"/>
                      <w:marBottom w:val="0"/>
                      <w:divBdr>
                        <w:top w:val="none" w:sz="0" w:space="0" w:color="auto"/>
                        <w:left w:val="none" w:sz="0" w:space="0" w:color="auto"/>
                        <w:bottom w:val="none" w:sz="0" w:space="0" w:color="auto"/>
                        <w:right w:val="none" w:sz="0" w:space="0" w:color="auto"/>
                      </w:divBdr>
                      <w:divsChild>
                        <w:div w:id="1729912272">
                          <w:marLeft w:val="0"/>
                          <w:marRight w:val="0"/>
                          <w:marTop w:val="0"/>
                          <w:marBottom w:val="0"/>
                          <w:divBdr>
                            <w:top w:val="none" w:sz="0" w:space="0" w:color="auto"/>
                            <w:left w:val="none" w:sz="0" w:space="0" w:color="auto"/>
                            <w:bottom w:val="none" w:sz="0" w:space="0" w:color="auto"/>
                            <w:right w:val="none" w:sz="0" w:space="0" w:color="auto"/>
                          </w:divBdr>
                          <w:divsChild>
                            <w:div w:id="108479475">
                              <w:marLeft w:val="0"/>
                              <w:marRight w:val="0"/>
                              <w:marTop w:val="0"/>
                              <w:marBottom w:val="0"/>
                              <w:divBdr>
                                <w:top w:val="none" w:sz="0" w:space="0" w:color="auto"/>
                                <w:left w:val="none" w:sz="0" w:space="0" w:color="auto"/>
                                <w:bottom w:val="none" w:sz="0" w:space="0" w:color="auto"/>
                                <w:right w:val="none" w:sz="0" w:space="0" w:color="auto"/>
                              </w:divBdr>
                              <w:divsChild>
                                <w:div w:id="853811609">
                                  <w:marLeft w:val="0"/>
                                  <w:marRight w:val="0"/>
                                  <w:marTop w:val="0"/>
                                  <w:marBottom w:val="0"/>
                                  <w:divBdr>
                                    <w:top w:val="none" w:sz="0" w:space="0" w:color="auto"/>
                                    <w:left w:val="none" w:sz="0" w:space="0" w:color="auto"/>
                                    <w:bottom w:val="none" w:sz="0" w:space="0" w:color="auto"/>
                                    <w:right w:val="none" w:sz="0" w:space="0" w:color="auto"/>
                                  </w:divBdr>
                                  <w:divsChild>
                                    <w:div w:id="118968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411768">
      <w:bodyDiv w:val="1"/>
      <w:marLeft w:val="0"/>
      <w:marRight w:val="0"/>
      <w:marTop w:val="0"/>
      <w:marBottom w:val="0"/>
      <w:divBdr>
        <w:top w:val="none" w:sz="0" w:space="0" w:color="auto"/>
        <w:left w:val="none" w:sz="0" w:space="0" w:color="auto"/>
        <w:bottom w:val="none" w:sz="0" w:space="0" w:color="auto"/>
        <w:right w:val="none" w:sz="0" w:space="0" w:color="auto"/>
      </w:divBdr>
    </w:div>
    <w:div w:id="1964723254">
      <w:bodyDiv w:val="1"/>
      <w:marLeft w:val="0"/>
      <w:marRight w:val="0"/>
      <w:marTop w:val="0"/>
      <w:marBottom w:val="0"/>
      <w:divBdr>
        <w:top w:val="none" w:sz="0" w:space="0" w:color="auto"/>
        <w:left w:val="none" w:sz="0" w:space="0" w:color="auto"/>
        <w:bottom w:val="none" w:sz="0" w:space="0" w:color="auto"/>
        <w:right w:val="none" w:sz="0" w:space="0" w:color="auto"/>
      </w:divBdr>
    </w:div>
    <w:div w:id="1975401975">
      <w:bodyDiv w:val="1"/>
      <w:marLeft w:val="0"/>
      <w:marRight w:val="0"/>
      <w:marTop w:val="0"/>
      <w:marBottom w:val="0"/>
      <w:divBdr>
        <w:top w:val="none" w:sz="0" w:space="0" w:color="auto"/>
        <w:left w:val="none" w:sz="0" w:space="0" w:color="auto"/>
        <w:bottom w:val="none" w:sz="0" w:space="0" w:color="auto"/>
        <w:right w:val="none" w:sz="0" w:space="0" w:color="auto"/>
      </w:divBdr>
    </w:div>
    <w:div w:id="1982926999">
      <w:bodyDiv w:val="1"/>
      <w:marLeft w:val="0"/>
      <w:marRight w:val="0"/>
      <w:marTop w:val="0"/>
      <w:marBottom w:val="0"/>
      <w:divBdr>
        <w:top w:val="none" w:sz="0" w:space="0" w:color="auto"/>
        <w:left w:val="none" w:sz="0" w:space="0" w:color="auto"/>
        <w:bottom w:val="none" w:sz="0" w:space="0" w:color="auto"/>
        <w:right w:val="none" w:sz="0" w:space="0" w:color="auto"/>
      </w:divBdr>
      <w:divsChild>
        <w:div w:id="1338729936">
          <w:marLeft w:val="0"/>
          <w:marRight w:val="0"/>
          <w:marTop w:val="0"/>
          <w:marBottom w:val="0"/>
          <w:divBdr>
            <w:top w:val="none" w:sz="0" w:space="0" w:color="auto"/>
            <w:left w:val="none" w:sz="0" w:space="0" w:color="auto"/>
            <w:bottom w:val="none" w:sz="0" w:space="0" w:color="auto"/>
            <w:right w:val="none" w:sz="0" w:space="0" w:color="auto"/>
          </w:divBdr>
          <w:divsChild>
            <w:div w:id="977294998">
              <w:marLeft w:val="0"/>
              <w:marRight w:val="0"/>
              <w:marTop w:val="0"/>
              <w:marBottom w:val="0"/>
              <w:divBdr>
                <w:top w:val="none" w:sz="0" w:space="0" w:color="auto"/>
                <w:left w:val="none" w:sz="0" w:space="0" w:color="auto"/>
                <w:bottom w:val="none" w:sz="0" w:space="0" w:color="auto"/>
                <w:right w:val="none" w:sz="0" w:space="0" w:color="auto"/>
              </w:divBdr>
              <w:divsChild>
                <w:div w:id="304705959">
                  <w:marLeft w:val="0"/>
                  <w:marRight w:val="0"/>
                  <w:marTop w:val="0"/>
                  <w:marBottom w:val="0"/>
                  <w:divBdr>
                    <w:top w:val="none" w:sz="0" w:space="0" w:color="auto"/>
                    <w:left w:val="none" w:sz="0" w:space="0" w:color="auto"/>
                    <w:bottom w:val="none" w:sz="0" w:space="0" w:color="auto"/>
                    <w:right w:val="none" w:sz="0" w:space="0" w:color="auto"/>
                  </w:divBdr>
                  <w:divsChild>
                    <w:div w:id="958146980">
                      <w:marLeft w:val="0"/>
                      <w:marRight w:val="0"/>
                      <w:marTop w:val="0"/>
                      <w:marBottom w:val="0"/>
                      <w:divBdr>
                        <w:top w:val="none" w:sz="0" w:space="0" w:color="auto"/>
                        <w:left w:val="none" w:sz="0" w:space="0" w:color="auto"/>
                        <w:bottom w:val="none" w:sz="0" w:space="0" w:color="auto"/>
                        <w:right w:val="none" w:sz="0" w:space="0" w:color="auto"/>
                      </w:divBdr>
                      <w:divsChild>
                        <w:div w:id="613680643">
                          <w:marLeft w:val="0"/>
                          <w:marRight w:val="0"/>
                          <w:marTop w:val="0"/>
                          <w:marBottom w:val="0"/>
                          <w:divBdr>
                            <w:top w:val="none" w:sz="0" w:space="0" w:color="auto"/>
                            <w:left w:val="none" w:sz="0" w:space="0" w:color="auto"/>
                            <w:bottom w:val="none" w:sz="0" w:space="0" w:color="auto"/>
                            <w:right w:val="none" w:sz="0" w:space="0" w:color="auto"/>
                          </w:divBdr>
                          <w:divsChild>
                            <w:div w:id="2037270924">
                              <w:marLeft w:val="0"/>
                              <w:marRight w:val="0"/>
                              <w:marTop w:val="0"/>
                              <w:marBottom w:val="0"/>
                              <w:divBdr>
                                <w:top w:val="none" w:sz="0" w:space="0" w:color="auto"/>
                                <w:left w:val="none" w:sz="0" w:space="0" w:color="auto"/>
                                <w:bottom w:val="none" w:sz="0" w:space="0" w:color="auto"/>
                                <w:right w:val="none" w:sz="0" w:space="0" w:color="auto"/>
                              </w:divBdr>
                              <w:divsChild>
                                <w:div w:id="183591292">
                                  <w:marLeft w:val="0"/>
                                  <w:marRight w:val="0"/>
                                  <w:marTop w:val="0"/>
                                  <w:marBottom w:val="0"/>
                                  <w:divBdr>
                                    <w:top w:val="none" w:sz="0" w:space="0" w:color="auto"/>
                                    <w:left w:val="none" w:sz="0" w:space="0" w:color="auto"/>
                                    <w:bottom w:val="none" w:sz="0" w:space="0" w:color="auto"/>
                                    <w:right w:val="none" w:sz="0" w:space="0" w:color="auto"/>
                                  </w:divBdr>
                                  <w:divsChild>
                                    <w:div w:id="9350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3535016">
      <w:bodyDiv w:val="1"/>
      <w:marLeft w:val="0"/>
      <w:marRight w:val="0"/>
      <w:marTop w:val="0"/>
      <w:marBottom w:val="0"/>
      <w:divBdr>
        <w:top w:val="none" w:sz="0" w:space="0" w:color="auto"/>
        <w:left w:val="none" w:sz="0" w:space="0" w:color="auto"/>
        <w:bottom w:val="none" w:sz="0" w:space="0" w:color="auto"/>
        <w:right w:val="none" w:sz="0" w:space="0" w:color="auto"/>
      </w:divBdr>
    </w:div>
    <w:div w:id="1998487514">
      <w:bodyDiv w:val="1"/>
      <w:marLeft w:val="0"/>
      <w:marRight w:val="0"/>
      <w:marTop w:val="0"/>
      <w:marBottom w:val="0"/>
      <w:divBdr>
        <w:top w:val="none" w:sz="0" w:space="0" w:color="auto"/>
        <w:left w:val="none" w:sz="0" w:space="0" w:color="auto"/>
        <w:bottom w:val="none" w:sz="0" w:space="0" w:color="auto"/>
        <w:right w:val="none" w:sz="0" w:space="0" w:color="auto"/>
      </w:divBdr>
    </w:div>
    <w:div w:id="2008828510">
      <w:bodyDiv w:val="1"/>
      <w:marLeft w:val="0"/>
      <w:marRight w:val="0"/>
      <w:marTop w:val="0"/>
      <w:marBottom w:val="0"/>
      <w:divBdr>
        <w:top w:val="none" w:sz="0" w:space="0" w:color="auto"/>
        <w:left w:val="none" w:sz="0" w:space="0" w:color="auto"/>
        <w:bottom w:val="none" w:sz="0" w:space="0" w:color="auto"/>
        <w:right w:val="none" w:sz="0" w:space="0" w:color="auto"/>
      </w:divBdr>
    </w:div>
    <w:div w:id="2014528296">
      <w:bodyDiv w:val="1"/>
      <w:marLeft w:val="0"/>
      <w:marRight w:val="0"/>
      <w:marTop w:val="0"/>
      <w:marBottom w:val="0"/>
      <w:divBdr>
        <w:top w:val="none" w:sz="0" w:space="0" w:color="auto"/>
        <w:left w:val="none" w:sz="0" w:space="0" w:color="auto"/>
        <w:bottom w:val="none" w:sz="0" w:space="0" w:color="auto"/>
        <w:right w:val="none" w:sz="0" w:space="0" w:color="auto"/>
      </w:divBdr>
    </w:div>
    <w:div w:id="2062171282">
      <w:bodyDiv w:val="1"/>
      <w:marLeft w:val="0"/>
      <w:marRight w:val="0"/>
      <w:marTop w:val="0"/>
      <w:marBottom w:val="0"/>
      <w:divBdr>
        <w:top w:val="none" w:sz="0" w:space="0" w:color="auto"/>
        <w:left w:val="none" w:sz="0" w:space="0" w:color="auto"/>
        <w:bottom w:val="none" w:sz="0" w:space="0" w:color="auto"/>
        <w:right w:val="none" w:sz="0" w:space="0" w:color="auto"/>
      </w:divBdr>
    </w:div>
    <w:div w:id="2066172467">
      <w:bodyDiv w:val="1"/>
      <w:marLeft w:val="0"/>
      <w:marRight w:val="0"/>
      <w:marTop w:val="0"/>
      <w:marBottom w:val="0"/>
      <w:divBdr>
        <w:top w:val="none" w:sz="0" w:space="0" w:color="auto"/>
        <w:left w:val="none" w:sz="0" w:space="0" w:color="auto"/>
        <w:bottom w:val="none" w:sz="0" w:space="0" w:color="auto"/>
        <w:right w:val="none" w:sz="0" w:space="0" w:color="auto"/>
      </w:divBdr>
    </w:div>
    <w:div w:id="2071805026">
      <w:bodyDiv w:val="1"/>
      <w:marLeft w:val="0"/>
      <w:marRight w:val="0"/>
      <w:marTop w:val="0"/>
      <w:marBottom w:val="0"/>
      <w:divBdr>
        <w:top w:val="none" w:sz="0" w:space="0" w:color="auto"/>
        <w:left w:val="none" w:sz="0" w:space="0" w:color="auto"/>
        <w:bottom w:val="none" w:sz="0" w:space="0" w:color="auto"/>
        <w:right w:val="none" w:sz="0" w:space="0" w:color="auto"/>
      </w:divBdr>
    </w:div>
    <w:div w:id="2073657317">
      <w:bodyDiv w:val="1"/>
      <w:marLeft w:val="0"/>
      <w:marRight w:val="0"/>
      <w:marTop w:val="0"/>
      <w:marBottom w:val="0"/>
      <w:divBdr>
        <w:top w:val="none" w:sz="0" w:space="0" w:color="auto"/>
        <w:left w:val="none" w:sz="0" w:space="0" w:color="auto"/>
        <w:bottom w:val="none" w:sz="0" w:space="0" w:color="auto"/>
        <w:right w:val="none" w:sz="0" w:space="0" w:color="auto"/>
      </w:divBdr>
    </w:div>
    <w:div w:id="2079743588">
      <w:bodyDiv w:val="1"/>
      <w:marLeft w:val="0"/>
      <w:marRight w:val="0"/>
      <w:marTop w:val="0"/>
      <w:marBottom w:val="0"/>
      <w:divBdr>
        <w:top w:val="none" w:sz="0" w:space="0" w:color="auto"/>
        <w:left w:val="none" w:sz="0" w:space="0" w:color="auto"/>
        <w:bottom w:val="none" w:sz="0" w:space="0" w:color="auto"/>
        <w:right w:val="none" w:sz="0" w:space="0" w:color="auto"/>
      </w:divBdr>
    </w:div>
    <w:div w:id="2096704741">
      <w:bodyDiv w:val="1"/>
      <w:marLeft w:val="0"/>
      <w:marRight w:val="0"/>
      <w:marTop w:val="0"/>
      <w:marBottom w:val="0"/>
      <w:divBdr>
        <w:top w:val="none" w:sz="0" w:space="0" w:color="auto"/>
        <w:left w:val="none" w:sz="0" w:space="0" w:color="auto"/>
        <w:bottom w:val="none" w:sz="0" w:space="0" w:color="auto"/>
        <w:right w:val="none" w:sz="0" w:space="0" w:color="auto"/>
      </w:divBdr>
    </w:div>
    <w:div w:id="2097902553">
      <w:bodyDiv w:val="1"/>
      <w:marLeft w:val="0"/>
      <w:marRight w:val="0"/>
      <w:marTop w:val="0"/>
      <w:marBottom w:val="0"/>
      <w:divBdr>
        <w:top w:val="none" w:sz="0" w:space="0" w:color="auto"/>
        <w:left w:val="none" w:sz="0" w:space="0" w:color="auto"/>
        <w:bottom w:val="none" w:sz="0" w:space="0" w:color="auto"/>
        <w:right w:val="none" w:sz="0" w:space="0" w:color="auto"/>
      </w:divBdr>
    </w:div>
    <w:div w:id="2104764158">
      <w:bodyDiv w:val="1"/>
      <w:marLeft w:val="0"/>
      <w:marRight w:val="0"/>
      <w:marTop w:val="0"/>
      <w:marBottom w:val="0"/>
      <w:divBdr>
        <w:top w:val="none" w:sz="0" w:space="0" w:color="auto"/>
        <w:left w:val="none" w:sz="0" w:space="0" w:color="auto"/>
        <w:bottom w:val="none" w:sz="0" w:space="0" w:color="auto"/>
        <w:right w:val="none" w:sz="0" w:space="0" w:color="auto"/>
      </w:divBdr>
    </w:div>
    <w:div w:id="211917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binete@paverama.r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3D9D4-6F97-4A28-AC1C-44621BA0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2034</TotalTime>
  <Pages>19</Pages>
  <Words>12571</Words>
  <Characters>67884</Characters>
  <Application>Microsoft Office Word</Application>
  <DocSecurity>0</DocSecurity>
  <Lines>565</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89</cp:revision>
  <cp:lastPrinted>2026-04-20T18:43:00Z</cp:lastPrinted>
  <dcterms:created xsi:type="dcterms:W3CDTF">2024-01-29T12:19:00Z</dcterms:created>
  <dcterms:modified xsi:type="dcterms:W3CDTF">2026-10-29T09:26:00Z</dcterms:modified>
</cp:coreProperties>
</file>